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14DE9" w14:textId="4A438E10" w:rsidR="00FB56FE" w:rsidRPr="00C77B6B" w:rsidRDefault="00017353" w:rsidP="00C77B6B">
      <w:pPr>
        <w:jc w:val="center"/>
        <w:rPr>
          <w:b/>
          <w:bCs/>
          <w:lang w:val="fr-CH"/>
        </w:rPr>
      </w:pPr>
      <w:r w:rsidRPr="00C77B6B">
        <w:rPr>
          <w:b/>
          <w:bCs/>
          <w:lang w:val="fr-CH"/>
        </w:rPr>
        <w:t>Description des clusters, analyse en classe latente données vox 2024 incluant l’initiative sur l’allègement des primes</w:t>
      </w:r>
    </w:p>
    <w:p w14:paraId="5673DC1C" w14:textId="283C1034" w:rsidR="00017353" w:rsidRDefault="00017353">
      <w:pPr>
        <w:rPr>
          <w:lang w:val="fr-CH"/>
        </w:rPr>
      </w:pPr>
      <w:r>
        <w:rPr>
          <w:lang w:val="fr-CH"/>
        </w:rPr>
        <w:t>Le premier cluster, qui est de loin de le plus grand de l’échantillon (37,6%), s’oppose fortement à l’augmentation de la taxe sur la valeur ajoutée</w:t>
      </w:r>
      <w:r w:rsidR="00CB3BDF">
        <w:rPr>
          <w:lang w:val="fr-CH"/>
        </w:rPr>
        <w:t xml:space="preserve"> (TVA)</w:t>
      </w:r>
      <w:r>
        <w:rPr>
          <w:lang w:val="fr-CH"/>
        </w:rPr>
        <w:t xml:space="preserve"> (79,6%) ainsi qu’à l’augmentation de l’impôt fédéral direct afin de garantir le financement du système de santé. Les membres de ce cluster sont en revanche plutôt pour lier les primes d’assurance-maladie au revenu (55%) et créer une caisse unique (64%), mais contre supprimer l’assurance-maladie obligatoire (92%), renoncer personnellement aux prestations médicales actuelles (</w:t>
      </w:r>
      <w:r w:rsidR="00155D46">
        <w:rPr>
          <w:lang w:val="fr-CH"/>
        </w:rPr>
        <w:t>85%) ou en réduire l’étendue de la prise en charge des prestations (92%) ou encore rendre l’accès aux prestations médicales plus difficile (par exemple en limitant l’âge) (92%).</w:t>
      </w:r>
    </w:p>
    <w:p w14:paraId="0520197F" w14:textId="3EC67430" w:rsidR="00155D46" w:rsidRDefault="00155D46">
      <w:pPr>
        <w:rPr>
          <w:lang w:val="fr-CH"/>
        </w:rPr>
      </w:pPr>
      <w:r>
        <w:rPr>
          <w:lang w:val="fr-CH"/>
        </w:rPr>
        <w:t>Le second cluster (18,6%)</w:t>
      </w:r>
      <w:r w:rsidR="00CB3BDF">
        <w:rPr>
          <w:lang w:val="fr-CH"/>
        </w:rPr>
        <w:t xml:space="preserve"> s’oppose comme le cluster 1 à toute augmentation de la TVA, de l’impôt fédéral direct et à la suppression de l’assurance-maladie obligatoire, mais s’oppose davantage à la création d’une caisse unique et encore plus à lier les primes d’assurance-maladie au revenu (64% contre). Contrairement au premier cluster, le deuxième cluster adhère au principe de renonciation personnelle aux prestations médicales actuelles (66%) et à l’idée de réduire le nombre de prestations prises en charge par la LAMal.</w:t>
      </w:r>
    </w:p>
    <w:p w14:paraId="71F34F54" w14:textId="69854671" w:rsidR="00402D4C" w:rsidRDefault="00402D4C">
      <w:pPr>
        <w:rPr>
          <w:lang w:val="fr-CH"/>
        </w:rPr>
      </w:pPr>
      <w:r>
        <w:rPr>
          <w:lang w:val="fr-CH"/>
        </w:rPr>
        <w:t>Le troisième cluster est de taille similaire au second et soutient quant à lui l’augmentation de l’impôt fédéral direct (73%) et de la TVA (60%)</w:t>
      </w:r>
      <w:r w:rsidR="002D31FF">
        <w:rPr>
          <w:lang w:val="fr-CH"/>
        </w:rPr>
        <w:t>, ainsi que la création d’une caisse unique et le fait de lier les primes au revenu. Il s’oppose fortement à la suppression de la LAMal, à la renonciation personnelle aux soins, à la réduction du nombre de prestations prises en charge par la LAMal ainsi qu’a plus de restriction aux prestations médicales couvertes par la LAMal.</w:t>
      </w:r>
    </w:p>
    <w:p w14:paraId="597E34F0" w14:textId="2678145E" w:rsidR="002D31FF" w:rsidRDefault="002D31FF">
      <w:pPr>
        <w:rPr>
          <w:lang w:val="fr-CH"/>
        </w:rPr>
      </w:pPr>
      <w:r>
        <w:rPr>
          <w:lang w:val="fr-CH"/>
        </w:rPr>
        <w:t xml:space="preserve">Comme pour les deux premiers clusters, le quatrième cluster (8,3% de l’échantillon) est fortement opposé à toute augmentation de taxe ou de la TVA. Les attentes de ce cluster sur le reste des questions sont marquées par l’indécision, ce qui rend ce cluster plutôt « flottant », comme sur le renoncement personnel aux prestations médicales couvertes par la LAMal (57% du cluster déclarant ne pas savoir). Il y a quand même une majorité intra-cluster </w:t>
      </w:r>
      <w:r w:rsidR="00D55CB6">
        <w:rPr>
          <w:lang w:val="fr-CH"/>
        </w:rPr>
        <w:t xml:space="preserve">contre rendre l’accès aux prestations plus difficiles (48%), en réduire le nombre (54%) ; ou supprimer l’assurance-maladie obligatoire (57%), ainsi que pour la création d’une caisse unique (50,19%) et lier les primes au revenu (47%). Toutefois, ces proportions sont systématiquement en-dessous de des proportions générale pour chaque question, </w:t>
      </w:r>
      <w:r w:rsidR="002D6176">
        <w:rPr>
          <w:lang w:val="fr-CH"/>
        </w:rPr>
        <w:t>car il y a dans ce cluster un nombre important de personnes indécises dans la plupart des questions.</w:t>
      </w:r>
    </w:p>
    <w:p w14:paraId="2D9EEF36" w14:textId="78A433FA" w:rsidR="00E85D18" w:rsidRDefault="00E85D18">
      <w:pPr>
        <w:rPr>
          <w:lang w:val="fr-CH"/>
        </w:rPr>
      </w:pPr>
      <w:r>
        <w:rPr>
          <w:lang w:val="fr-CH"/>
        </w:rPr>
        <w:t>Le cluster 5 (7,5%) partage des attentes très similaires aux cluster 1 et 3, à la différence qu’il est indifférent vis-à-vis de l’augmentation du la TVA ou de l’impôt fédéral direct (alors que le cluster 1 s’y oppose et le cluster 3 soutient ces mesures).</w:t>
      </w:r>
      <w:r w:rsidR="00CE6DA7">
        <w:rPr>
          <w:lang w:val="fr-CH"/>
        </w:rPr>
        <w:t xml:space="preserve"> Le cluster 6 (6,82%) est quant à lui indifférent à tous les indicateurs, n’exprimant aucun avis sur aucune des questions. Le dernier cluster, très marginal (2,7%) exprime des positions favorables sur tous les indicateurs.</w:t>
      </w:r>
    </w:p>
    <w:p w14:paraId="18C11EF7" w14:textId="19B83A5B" w:rsidR="00D3789B" w:rsidRDefault="00D3789B">
      <w:pPr>
        <w:rPr>
          <w:lang w:val="fr-CH"/>
        </w:rPr>
      </w:pPr>
      <w:r>
        <w:rPr>
          <w:lang w:val="fr-CH"/>
        </w:rPr>
        <w:lastRenderedPageBreak/>
        <w:t>Caractéristiques socio-démographiques et politiques</w:t>
      </w:r>
    </w:p>
    <w:p w14:paraId="5A46BAE7" w14:textId="01F3DE4A" w:rsidR="00D3789B" w:rsidRPr="00017353" w:rsidRDefault="00C74831">
      <w:pPr>
        <w:rPr>
          <w:lang w:val="fr-CH"/>
        </w:rPr>
      </w:pPr>
      <w:r>
        <w:rPr>
          <w:lang w:val="fr-CH"/>
        </w:rPr>
        <w:t>En explorant la constitution socio-démographique ainsi que l’inclinaison politique de chaque cluster au moyen de la méthode des variables inactives, il est possible d’évaluer et comparer les attentes en matière de réforme du système de santé du bloc libéral-conservateur ainsi que du bloc de gauche.</w:t>
      </w:r>
      <w:r w:rsidR="00866E56">
        <w:rPr>
          <w:lang w:val="fr-CH"/>
        </w:rPr>
        <w:t xml:space="preserve"> Le cluster 1 est plutôt dans la moyenne générale en termes de caractéristiques socio-économiques, car il n’y pas de sur- ou sous-représentation de certaines catégories de revenu, d’éducation ou bien de langue. La plupart des membres de ce cluster ont fait un apprentissage ou bien une formation professionnelle, et une part assez faible déclare bien s’en sortir financièrement après le paiement de leur loyer et des assurance (40% de oui contre 46% en moyenne). On pourrait donc considérer les membres de ce cluster comme appartenant à la classe moyenne ou classe moyenne légèrement inférieure, se sentant menacée par une potentielle baisse de leur niveau de vie.</w:t>
      </w:r>
      <w:r w:rsidR="002F3D87">
        <w:rPr>
          <w:lang w:val="fr-CH"/>
        </w:rPr>
        <w:t xml:space="preserve"> Politiquement, ce cluster soutient en majorité l’UDC (17% contre 15,7% en moyenne)</w:t>
      </w:r>
      <w:r w:rsidR="0032699B">
        <w:rPr>
          <w:lang w:val="fr-CH"/>
        </w:rPr>
        <w:t xml:space="preserve"> et s’identifie plutôt à droite. Ce cluster correspond donc à la composante conservatrice et (relativement) populaire du bloc libéral-conservateur suisse identifié par Güney (2024) </w:t>
      </w:r>
    </w:p>
    <w:sectPr w:rsidR="00D3789B" w:rsidRPr="000173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2FBC6" w14:textId="77777777" w:rsidR="000115F0" w:rsidRDefault="000115F0" w:rsidP="00C74831">
      <w:pPr>
        <w:spacing w:after="0" w:line="240" w:lineRule="auto"/>
      </w:pPr>
      <w:r>
        <w:separator/>
      </w:r>
    </w:p>
  </w:endnote>
  <w:endnote w:type="continuationSeparator" w:id="0">
    <w:p w14:paraId="78072D45" w14:textId="77777777" w:rsidR="000115F0" w:rsidRDefault="000115F0" w:rsidP="00C748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8999" w14:textId="77777777" w:rsidR="000115F0" w:rsidRDefault="000115F0" w:rsidP="00C74831">
      <w:pPr>
        <w:spacing w:after="0" w:line="240" w:lineRule="auto"/>
      </w:pPr>
      <w:r>
        <w:separator/>
      </w:r>
    </w:p>
  </w:footnote>
  <w:footnote w:type="continuationSeparator" w:id="0">
    <w:p w14:paraId="63A0C72D" w14:textId="77777777" w:rsidR="000115F0" w:rsidRDefault="000115F0" w:rsidP="00C7483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353"/>
    <w:rsid w:val="000115F0"/>
    <w:rsid w:val="00017353"/>
    <w:rsid w:val="00155D46"/>
    <w:rsid w:val="00257506"/>
    <w:rsid w:val="002D31FF"/>
    <w:rsid w:val="002D6176"/>
    <w:rsid w:val="002F3D87"/>
    <w:rsid w:val="0032699B"/>
    <w:rsid w:val="00402D4C"/>
    <w:rsid w:val="00866E56"/>
    <w:rsid w:val="00A044F5"/>
    <w:rsid w:val="00A878D7"/>
    <w:rsid w:val="00C36543"/>
    <w:rsid w:val="00C74831"/>
    <w:rsid w:val="00C77B6B"/>
    <w:rsid w:val="00CB3BDF"/>
    <w:rsid w:val="00CD404A"/>
    <w:rsid w:val="00CE6DA7"/>
    <w:rsid w:val="00D3789B"/>
    <w:rsid w:val="00D47DB1"/>
    <w:rsid w:val="00D55CB6"/>
    <w:rsid w:val="00E85D18"/>
    <w:rsid w:val="00FB56F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B5F34"/>
  <w15:chartTrackingRefBased/>
  <w15:docId w15:val="{C5BD8B3E-A7EA-465F-8E2D-BCFD20C48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73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0173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735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735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735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735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735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735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735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735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01735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735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735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735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735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735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735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7353"/>
    <w:rPr>
      <w:rFonts w:eastAsiaTheme="majorEastAsia" w:cstheme="majorBidi"/>
      <w:color w:val="272727" w:themeColor="text1" w:themeTint="D8"/>
    </w:rPr>
  </w:style>
  <w:style w:type="paragraph" w:styleId="Titre">
    <w:name w:val="Title"/>
    <w:basedOn w:val="Normal"/>
    <w:next w:val="Normal"/>
    <w:link w:val="TitreCar"/>
    <w:uiPriority w:val="10"/>
    <w:qFormat/>
    <w:rsid w:val="00017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735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735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735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7353"/>
    <w:pPr>
      <w:spacing w:before="160"/>
      <w:jc w:val="center"/>
    </w:pPr>
    <w:rPr>
      <w:i/>
      <w:iCs/>
      <w:color w:val="404040" w:themeColor="text1" w:themeTint="BF"/>
    </w:rPr>
  </w:style>
  <w:style w:type="character" w:customStyle="1" w:styleId="CitationCar">
    <w:name w:val="Citation Car"/>
    <w:basedOn w:val="Policepardfaut"/>
    <w:link w:val="Citation"/>
    <w:uiPriority w:val="29"/>
    <w:rsid w:val="00017353"/>
    <w:rPr>
      <w:i/>
      <w:iCs/>
      <w:color w:val="404040" w:themeColor="text1" w:themeTint="BF"/>
    </w:rPr>
  </w:style>
  <w:style w:type="paragraph" w:styleId="Paragraphedeliste">
    <w:name w:val="List Paragraph"/>
    <w:basedOn w:val="Normal"/>
    <w:uiPriority w:val="34"/>
    <w:qFormat/>
    <w:rsid w:val="00017353"/>
    <w:pPr>
      <w:ind w:left="720"/>
      <w:contextualSpacing/>
    </w:pPr>
  </w:style>
  <w:style w:type="character" w:styleId="Accentuationintense">
    <w:name w:val="Intense Emphasis"/>
    <w:basedOn w:val="Policepardfaut"/>
    <w:uiPriority w:val="21"/>
    <w:qFormat/>
    <w:rsid w:val="00017353"/>
    <w:rPr>
      <w:i/>
      <w:iCs/>
      <w:color w:val="2F5496" w:themeColor="accent1" w:themeShade="BF"/>
    </w:rPr>
  </w:style>
  <w:style w:type="paragraph" w:styleId="Citationintense">
    <w:name w:val="Intense Quote"/>
    <w:basedOn w:val="Normal"/>
    <w:next w:val="Normal"/>
    <w:link w:val="CitationintenseCar"/>
    <w:uiPriority w:val="30"/>
    <w:qFormat/>
    <w:rsid w:val="000173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7353"/>
    <w:rPr>
      <w:i/>
      <w:iCs/>
      <w:color w:val="2F5496" w:themeColor="accent1" w:themeShade="BF"/>
    </w:rPr>
  </w:style>
  <w:style w:type="character" w:styleId="Rfrenceintense">
    <w:name w:val="Intense Reference"/>
    <w:basedOn w:val="Policepardfaut"/>
    <w:uiPriority w:val="32"/>
    <w:qFormat/>
    <w:rsid w:val="00017353"/>
    <w:rPr>
      <w:b/>
      <w:bCs/>
      <w:smallCaps/>
      <w:color w:val="2F5496" w:themeColor="accent1" w:themeShade="BF"/>
      <w:spacing w:val="5"/>
    </w:rPr>
  </w:style>
  <w:style w:type="paragraph" w:styleId="Notedefin">
    <w:name w:val="endnote text"/>
    <w:basedOn w:val="Normal"/>
    <w:link w:val="NotedefinCar"/>
    <w:uiPriority w:val="99"/>
    <w:semiHidden/>
    <w:unhideWhenUsed/>
    <w:rsid w:val="00C74831"/>
    <w:pPr>
      <w:spacing w:after="0" w:line="240" w:lineRule="auto"/>
    </w:pPr>
    <w:rPr>
      <w:sz w:val="20"/>
      <w:szCs w:val="20"/>
    </w:rPr>
  </w:style>
  <w:style w:type="character" w:customStyle="1" w:styleId="NotedefinCar">
    <w:name w:val="Note de fin Car"/>
    <w:basedOn w:val="Policepardfaut"/>
    <w:link w:val="Notedefin"/>
    <w:uiPriority w:val="99"/>
    <w:semiHidden/>
    <w:rsid w:val="00C74831"/>
    <w:rPr>
      <w:sz w:val="20"/>
      <w:szCs w:val="20"/>
    </w:rPr>
  </w:style>
  <w:style w:type="character" w:styleId="Appeldenotedefin">
    <w:name w:val="endnote reference"/>
    <w:basedOn w:val="Policepardfaut"/>
    <w:uiPriority w:val="99"/>
    <w:semiHidden/>
    <w:unhideWhenUsed/>
    <w:rsid w:val="00C7483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2710</TotalTime>
  <Pages>2</Pages>
  <Words>668</Words>
  <Characters>3810</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Celâl Guney</dc:creator>
  <cp:keywords/>
  <dc:description/>
  <cp:lastModifiedBy>Celâl Guney</cp:lastModifiedBy>
  <cp:revision>13</cp:revision>
  <dcterms:created xsi:type="dcterms:W3CDTF">2026-07-26T15:31:00Z</dcterms:created>
  <dcterms:modified xsi:type="dcterms:W3CDTF">2026-07-28T12:41:00Z</dcterms:modified>
</cp:coreProperties>
</file>