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478A42" w14:textId="6459A295" w:rsidR="004772A4" w:rsidRPr="006F4A9E" w:rsidRDefault="00D70947" w:rsidP="0057548B">
      <w:pPr>
        <w:pStyle w:val="Titre1"/>
        <w:jc w:val="center"/>
        <w:rPr>
          <w:rStyle w:val="normaltextrun"/>
          <w:rFonts w:ascii="Times New Roman" w:hAnsi="Times New Roman" w:cs="Times New Roman"/>
          <w:color w:val="0F4761"/>
          <w:lang w:val="en-US"/>
        </w:rPr>
      </w:pPr>
      <w:r w:rsidRPr="006F4A9E">
        <w:rPr>
          <w:rStyle w:val="normaltextrun"/>
          <w:rFonts w:ascii="Times New Roman" w:hAnsi="Times New Roman" w:cs="Times New Roman"/>
          <w:color w:val="0F4761"/>
          <w:lang w:val="en-US"/>
        </w:rPr>
        <w:t>Inflation in an Island of High Prices. The Factors behind Price Stability in Switzerland</w:t>
      </w:r>
    </w:p>
    <w:p w14:paraId="0A13A80C" w14:textId="44649851" w:rsidR="00D70947" w:rsidRPr="00CF16D5" w:rsidRDefault="00D70947" w:rsidP="00D70947">
      <w:pPr>
        <w:pStyle w:val="paragraph"/>
        <w:spacing w:before="360" w:beforeAutospacing="0" w:after="80" w:afterAutospacing="0"/>
        <w:jc w:val="center"/>
        <w:textAlignment w:val="baseline"/>
        <w:rPr>
          <w:rStyle w:val="normaltextrun"/>
          <w:rFonts w:eastAsiaTheme="majorEastAsia"/>
        </w:rPr>
      </w:pPr>
      <w:proofErr w:type="spellStart"/>
      <w:r w:rsidRPr="00CF16D5">
        <w:rPr>
          <w:rStyle w:val="normaltextrun"/>
          <w:rFonts w:eastAsiaTheme="majorEastAsia"/>
        </w:rPr>
        <w:t>Celâl</w:t>
      </w:r>
      <w:proofErr w:type="spellEnd"/>
      <w:r w:rsidRPr="00CF16D5">
        <w:rPr>
          <w:rStyle w:val="normaltextrun"/>
          <w:rFonts w:eastAsiaTheme="majorEastAsia"/>
        </w:rPr>
        <w:t xml:space="preserve"> Güney</w:t>
      </w:r>
      <w:r w:rsidRPr="00CF16D5">
        <w:rPr>
          <w:rStyle w:val="Appelnotedebasdep"/>
          <w:rFonts w:eastAsiaTheme="majorEastAsia"/>
        </w:rPr>
        <w:footnoteReference w:id="1"/>
      </w:r>
      <w:r w:rsidRPr="00CF16D5">
        <w:rPr>
          <w:rStyle w:val="normaltextrun"/>
          <w:rFonts w:eastAsiaTheme="majorEastAsia"/>
        </w:rPr>
        <w:tab/>
        <w:t xml:space="preserve"> Guillaume Dreyer</w:t>
      </w:r>
      <w:r w:rsidRPr="00CF16D5">
        <w:rPr>
          <w:rStyle w:val="Appelnotedebasdep"/>
          <w:rFonts w:eastAsiaTheme="majorEastAsia"/>
        </w:rPr>
        <w:footnoteReference w:id="2"/>
      </w:r>
      <w:r w:rsidRPr="00CF16D5">
        <w:rPr>
          <w:rStyle w:val="normaltextrun"/>
          <w:rFonts w:eastAsiaTheme="majorEastAsia"/>
        </w:rPr>
        <w:tab/>
        <w:t>Michalis Nikiforos</w:t>
      </w:r>
      <w:r w:rsidRPr="00CF16D5">
        <w:rPr>
          <w:rStyle w:val="Appelnotedebasdep"/>
          <w:rFonts w:eastAsiaTheme="majorEastAsia"/>
        </w:rPr>
        <w:footnoteReference w:id="3"/>
      </w:r>
    </w:p>
    <w:p w14:paraId="601D0D5B" w14:textId="4A89BDEA" w:rsidR="004772A4" w:rsidRPr="00012DD0" w:rsidRDefault="004772A4" w:rsidP="00014443">
      <w:pPr>
        <w:pStyle w:val="Titre1"/>
        <w:rPr>
          <w:rFonts w:ascii="Times New Roman" w:hAnsi="Times New Roman" w:cs="Times New Roman"/>
          <w:lang w:val="en-US"/>
        </w:rPr>
      </w:pPr>
      <w:r w:rsidRPr="00012DD0">
        <w:rPr>
          <w:rStyle w:val="normaltextrun"/>
          <w:rFonts w:ascii="Times New Roman" w:hAnsi="Times New Roman" w:cs="Times New Roman"/>
          <w:color w:val="0F4761"/>
          <w:lang w:val="en-US"/>
        </w:rPr>
        <w:t>Abstract</w:t>
      </w:r>
      <w:r w:rsidRPr="00012DD0">
        <w:rPr>
          <w:rStyle w:val="eop"/>
          <w:rFonts w:ascii="Times New Roman" w:hAnsi="Times New Roman" w:cs="Times New Roman"/>
          <w:color w:val="0F4761"/>
          <w:lang w:val="en-US"/>
        </w:rPr>
        <w:t> </w:t>
      </w:r>
    </w:p>
    <w:p w14:paraId="7EACE994" w14:textId="6F2558D9" w:rsidR="004772A4" w:rsidRDefault="004772A4" w:rsidP="004772A4">
      <w:pPr>
        <w:pStyle w:val="paragraph"/>
        <w:spacing w:before="0" w:beforeAutospacing="0" w:after="160" w:afterAutospacing="0"/>
        <w:jc w:val="both"/>
        <w:textAlignment w:val="baseline"/>
        <w:rPr>
          <w:rStyle w:val="eop"/>
          <w:rFonts w:eastAsiaTheme="majorEastAsia"/>
          <w:lang w:val="en-US"/>
        </w:rPr>
      </w:pPr>
      <w:r w:rsidRPr="006F4A9E">
        <w:rPr>
          <w:rStyle w:val="normaltextrun"/>
          <w:rFonts w:eastAsiaTheme="majorEastAsia"/>
          <w:lang w:val="en-US"/>
        </w:rPr>
        <w:t>Compared to other developed countries, Switzerland reveals very peculiar price level and inflationary trends. Switzerland is on the one hand often referred to as an “island of high prices” (</w:t>
      </w:r>
      <w:proofErr w:type="spellStart"/>
      <w:r w:rsidRPr="006F4A9E">
        <w:rPr>
          <w:rStyle w:val="normaltextrun"/>
          <w:rFonts w:eastAsiaTheme="majorEastAsia"/>
          <w:i/>
          <w:iCs/>
          <w:lang w:val="en-US"/>
        </w:rPr>
        <w:t>îlot</w:t>
      </w:r>
      <w:proofErr w:type="spellEnd"/>
      <w:r w:rsidRPr="006F4A9E">
        <w:rPr>
          <w:rStyle w:val="normaltextrun"/>
          <w:rFonts w:eastAsiaTheme="majorEastAsia"/>
          <w:i/>
          <w:iCs/>
          <w:lang w:val="en-US"/>
        </w:rPr>
        <w:t xml:space="preserve"> de </w:t>
      </w:r>
      <w:proofErr w:type="spellStart"/>
      <w:r w:rsidRPr="006F4A9E">
        <w:rPr>
          <w:rStyle w:val="normaltextrun"/>
          <w:rFonts w:eastAsiaTheme="majorEastAsia"/>
          <w:i/>
          <w:iCs/>
          <w:lang w:val="en-US"/>
        </w:rPr>
        <w:t>cherté</w:t>
      </w:r>
      <w:proofErr w:type="spellEnd"/>
      <w:r w:rsidRPr="006F4A9E">
        <w:rPr>
          <w:rStyle w:val="normaltextrun"/>
          <w:rFonts w:eastAsiaTheme="majorEastAsia"/>
          <w:lang w:val="en-US"/>
        </w:rPr>
        <w:t>) due to its very high cost of living. According to Eurostat, Switzerland is 60% more expensive than its European neighbors. On the other hand, Switzerland stands out as one of the countries with the lowest increase in its consumer price index in the last 20 years and is as such well-known for its relatively low inflation rates and even deflationary pressures after the Great Recession. With the return of global inflation following the resurgence of supply-side inflationary shocks with the Covid crisis and the beginning of the war in Ukraine, inflation surged in Switzerland in 2021-22, although at lower rates than other economies. </w:t>
      </w:r>
      <w:r w:rsidRPr="006F4A9E">
        <w:rPr>
          <w:rStyle w:val="eop"/>
          <w:rFonts w:eastAsiaTheme="majorEastAsia"/>
          <w:lang w:val="en-US"/>
        </w:rPr>
        <w:t> </w:t>
      </w:r>
    </w:p>
    <w:p w14:paraId="39951C17" w14:textId="51CD7237" w:rsidR="00C35F3B" w:rsidRPr="006F4A9E" w:rsidRDefault="00C35F3B" w:rsidP="004772A4">
      <w:pPr>
        <w:pStyle w:val="paragraph"/>
        <w:spacing w:before="0" w:beforeAutospacing="0" w:after="160" w:afterAutospacing="0"/>
        <w:jc w:val="both"/>
        <w:textAlignment w:val="baseline"/>
        <w:rPr>
          <w:lang w:val="en-US"/>
        </w:rPr>
      </w:pPr>
      <w:r>
        <w:rPr>
          <w:rStyle w:val="eop"/>
          <w:rFonts w:eastAsiaTheme="majorEastAsia"/>
          <w:lang w:val="en-US"/>
        </w:rPr>
        <w:t>Keywords: Inflation, Switzerland, Supply Shocks, Price Stability</w:t>
      </w:r>
      <w:r w:rsidR="00E43F5C">
        <w:rPr>
          <w:rStyle w:val="eop"/>
          <w:rFonts w:eastAsiaTheme="majorEastAsia"/>
          <w:lang w:val="en-US"/>
        </w:rPr>
        <w:t>, Administered Prices</w:t>
      </w:r>
    </w:p>
    <w:p w14:paraId="3697A25F" w14:textId="444E43C5" w:rsidR="00014443" w:rsidRPr="006F4A9E" w:rsidRDefault="00014443" w:rsidP="00014443">
      <w:pPr>
        <w:pStyle w:val="Titre1"/>
        <w:jc w:val="both"/>
        <w:rPr>
          <w:rFonts w:ascii="Times New Roman" w:hAnsi="Times New Roman" w:cs="Times New Roman"/>
          <w:lang w:val="en-US"/>
        </w:rPr>
      </w:pPr>
      <w:r w:rsidRPr="006F4A9E">
        <w:rPr>
          <w:rFonts w:ascii="Times New Roman" w:hAnsi="Times New Roman" w:cs="Times New Roman"/>
          <w:lang w:val="en-US"/>
        </w:rPr>
        <w:t>Introduction</w:t>
      </w:r>
    </w:p>
    <w:p w14:paraId="6CF04079" w14:textId="53C898AF" w:rsidR="00B75A8D" w:rsidRPr="006F4A9E" w:rsidRDefault="00014443" w:rsidP="00014443">
      <w:pPr>
        <w:jc w:val="both"/>
        <w:rPr>
          <w:rFonts w:ascii="Times New Roman" w:hAnsi="Times New Roman" w:cs="Times New Roman"/>
          <w:lang w:val="en-US"/>
        </w:rPr>
      </w:pPr>
      <w:r w:rsidRPr="006F4A9E">
        <w:rPr>
          <w:rFonts w:ascii="Times New Roman" w:hAnsi="Times New Roman" w:cs="Times New Roman"/>
          <w:lang w:val="en-US"/>
        </w:rPr>
        <w:t xml:space="preserve">With the recurrence of large-scale global supply shocks since the Covid-19 crisis such as the war in Ukraine and more recently the closure of the strait of Hormuz, inflation has made a strong return in developed economies. In the last few years, the latter have experienced inflation rates not </w:t>
      </w:r>
      <w:r w:rsidR="001A5326" w:rsidRPr="006F4A9E">
        <w:rPr>
          <w:rFonts w:ascii="Times New Roman" w:hAnsi="Times New Roman" w:cs="Times New Roman"/>
          <w:lang w:val="en-US"/>
        </w:rPr>
        <w:t>seen in decades due to supply chain disruptions and the increase in gas and oil prices. However, one country has remarkably well resisted to the 2021-2023 inflation surge: Switzerland. According to the KOF Swiss Economic Institute</w:t>
      </w:r>
      <w:r w:rsidR="00785484" w:rsidRPr="006F4A9E">
        <w:rPr>
          <w:rFonts w:ascii="Times New Roman" w:hAnsi="Times New Roman" w:cs="Times New Roman"/>
          <w:lang w:val="en-US"/>
        </w:rPr>
        <w:t>,</w:t>
      </w:r>
      <w:r w:rsidR="001A5326" w:rsidRPr="006F4A9E">
        <w:rPr>
          <w:rFonts w:ascii="Times New Roman" w:hAnsi="Times New Roman" w:cs="Times New Roman"/>
          <w:lang w:val="en-US"/>
        </w:rPr>
        <w:t xml:space="preserve"> inflation rose up to barely 2,8% in 2022 and 2,1% in 2023 and, since 2024, is already back to the Swiss National Bank (SNB) target range (0-2%) since. In </w:t>
      </w:r>
      <w:r w:rsidR="0042672D" w:rsidRPr="006F4A9E">
        <w:rPr>
          <w:rFonts w:ascii="Times New Roman" w:hAnsi="Times New Roman" w:cs="Times New Roman"/>
          <w:lang w:val="en-US"/>
        </w:rPr>
        <w:t xml:space="preserve">international </w:t>
      </w:r>
      <w:r w:rsidR="001A5326" w:rsidRPr="006F4A9E">
        <w:rPr>
          <w:rFonts w:ascii="Times New Roman" w:hAnsi="Times New Roman" w:cs="Times New Roman"/>
          <w:lang w:val="en-US"/>
        </w:rPr>
        <w:t>comparison, inflation reached 8% in the United States and 8,4% in the Eurozone in 2022 before declining to 4,1% and 5,5% respectively in 2023</w:t>
      </w:r>
      <w:r w:rsidR="00533033" w:rsidRPr="006F4A9E">
        <w:rPr>
          <w:rFonts w:ascii="Times New Roman" w:hAnsi="Times New Roman" w:cs="Times New Roman"/>
          <w:lang w:val="en-US"/>
        </w:rPr>
        <w:t xml:space="preserve"> </w:t>
      </w:r>
      <w:r w:rsidR="00533033" w:rsidRPr="006F4A9E">
        <w:rPr>
          <w:rFonts w:ascii="Times New Roman" w:hAnsi="Times New Roman" w:cs="Times New Roman"/>
          <w:lang w:val="en-US"/>
        </w:rPr>
        <w:fldChar w:fldCharType="begin"/>
      </w:r>
      <w:r w:rsidR="00533033" w:rsidRPr="006F4A9E">
        <w:rPr>
          <w:rFonts w:ascii="Times New Roman" w:hAnsi="Times New Roman" w:cs="Times New Roman"/>
          <w:lang w:val="en-US"/>
        </w:rPr>
        <w:instrText xml:space="preserve"> ADDIN ZOTERO_ITEM CSL_CITATION {"citationID":"2vldSBiB","properties":{"formattedCitation":"(Sturm et al. 2023)","plainCitation":"(Sturm et al. 2023)","noteIndex":0},"citationItems":[{"id":6577,"uris":["http://zotero.org/groups/6311349/items/PNZDS3WF"],"itemData":{"id":6577,"type":"article-journal","abstract":"Der vorliegende Beitrag dokumentiert die Ergebnisse der Winterprognose 2023 der KOF Konjunkturforschungsstelle der ETH Zürich vom 13. Dezember 2023. Zuerst werden die jüngsten Wirtschaftsentwicklungen in der Schweiz und im Ausland diskutiert. Danach folgen die wichtigsten Prognoseergebnisse für die verschiedenen Wirtschaftsbereiche der Schweiz, aufgeteilt nach den wichtigsten verwendungsseitigen Komponenten des Bruttoinlandprodukts (BIP). Zuletzt folgt ein ausführlicher Datenanhang.","container-title":"KOF Analysen","DOI":"10.3929/ethz-b-000651951","ISSN":"1662-3517","issue":"4","language":"de","page":"1-30","publisher":"KOF Swiss Economic Institute, ETH Zurich","publisher-place":"Zürich","source":"www.research-collection.ethz.ch","title":"Konjunkturanalyse: Prognose 2024 / 2025 Schweizer Wirtschaft im Sog der internationalen Konjunkturschwäche","title-short":"Konjunkturanalyse","volume":"2023","author":[{"family":"Sturm","given":"Jan-Egbert"},{"family":"Rathke","given":"Alexander"},{"family":"Abberger","given":"Klaus"},{"family":"Abrahamsen","given":"Yngve"},{"family":"Anderes","given":"Marc"},{"family":"Daniele","given":"Maurizio"},{"family":"Domjahn","given":"Thomas"},{"family":"Graff","given":"Michael"},{"family":"Kronenberg","given":"Philipp"},{"family":"Martínez","given":"Isabel Z."},{"family":"Mikosch","given":"Heiner"},{"family":"Mühlebach","given":"Nina"},{"family":"Perakis","given":"Alexis"},{"family":"Reinicke","given":"Tim"},{"family":"Sarferaz","given":"Samad"},{"family":"Scherer","given":"Timotheus Merlin"},{"family":"Seiler","given":"Pascal"},{"family":"Siegenthaler","given":"Michael"},{"family":"Siegrist","given":"Stefanie"},{"family":"Streicher","given":"Sina"}],"issued":{"date-parts":[["2023",12]]}}}],"schema":"https://github.com/citation-style-language/schema/raw/master/csl-citation.json"} </w:instrText>
      </w:r>
      <w:r w:rsidR="00533033" w:rsidRPr="006F4A9E">
        <w:rPr>
          <w:rFonts w:ascii="Times New Roman" w:hAnsi="Times New Roman" w:cs="Times New Roman"/>
          <w:lang w:val="en-US"/>
        </w:rPr>
        <w:fldChar w:fldCharType="separate"/>
      </w:r>
      <w:r w:rsidR="00C35F3B" w:rsidRPr="00C35F3B">
        <w:rPr>
          <w:rFonts w:ascii="Aptos" w:hAnsi="Aptos"/>
          <w:lang w:val="en-US"/>
        </w:rPr>
        <w:t>(Sturm et al. 2023)</w:t>
      </w:r>
      <w:r w:rsidR="00533033" w:rsidRPr="006F4A9E">
        <w:rPr>
          <w:rFonts w:ascii="Times New Roman" w:hAnsi="Times New Roman" w:cs="Times New Roman"/>
          <w:lang w:val="en-US"/>
        </w:rPr>
        <w:fldChar w:fldCharType="end"/>
      </w:r>
      <w:r w:rsidR="001A5326" w:rsidRPr="006F4A9E">
        <w:rPr>
          <w:rFonts w:ascii="Times New Roman" w:hAnsi="Times New Roman" w:cs="Times New Roman"/>
          <w:lang w:val="en-US"/>
        </w:rPr>
        <w:t>.</w:t>
      </w:r>
      <w:r w:rsidR="0042672D" w:rsidRPr="006F4A9E">
        <w:rPr>
          <w:rFonts w:ascii="Times New Roman" w:hAnsi="Times New Roman" w:cs="Times New Roman"/>
          <w:lang w:val="en-US"/>
        </w:rPr>
        <w:t xml:space="preserve"> </w:t>
      </w:r>
      <w:r w:rsidR="00A44345" w:rsidRPr="006F4A9E">
        <w:rPr>
          <w:rFonts w:ascii="Times New Roman" w:hAnsi="Times New Roman" w:cs="Times New Roman"/>
          <w:lang w:val="en-US"/>
        </w:rPr>
        <w:t xml:space="preserve">The harmonized food price index increased by only 4,2% in Switzerland </w:t>
      </w:r>
      <w:r w:rsidR="00374DB7" w:rsidRPr="006F4A9E">
        <w:rPr>
          <w:rFonts w:ascii="Times New Roman" w:hAnsi="Times New Roman" w:cs="Times New Roman"/>
          <w:lang w:val="en-US"/>
        </w:rPr>
        <w:t>during the global food crisis of 2022</w:t>
      </w:r>
      <w:r w:rsidR="00A44345" w:rsidRPr="006F4A9E">
        <w:rPr>
          <w:rFonts w:ascii="Times New Roman" w:hAnsi="Times New Roman" w:cs="Times New Roman"/>
          <w:lang w:val="en-US"/>
        </w:rPr>
        <w:t xml:space="preserve"> whereas it increased by 16,7% in the European Union </w:t>
      </w:r>
      <w:r w:rsidR="00785484" w:rsidRPr="006F4A9E">
        <w:rPr>
          <w:rFonts w:ascii="Times New Roman" w:hAnsi="Times New Roman" w:cs="Times New Roman"/>
          <w:lang w:val="en-US"/>
        </w:rPr>
        <w:t xml:space="preserve">(EU) </w:t>
      </w:r>
      <w:r w:rsidR="00A44345" w:rsidRPr="006F4A9E">
        <w:rPr>
          <w:rFonts w:ascii="Times New Roman" w:hAnsi="Times New Roman" w:cs="Times New Roman"/>
          <w:lang w:val="en-US"/>
        </w:rPr>
        <w:fldChar w:fldCharType="begin"/>
      </w:r>
      <w:r w:rsidR="00374DB7" w:rsidRPr="006F4A9E">
        <w:rPr>
          <w:rFonts w:ascii="Times New Roman" w:hAnsi="Times New Roman" w:cs="Times New Roman"/>
          <w:lang w:val="en-US"/>
        </w:rPr>
        <w:instrText xml:space="preserve"> ADDIN ZOTERO_ITEM CSL_CITATION {"citationID":"hPMfz7bI","properties":{"formattedCitation":"(Eurostat 2026)","plainCitation":"(Eurostat 2026)","noteIndex":0},"citationItems":[{"id":6609,"uris":["http://zotero.org/groups/6311349/items/DINSZNJG"],"itemData":{"id":6609,"type":"dataset","DOI":"10.2908/PRC_FPMT_M","publisher":"Eurostat","source":"DOI.org (Datacite)","title":"Food Price Monitoring Tool","URL":"https://ec.europa.eu/eurostat/product?code=PRC_FPMT_M","author":[{"literal":"Eurostat"}],"accessed":{"date-parts":[["2026",7,2]]},"issued":{"date-parts":[["2026"]]}}}],"schema":"https://github.com/citation-style-language/schema/raw/master/csl-citation.json"} </w:instrText>
      </w:r>
      <w:r w:rsidR="00A44345" w:rsidRPr="006F4A9E">
        <w:rPr>
          <w:rFonts w:ascii="Times New Roman" w:hAnsi="Times New Roman" w:cs="Times New Roman"/>
          <w:lang w:val="en-US"/>
        </w:rPr>
        <w:fldChar w:fldCharType="separate"/>
      </w:r>
      <w:r w:rsidR="00C35F3B" w:rsidRPr="00C35F3B">
        <w:rPr>
          <w:rFonts w:ascii="Aptos" w:hAnsi="Aptos"/>
          <w:lang w:val="en-US"/>
        </w:rPr>
        <w:t>(Eurostat 2026)</w:t>
      </w:r>
      <w:r w:rsidR="00A44345" w:rsidRPr="006F4A9E">
        <w:rPr>
          <w:rFonts w:ascii="Times New Roman" w:hAnsi="Times New Roman" w:cs="Times New Roman"/>
          <w:lang w:val="en-US"/>
        </w:rPr>
        <w:fldChar w:fldCharType="end"/>
      </w:r>
      <w:r w:rsidR="00374DB7" w:rsidRPr="006F4A9E">
        <w:rPr>
          <w:rFonts w:ascii="Times New Roman" w:hAnsi="Times New Roman" w:cs="Times New Roman"/>
          <w:lang w:val="en-US"/>
        </w:rPr>
        <w:t>.</w:t>
      </w:r>
      <w:r w:rsidR="00785484" w:rsidRPr="006F4A9E">
        <w:rPr>
          <w:rFonts w:ascii="Times New Roman" w:hAnsi="Times New Roman" w:cs="Times New Roman"/>
          <w:lang w:val="en-US"/>
        </w:rPr>
        <w:t xml:space="preserve"> Swiss prices are indeed among the most stable in the world since the last two decades, with an average annual inflation rate of its national consumer price index of only 0,6% between 2000 and 2025. Among developed economies, only Japan has experienced lower inflation (0,5%), whereas inflation rates usually ranged from 1,5% to 2,5% in other </w:t>
      </w:r>
      <w:r w:rsidR="00FA2096" w:rsidRPr="006F4A9E">
        <w:rPr>
          <w:rFonts w:ascii="Times New Roman" w:hAnsi="Times New Roman" w:cs="Times New Roman"/>
          <w:lang w:val="en-US"/>
        </w:rPr>
        <w:t>high-income</w:t>
      </w:r>
      <w:r w:rsidR="00785484" w:rsidRPr="006F4A9E">
        <w:rPr>
          <w:rFonts w:ascii="Times New Roman" w:hAnsi="Times New Roman" w:cs="Times New Roman"/>
          <w:lang w:val="en-US"/>
        </w:rPr>
        <w:t xml:space="preserve"> countries. At the same time, Switzerland has one of the highest price level</w:t>
      </w:r>
      <w:r w:rsidR="00CE6245" w:rsidRPr="006F4A9E">
        <w:rPr>
          <w:rFonts w:ascii="Times New Roman" w:hAnsi="Times New Roman" w:cs="Times New Roman"/>
          <w:lang w:val="en-US"/>
        </w:rPr>
        <w:t>s</w:t>
      </w:r>
      <w:r w:rsidR="00785484" w:rsidRPr="006F4A9E">
        <w:rPr>
          <w:rFonts w:ascii="Times New Roman" w:hAnsi="Times New Roman" w:cs="Times New Roman"/>
          <w:lang w:val="en-US"/>
        </w:rPr>
        <w:t xml:space="preserve"> in the world. </w:t>
      </w:r>
      <w:r w:rsidR="00785484" w:rsidRPr="006F4A9E">
        <w:rPr>
          <w:rFonts w:ascii="Times New Roman" w:hAnsi="Times New Roman" w:cs="Times New Roman"/>
          <w:lang w:val="en-US"/>
        </w:rPr>
        <w:lastRenderedPageBreak/>
        <w:t xml:space="preserve">Its GDP price index is approximately 60% higher than the EU average and final household expenditure prices are higher by 82% </w:t>
      </w:r>
      <w:r w:rsidR="00785484" w:rsidRPr="006F4A9E">
        <w:rPr>
          <w:rFonts w:ascii="Times New Roman" w:hAnsi="Times New Roman" w:cs="Times New Roman"/>
          <w:lang w:val="en-US"/>
        </w:rPr>
        <w:fldChar w:fldCharType="begin"/>
      </w:r>
      <w:r w:rsidR="00C35F3B">
        <w:rPr>
          <w:rFonts w:ascii="Times New Roman" w:hAnsi="Times New Roman" w:cs="Times New Roman"/>
          <w:lang w:val="en-US"/>
        </w:rPr>
        <w:instrText xml:space="preserve"> ADDIN ZOTERO_ITEM CSL_CITATION {"citationID":"hxPsEvQh","properties":{"formattedCitation":"(Albouy and Bordes 2026)","plainCitation":"(Albouy and Bordes 2026)","noteIndex":0},"citationItems":[{"id":6579,"uris":["http://zotero.org/groups/6311349/items/42T8BLWT"],"itemData":{"id":6579,"type":"document","abstract":"Switzerland is roughly 60% more expensive than its neighbouring countries. Consumer prices – particularly for services – are more affected by this than investment prices. This high-price island reveals a two-sided economy: very productive exporting sectors with high wages, and a domestic sector forced to bring itself up to the level of the former, raising prices in the long term. This model contin","language":"fr","publisher":"Direction générale du Trésor","title":"The Swiss High-Price Island","URL":"https://www.tresor.economie.gouv.fr/Articles/2026/01/22/the-swiss-high-price-island","author":[{"family":"Albouy","given":"Martin"},{"family":"Bordes","given":"Gilles"}],"accessed":{"date-parts":[["2026",6,26]]},"issued":{"date-parts":[["2026"]]}}}],"schema":"https://github.com/citation-style-language/schema/raw/master/csl-citation.json"} </w:instrText>
      </w:r>
      <w:r w:rsidR="00785484" w:rsidRPr="006F4A9E">
        <w:rPr>
          <w:rFonts w:ascii="Times New Roman" w:hAnsi="Times New Roman" w:cs="Times New Roman"/>
          <w:lang w:val="en-US"/>
        </w:rPr>
        <w:fldChar w:fldCharType="separate"/>
      </w:r>
      <w:r w:rsidR="00C35F3B" w:rsidRPr="00C35F3B">
        <w:rPr>
          <w:rFonts w:ascii="Aptos" w:hAnsi="Aptos"/>
          <w:lang w:val="en-US"/>
        </w:rPr>
        <w:t>(Albouy and Bordes 2026)</w:t>
      </w:r>
      <w:r w:rsidR="00785484" w:rsidRPr="006F4A9E">
        <w:rPr>
          <w:rFonts w:ascii="Times New Roman" w:hAnsi="Times New Roman" w:cs="Times New Roman"/>
          <w:lang w:val="en-US"/>
        </w:rPr>
        <w:fldChar w:fldCharType="end"/>
      </w:r>
      <w:r w:rsidR="00785484" w:rsidRPr="006F4A9E">
        <w:rPr>
          <w:rFonts w:ascii="Times New Roman" w:hAnsi="Times New Roman" w:cs="Times New Roman"/>
          <w:lang w:val="en-US"/>
        </w:rPr>
        <w:t>.</w:t>
      </w:r>
    </w:p>
    <w:p w14:paraId="11FCAECD" w14:textId="34D5591B" w:rsidR="00DD2D62" w:rsidRDefault="00CE6245" w:rsidP="00DD2D62">
      <w:pPr>
        <w:jc w:val="both"/>
        <w:rPr>
          <w:rFonts w:ascii="Times New Roman" w:hAnsi="Times New Roman" w:cs="Times New Roman"/>
          <w:lang w:val="en-US"/>
        </w:rPr>
      </w:pPr>
      <w:r w:rsidRPr="006F4A9E">
        <w:rPr>
          <w:rFonts w:ascii="Times New Roman" w:hAnsi="Times New Roman" w:cs="Times New Roman"/>
          <w:lang w:val="en-US"/>
        </w:rPr>
        <w:t xml:space="preserve">What </w:t>
      </w:r>
      <w:r w:rsidR="00444C00" w:rsidRPr="006F4A9E">
        <w:rPr>
          <w:rFonts w:ascii="Times New Roman" w:hAnsi="Times New Roman" w:cs="Times New Roman"/>
          <w:lang w:val="en-US"/>
        </w:rPr>
        <w:t xml:space="preserve">factors lie behind the high price levels and low inflation rates in Switzerland? What makes this country particularly resistant to inflationary pressures? </w:t>
      </w:r>
      <w:r w:rsidR="0012669B" w:rsidRPr="006F4A9E">
        <w:rPr>
          <w:rFonts w:ascii="Times New Roman" w:hAnsi="Times New Roman" w:cs="Times New Roman"/>
          <w:lang w:val="en-US"/>
        </w:rPr>
        <w:t xml:space="preserve">The present contribution aims to contribute to the current debates </w:t>
      </w:r>
      <w:r w:rsidR="00EA6EF6" w:rsidRPr="006F4A9E">
        <w:rPr>
          <w:rFonts w:ascii="Times New Roman" w:hAnsi="Times New Roman" w:cs="Times New Roman"/>
          <w:lang w:val="en-US"/>
        </w:rPr>
        <w:t>around the return of inflation through an assessment of the institutional characteristics of the Swiss socio-economic model as well as its policy instruments which make it robust to inflationary pressures.</w:t>
      </w:r>
      <w:r w:rsidR="009F47F8" w:rsidRPr="006F4A9E">
        <w:rPr>
          <w:rFonts w:ascii="Times New Roman" w:hAnsi="Times New Roman" w:cs="Times New Roman"/>
          <w:lang w:val="en-US"/>
        </w:rPr>
        <w:t xml:space="preserve"> There are two main </w:t>
      </w:r>
      <w:r w:rsidR="00E43F5C">
        <w:rPr>
          <w:rFonts w:ascii="Times New Roman" w:hAnsi="Times New Roman" w:cs="Times New Roman"/>
          <w:lang w:val="en-US"/>
        </w:rPr>
        <w:t>currents</w:t>
      </w:r>
      <w:r w:rsidR="009F47F8" w:rsidRPr="006F4A9E">
        <w:rPr>
          <w:rFonts w:ascii="Times New Roman" w:hAnsi="Times New Roman" w:cs="Times New Roman"/>
          <w:lang w:val="en-US"/>
        </w:rPr>
        <w:t xml:space="preserve"> in that regard. On the one hand, New Keynesian</w:t>
      </w:r>
      <w:r w:rsidR="00E43F5C">
        <w:rPr>
          <w:rFonts w:ascii="Times New Roman" w:hAnsi="Times New Roman" w:cs="Times New Roman"/>
          <w:lang w:val="en-US"/>
        </w:rPr>
        <w:t>s</w:t>
      </w:r>
      <w:r w:rsidR="009F47F8" w:rsidRPr="006F4A9E">
        <w:rPr>
          <w:rFonts w:ascii="Times New Roman" w:hAnsi="Times New Roman" w:cs="Times New Roman"/>
          <w:lang w:val="en-US"/>
        </w:rPr>
        <w:t xml:space="preserve"> or New Consensus macroeconomists view inflation as the result of excess demand, that is, when there is a positive gap between actual GDP and potential GDP.</w:t>
      </w:r>
      <w:r w:rsidR="006F4A9E">
        <w:rPr>
          <w:rFonts w:ascii="Times New Roman" w:hAnsi="Times New Roman" w:cs="Times New Roman"/>
          <w:lang w:val="en-US"/>
        </w:rPr>
        <w:t xml:space="preserve"> According to this approach, the inflation of the 2020s is the result of either the fiscal and monetary stimulus in the aftermath of the Covid-19 crisis, or the result of a wage-price spiral. On the other hand, heterodox economists from post-Keynesian and institutionalist strands view inflation mainly as a cost-push phenomenon</w:t>
      </w:r>
      <w:r w:rsidR="00C35F3B">
        <w:rPr>
          <w:rFonts w:ascii="Times New Roman" w:hAnsi="Times New Roman" w:cs="Times New Roman"/>
          <w:lang w:val="en-US"/>
        </w:rPr>
        <w:t xml:space="preserve"> triggered by supply shocks affecting sectors with systemically significant prices which propagate more strongly to the rest of the economy such as energy </w:t>
      </w:r>
      <w:r w:rsidR="00C35F3B">
        <w:rPr>
          <w:rFonts w:ascii="Times New Roman" w:hAnsi="Times New Roman" w:cs="Times New Roman"/>
          <w:lang w:val="en-US"/>
        </w:rPr>
        <w:fldChar w:fldCharType="begin"/>
      </w:r>
      <w:r w:rsidR="00C35F3B">
        <w:rPr>
          <w:rFonts w:ascii="Times New Roman" w:hAnsi="Times New Roman" w:cs="Times New Roman"/>
          <w:lang w:val="en-US"/>
        </w:rPr>
        <w:instrText xml:space="preserve"> ADDIN ZOTERO_ITEM CSL_CITATION {"citationID":"23TK3jy2","properties":{"formattedCitation":"(Weber et al. 2024, 2026)","plainCitation":"(Weber et al. 2024, 2026)","noteIndex":0},"citationItems":[{"id":4944,"uris":["http://zotero.org/groups/6311349/items/I2LQMEPA"],"itemData":{"id":4944,"type":"article-journal","abstract":"In the overlapping global emergencies of the pandemic, climate change and geopolitical confrontations, supply shocks have become frequent and inflation has returned. This raises the question of how sector-specific shocks are related to overall price stability. This paper simulates price shocks in an input–output model to identify sectors which present systemic vulnerabilities for monetary stability in the United States. We call these prices systemically significant. We find that in our simulations the pre-pandemic average price volatilities and the price shocks in the COVID-19 and Ukraine war inflation yield an almost identical set of systemically significant prices. The sectors with systemically significant prices fall into four groups: energy, basic production inputs other than energy, basic necessities, and commercial infrastructure. Specifically, they are “Petroleum and coal products,” “Oil and gas extraction,” “Utilities,” “Chemical products,” “Farms,” “Food and beverage and tobacco products,” “Housing,” and “Wholesale trade.” We argue that in times of overlapping emergencies, economic stabilization needs to go beyond monetary policy and requires institutions and policies that can target these systemically significant sectors.","container-title":"Industrial and Corporate Change","DOI":"10.1093/icc/dtad080","ISSN":"0960-6491","issue":"2","journalAbbreviation":"Ind Corp Change","page":"297-341","source":"Silverchair","title":"Inflation in times of overlapping emergencies: Systemically significant prices from an input–output perspective","title-short":"Inflation in times of overlapping emergencies","volume":"33","author":[{"family":"Weber","given":"Isabella M"},{"family":"Lara Jauregui","given":"Jesus"},{"family":"Teixeira","given":"Lucas"},{"family":"Nassif Pires","given":"Luiza"}],"issued":{"date-parts":[["2024",4,1]]}}},{"id":6586,"uris":["http://zotero.org/groups/6311349/items/8YS97DDS"],"itemData":{"id":6586,"type":"article-journal","abstract":"Climate change and geopolitical tensions render supply shocks more likely, which can trigger inflation (“shockflation”). Additionally, the EU's reliance upon an emissions trading system as its chief climate mitigation policy can give rise to inflation (“carbonflation”). Through simulations using an input-output price model for Germany, we show that the same systemically significant sectors – those essential for human livelihoods, production and commerce – present points of vulnerability for shockflation and also carbonflation, if carbon markets are the only policy tool deployed to cut emissions. A total of up to 91.3 percent of potential carbonflation can be attributed to just six systemically significant sectors. Our findings remain robust under varying assumptions regarding substitution and passthrough effects. We identify three pathways to systemic significance: CPI weight, price volatility and upstreamness. This can inform decarbonization policies that pursue both a green transition of the energy system and stabilization.","container-title":"Energy Policy","DOI":"10.1016/j.enpol.2026.115395","ISSN":"0301-4215","journalAbbreviation":"Energy Policy","page":"115395","source":"ScienceDirect","title":"Carbon prices and inflation in a world of shocks: Systemically significant prices and industrial policy targeting in Germany","title-short":"Carbon prices and inflation in a world of shocks","volume":"217","author":[{"family":"Weber","given":"Isabella M."},{"family":"Thie","given":"Jan-Erik"},{"family":"Jauregui","given":"Jesus Lara"},{"family":"Teixeira","given":"Lucas"}],"issued":{"date-parts":[["2026",10,1]]}}}],"schema":"https://github.com/citation-style-language/schema/raw/master/csl-citation.json"} </w:instrText>
      </w:r>
      <w:r w:rsidR="00C35F3B">
        <w:rPr>
          <w:rFonts w:ascii="Times New Roman" w:hAnsi="Times New Roman" w:cs="Times New Roman"/>
          <w:lang w:val="en-US"/>
        </w:rPr>
        <w:fldChar w:fldCharType="separate"/>
      </w:r>
      <w:r w:rsidR="00C35F3B" w:rsidRPr="00C35F3B">
        <w:rPr>
          <w:rFonts w:ascii="Aptos" w:hAnsi="Aptos"/>
          <w:lang w:val="en-US"/>
        </w:rPr>
        <w:t>(Weber et al. 2024, 2026)</w:t>
      </w:r>
      <w:r w:rsidR="00C35F3B">
        <w:rPr>
          <w:rFonts w:ascii="Times New Roman" w:hAnsi="Times New Roman" w:cs="Times New Roman"/>
          <w:lang w:val="en-US"/>
        </w:rPr>
        <w:fldChar w:fldCharType="end"/>
      </w:r>
      <w:r w:rsidR="00C35F3B">
        <w:rPr>
          <w:rFonts w:ascii="Times New Roman" w:hAnsi="Times New Roman" w:cs="Times New Roman"/>
          <w:lang w:val="en-US"/>
        </w:rPr>
        <w:t xml:space="preserve">. Whereas </w:t>
      </w:r>
      <w:r w:rsidR="00DD2D62">
        <w:rPr>
          <w:rFonts w:ascii="Times New Roman" w:hAnsi="Times New Roman" w:cs="Times New Roman"/>
          <w:lang w:val="en-US"/>
        </w:rPr>
        <w:t xml:space="preserve">neo-Keynesians </w:t>
      </w:r>
      <w:r w:rsidR="00C35F3B">
        <w:rPr>
          <w:rFonts w:ascii="Times New Roman" w:hAnsi="Times New Roman" w:cs="Times New Roman"/>
          <w:lang w:val="en-US"/>
        </w:rPr>
        <w:t xml:space="preserve">advocate tight monetary policy to reduce aggregate demand to fight inflation, heterodox economists propose more encompassing set of policies and reforms. </w:t>
      </w:r>
      <w:r w:rsidR="00554F3C">
        <w:rPr>
          <w:rFonts w:ascii="Times New Roman" w:hAnsi="Times New Roman" w:cs="Times New Roman"/>
          <w:lang w:val="en-US"/>
        </w:rPr>
        <w:t>Among those policies, price control is arguably the most salient instrument in that regard, as it is considered as a relevant measure to a situation where price increases are driven by increases in the mark-ups of firms in highly cartelized and non-competitive sectors</w:t>
      </w:r>
      <w:r w:rsidR="001A7212">
        <w:rPr>
          <w:rFonts w:ascii="Times New Roman" w:hAnsi="Times New Roman" w:cs="Times New Roman"/>
          <w:lang w:val="en-US"/>
        </w:rPr>
        <w:t xml:space="preserve"> which take advantages of the scarcity of raw materials in times of shortage crisis.</w:t>
      </w:r>
      <w:r w:rsidR="00DD2D62">
        <w:rPr>
          <w:rFonts w:ascii="Times New Roman" w:hAnsi="Times New Roman" w:cs="Times New Roman"/>
          <w:lang w:val="en-US"/>
        </w:rPr>
        <w:t xml:space="preserve"> </w:t>
      </w:r>
      <w:r w:rsidR="00DD2D62" w:rsidRPr="00DD2D62">
        <w:rPr>
          <w:rFonts w:ascii="Times New Roman" w:hAnsi="Times New Roman" w:cs="Times New Roman"/>
          <w:lang w:val="en-US"/>
        </w:rPr>
        <w:t xml:space="preserve">Given the unique characteristics of its institutions and economic policies, Switzerland </w:t>
      </w:r>
      <w:r w:rsidR="00CF16D5">
        <w:rPr>
          <w:rFonts w:ascii="Times New Roman" w:hAnsi="Times New Roman" w:cs="Times New Roman"/>
          <w:lang w:val="en-US"/>
        </w:rPr>
        <w:t xml:space="preserve">thus </w:t>
      </w:r>
      <w:r w:rsidR="00DD2D62" w:rsidRPr="00DD2D62">
        <w:rPr>
          <w:rFonts w:ascii="Times New Roman" w:hAnsi="Times New Roman" w:cs="Times New Roman"/>
          <w:lang w:val="en-US"/>
        </w:rPr>
        <w:t>constitutes a particularly compelling case for assessing inflation stabilization policies</w:t>
      </w:r>
      <w:r w:rsidR="00E43F5C">
        <w:rPr>
          <w:rFonts w:ascii="Times New Roman" w:hAnsi="Times New Roman" w:cs="Times New Roman"/>
          <w:lang w:val="en-US"/>
        </w:rPr>
        <w:t xml:space="preserve">. </w:t>
      </w:r>
    </w:p>
    <w:p w14:paraId="6DEBA3C1" w14:textId="608E726E" w:rsidR="007C1001" w:rsidRDefault="007C1001" w:rsidP="00DD2D62">
      <w:pPr>
        <w:jc w:val="both"/>
        <w:rPr>
          <w:rFonts w:ascii="Times New Roman" w:hAnsi="Times New Roman" w:cs="Times New Roman"/>
          <w:i/>
          <w:iCs/>
          <w:lang w:val="en-US"/>
        </w:rPr>
      </w:pPr>
      <w:r>
        <w:rPr>
          <w:rFonts w:ascii="Times New Roman" w:hAnsi="Times New Roman" w:cs="Times New Roman"/>
          <w:lang w:val="en-US"/>
        </w:rPr>
        <w:t xml:space="preserve">The paper is structured as follows. The first section reviews the literature on the factors behind Switzerland’s low inflation and high price level. The second section then assess these factors by presenting a set of stylized facts about price dynamics in Switzerland. In the third section, we run an input-output model to evaluate the impact of the… </w:t>
      </w:r>
      <w:r w:rsidRPr="007C1001">
        <w:rPr>
          <w:rFonts w:ascii="Times New Roman" w:hAnsi="Times New Roman" w:cs="Times New Roman"/>
          <w:i/>
          <w:iCs/>
          <w:lang w:val="en-US"/>
        </w:rPr>
        <w:t>to be continued</w:t>
      </w:r>
    </w:p>
    <w:p w14:paraId="5E5B3F24" w14:textId="107C1DD1" w:rsidR="007C1001" w:rsidRPr="007C1001" w:rsidRDefault="007C1001" w:rsidP="007C1001">
      <w:pPr>
        <w:pStyle w:val="Titre1"/>
        <w:rPr>
          <w:lang w:val="en-US"/>
        </w:rPr>
      </w:pPr>
      <w:r>
        <w:rPr>
          <w:lang w:val="en-US"/>
        </w:rPr>
        <w:t>Literature Review</w:t>
      </w:r>
    </w:p>
    <w:p w14:paraId="00EFA5A1" w14:textId="77C8383F" w:rsidR="00CE6245" w:rsidRDefault="007C1001" w:rsidP="00014443">
      <w:pPr>
        <w:jc w:val="both"/>
        <w:rPr>
          <w:rFonts w:ascii="Times New Roman" w:hAnsi="Times New Roman" w:cs="Times New Roman"/>
          <w:lang w:val="en-US"/>
        </w:rPr>
      </w:pPr>
      <w:r>
        <w:rPr>
          <w:rFonts w:ascii="Times New Roman" w:hAnsi="Times New Roman" w:cs="Times New Roman"/>
          <w:lang w:val="en-US"/>
        </w:rPr>
        <w:t xml:space="preserve"> Due to the diminished importance of inflation in Switzerland, the scientific literature on the determinants of the country’s inflation dynamics is rather scarce. One can nonetheless identify several types of explanations</w:t>
      </w:r>
      <w:r w:rsidR="00CF16D5">
        <w:rPr>
          <w:rFonts w:ascii="Times New Roman" w:hAnsi="Times New Roman" w:cs="Times New Roman"/>
          <w:lang w:val="en-US"/>
        </w:rPr>
        <w:t>,</w:t>
      </w:r>
      <w:r>
        <w:rPr>
          <w:rFonts w:ascii="Times New Roman" w:hAnsi="Times New Roman" w:cs="Times New Roman"/>
          <w:lang w:val="en-US"/>
        </w:rPr>
        <w:t xml:space="preserve"> which are the following.</w:t>
      </w:r>
    </w:p>
    <w:p w14:paraId="45A4B815" w14:textId="626464D6" w:rsidR="007C4BFE" w:rsidRDefault="007C4BFE" w:rsidP="007C4BFE">
      <w:pPr>
        <w:pStyle w:val="Titre2"/>
        <w:rPr>
          <w:lang w:val="en-US"/>
        </w:rPr>
      </w:pPr>
      <w:r>
        <w:rPr>
          <w:lang w:val="en-US"/>
        </w:rPr>
        <w:t>The structural appreciation of the Swiss franc and its safe-haven status</w:t>
      </w:r>
    </w:p>
    <w:p w14:paraId="3885D48D" w14:textId="04B2A023" w:rsidR="007C1001" w:rsidRPr="006F4A9E" w:rsidRDefault="007C1001" w:rsidP="00014443">
      <w:pPr>
        <w:jc w:val="both"/>
        <w:rPr>
          <w:rFonts w:ascii="Times New Roman" w:hAnsi="Times New Roman" w:cs="Times New Roman"/>
          <w:lang w:val="en-US"/>
        </w:rPr>
      </w:pPr>
      <w:r>
        <w:rPr>
          <w:rFonts w:ascii="Times New Roman" w:hAnsi="Times New Roman" w:cs="Times New Roman"/>
          <w:lang w:val="en-US"/>
        </w:rPr>
        <w:t xml:space="preserve">The first and perhaps most widespread explanation resides in the status of the Swiss franc as a </w:t>
      </w:r>
      <w:r w:rsidR="00012DD0">
        <w:rPr>
          <w:rFonts w:ascii="Times New Roman" w:hAnsi="Times New Roman" w:cs="Times New Roman"/>
          <w:lang w:val="en-US"/>
        </w:rPr>
        <w:t xml:space="preserve">strong </w:t>
      </w:r>
      <w:r>
        <w:rPr>
          <w:rFonts w:ascii="Times New Roman" w:hAnsi="Times New Roman" w:cs="Times New Roman"/>
          <w:lang w:val="en-US"/>
        </w:rPr>
        <w:t>safe-haven currency.</w:t>
      </w:r>
      <w:r w:rsidR="00012DD0">
        <w:rPr>
          <w:rFonts w:ascii="Times New Roman" w:hAnsi="Times New Roman" w:cs="Times New Roman"/>
          <w:lang w:val="en-US"/>
        </w:rPr>
        <w:t xml:space="preserve"> The Swiss franc is indeed considered as one of the most sought-after assets in times of financial and economic crisis </w:t>
      </w:r>
      <w:r w:rsidR="00012DD0">
        <w:rPr>
          <w:rFonts w:ascii="Times New Roman" w:hAnsi="Times New Roman" w:cs="Times New Roman"/>
          <w:lang w:val="en-US"/>
        </w:rPr>
        <w:fldChar w:fldCharType="begin"/>
      </w:r>
      <w:r w:rsidR="00012DD0">
        <w:rPr>
          <w:rFonts w:ascii="Times New Roman" w:hAnsi="Times New Roman" w:cs="Times New Roman"/>
          <w:lang w:val="en-US"/>
        </w:rPr>
        <w:instrText xml:space="preserve"> ADDIN ZOTERO_ITEM CSL_CITATION {"citationID":"j1Z4ZU9l","properties":{"formattedCitation":"(Fatum and Yamamoto 2016; Lee 2017)","plainCitation":"(Fatum and Yamamoto 2016; Lee 2017)","noteIndex":0},"citationItems":[{"id":6630,"uris":["http://zotero.org/groups/6311349/items/TL76UYFZ"],"itemData":{"id":6630,"type":"article-journal","abstract":"We investigate intra-safe haven currency behavior during the recent global financial crisis. We first assess which safe haven currency is the “safest”. We then use non-temporal threshold analysis to investigate whether intra-safe haven currency behavior changes as market uncertainty increases. We find that the JPY is the “safest” of safe haven currencies and that only the JPY appreciates as market uncertainty increases regardless of the prevailing level of uncertainty. Our results may have important implications for central banks optimizing their relative composition of international currency reserve holdings with respect to returns in USD terms and for foreign currency market investors in general.","collection-title":"The New Normal in the Post-Crisis Era","container-title":"Journal of International Money and Finance","DOI":"10.1016/j.jimonfin.2015.12.007","ISSN":"0261-5606","journalAbbreviation":"Journal of International Money and Finance","page":"49-64","source":"ScienceDirect","title":"Intra-safe haven currency behavior during the global financial crisis","volume":"66","author":[{"family":"Fatum","given":"Rasmus"},{"family":"Yamamoto","given":"Yohei"}],"issued":{"date-parts":[["2016",9,1]]}}},{"id":6627,"uris":["http://zotero.org/groups/6311349/items/6ZV6WD2B"],"itemData":{"id":6627,"type":"article-journal","abstract":"This paper attempts to empirically identify strong safe havens among six currencies: the Swiss franc, Japanese yen, British pound, euro, Canadian dollar and Norwegian krone. Using Markov regime-switching vector autoregressive models, we test whether the currencies are negatively related to risky assets and whether the negative relation is stronger in times of crisis than in times of growth. We find that (1) the Swiss franc and Japanese yen qualify as strong safe havens, and (2) the other currencies qualify as “equity-like” or risky currencies.","container-title":"Review of International Economics","DOI":"10.1111/roie.12289","ISSN":"1467-9396","issue":"4","language":"en","license":"© 2017 John Wiley &amp; Sons Ltd","note":"_eprint: https://onlinelibrary.wiley.com/doi/pdf/10.1111/roie.12289","page":"924-947","source":"Wiley Online Library","title":"Safe-haven currency: An empirical identification","title-short":"Safe-haven currency","volume":"25","author":[{"family":"Lee","given":"Kang-Soek"}],"issued":{"date-parts":[["2017"]]}}}],"schema":"https://github.com/citation-style-language/schema/raw/master/csl-citation.json"} </w:instrText>
      </w:r>
      <w:r w:rsidR="00012DD0">
        <w:rPr>
          <w:rFonts w:ascii="Times New Roman" w:hAnsi="Times New Roman" w:cs="Times New Roman"/>
          <w:lang w:val="en-US"/>
        </w:rPr>
        <w:fldChar w:fldCharType="separate"/>
      </w:r>
      <w:r w:rsidR="00012DD0" w:rsidRPr="00012DD0">
        <w:rPr>
          <w:rFonts w:ascii="Aptos" w:hAnsi="Aptos"/>
          <w:lang w:val="en-US"/>
        </w:rPr>
        <w:t>(Fatum and Yamamoto 2016; Lee 2017)</w:t>
      </w:r>
      <w:r w:rsidR="00012DD0">
        <w:rPr>
          <w:rFonts w:ascii="Times New Roman" w:hAnsi="Times New Roman" w:cs="Times New Roman"/>
          <w:lang w:val="en-US"/>
        </w:rPr>
        <w:fldChar w:fldCharType="end"/>
      </w:r>
      <w:r w:rsidR="00012DD0">
        <w:rPr>
          <w:rFonts w:ascii="Times New Roman" w:hAnsi="Times New Roman" w:cs="Times New Roman"/>
          <w:lang w:val="en-US"/>
        </w:rPr>
        <w:t>.</w:t>
      </w:r>
      <w:r w:rsidR="00E54D69">
        <w:rPr>
          <w:rFonts w:ascii="Times New Roman" w:hAnsi="Times New Roman" w:cs="Times New Roman"/>
          <w:lang w:val="en-US"/>
        </w:rPr>
        <w:t xml:space="preserve"> </w:t>
      </w:r>
      <w:r w:rsidR="00E54D69">
        <w:rPr>
          <w:rFonts w:ascii="Times New Roman" w:hAnsi="Times New Roman" w:cs="Times New Roman"/>
          <w:lang w:val="en-US"/>
        </w:rPr>
        <w:lastRenderedPageBreak/>
        <w:fldChar w:fldCharType="begin"/>
      </w:r>
      <w:r w:rsidR="00FD583F">
        <w:rPr>
          <w:rFonts w:ascii="Times New Roman" w:hAnsi="Times New Roman" w:cs="Times New Roman"/>
          <w:lang w:val="en-US"/>
        </w:rPr>
        <w:instrText xml:space="preserve"> ADDIN ZOTERO_ITEM CSL_CITATION {"citationID":"4IBWDFAi","properties":{"formattedCitation":"(Baltensperger and Kugler 2016)","plainCitation":"(Baltensperger and Kugler 2016)","dontUpdate":true,"noteIndex":0},"citationItems":[{"id":6474,"uris":["http://zotero.org/groups/6311349/items/EQMH2ABU"],"itemData":{"id":6474,"type":"article-journal","abstract":"An empirical analysis of international interest rates and of the behavior of the exchange rate of the Swiss franc since 1850 leads to the conclusion that World War I marks the origin of the strong currency and safe haven status of the Swiss franc. Before World War I, interest rates point to a weakness of the Swiss currency against the pound, the guilder and French franc (from 1881 to 1913) that is shared with the German mark. Thereafter, we see the pattern of the Swiss interest rate island develop and become especially pronounced during the Bretton Woods years. Deviations from metallic parities confirm these findings. For the period after World War I, we establish a strong and stable real and nominal trend appreciation against the pound and the dollar that reflects, to a sizeable extent, inflation differentials.","container-title":"Aussenwirtschaft","ISSN":"0004-8216","issue":"2","language":"eng","license":"http://www.econstor.eu/dspace/Nutzungsbedingungen","page":"1-30","publisher":"St.Gallen: Universität St.Gallen, Schweizerisches Institut für Aussenwirtschaft und Angewandte Wirtschaftsforschung (SIAW-HSG)","source":"www.econstor.eu","title":"The historical origins of the safe haven status of the Swiss franc","volume":"67","author":[{"family":"Baltensperger","given":"Ernst"},{"family":"Kugler","given":"Peter"}],"issued":{"date-parts":[["2016"]]}}}],"schema":"https://github.com/citation-style-language/schema/raw/master/csl-citation.json"} </w:instrText>
      </w:r>
      <w:r w:rsidR="00E54D69">
        <w:rPr>
          <w:rFonts w:ascii="Times New Roman" w:hAnsi="Times New Roman" w:cs="Times New Roman"/>
          <w:lang w:val="en-US"/>
        </w:rPr>
        <w:fldChar w:fldCharType="separate"/>
      </w:r>
      <w:proofErr w:type="spellStart"/>
      <w:r w:rsidR="00E54D69" w:rsidRPr="00E54D69">
        <w:rPr>
          <w:rFonts w:ascii="Aptos" w:hAnsi="Aptos"/>
          <w:lang w:val="en-US"/>
        </w:rPr>
        <w:t>Baltensperger</w:t>
      </w:r>
      <w:proofErr w:type="spellEnd"/>
      <w:r w:rsidR="00E54D69" w:rsidRPr="00E54D69">
        <w:rPr>
          <w:rFonts w:ascii="Aptos" w:hAnsi="Aptos"/>
          <w:lang w:val="en-US"/>
        </w:rPr>
        <w:t xml:space="preserve"> and Kugler </w:t>
      </w:r>
      <w:r w:rsidR="00E54D69">
        <w:rPr>
          <w:rFonts w:ascii="Aptos" w:hAnsi="Aptos"/>
          <w:lang w:val="en-US"/>
        </w:rPr>
        <w:t>(</w:t>
      </w:r>
      <w:r w:rsidR="00E54D69" w:rsidRPr="00E54D69">
        <w:rPr>
          <w:rFonts w:ascii="Aptos" w:hAnsi="Aptos"/>
          <w:lang w:val="en-US"/>
        </w:rPr>
        <w:t>2016)</w:t>
      </w:r>
      <w:r w:rsidR="00E54D69">
        <w:rPr>
          <w:rFonts w:ascii="Times New Roman" w:hAnsi="Times New Roman" w:cs="Times New Roman"/>
          <w:lang w:val="en-US"/>
        </w:rPr>
        <w:fldChar w:fldCharType="end"/>
      </w:r>
      <w:r w:rsidR="00E54D69">
        <w:rPr>
          <w:rFonts w:ascii="Times New Roman" w:hAnsi="Times New Roman" w:cs="Times New Roman"/>
          <w:lang w:val="en-US"/>
        </w:rPr>
        <w:t xml:space="preserve"> dates the status</w:t>
      </w:r>
      <w:r w:rsidR="009E2899">
        <w:rPr>
          <w:noProof/>
        </w:rPr>
        <mc:AlternateContent>
          <mc:Choice Requires="wps">
            <w:drawing>
              <wp:anchor distT="0" distB="0" distL="114300" distR="114300" simplePos="0" relativeHeight="251660288" behindDoc="0" locked="0" layoutInCell="1" allowOverlap="1" wp14:anchorId="67C617CA" wp14:editId="3B6F14FB">
                <wp:simplePos x="0" y="0"/>
                <wp:positionH relativeFrom="column">
                  <wp:posOffset>1905</wp:posOffset>
                </wp:positionH>
                <wp:positionV relativeFrom="paragraph">
                  <wp:posOffset>4173855</wp:posOffset>
                </wp:positionV>
                <wp:extent cx="5759450" cy="635"/>
                <wp:effectExtent l="0" t="0" r="0" b="0"/>
                <wp:wrapSquare wrapText="bothSides"/>
                <wp:docPr id="45673655" name="Zone de texte 1"/>
                <wp:cNvGraphicFramePr/>
                <a:graphic xmlns:a="http://schemas.openxmlformats.org/drawingml/2006/main">
                  <a:graphicData uri="http://schemas.microsoft.com/office/word/2010/wordprocessingShape">
                    <wps:wsp>
                      <wps:cNvSpPr txBox="1"/>
                      <wps:spPr>
                        <a:xfrm>
                          <a:off x="0" y="0"/>
                          <a:ext cx="5759450" cy="635"/>
                        </a:xfrm>
                        <a:prstGeom prst="rect">
                          <a:avLst/>
                        </a:prstGeom>
                        <a:solidFill>
                          <a:prstClr val="white"/>
                        </a:solidFill>
                        <a:ln>
                          <a:noFill/>
                        </a:ln>
                      </wps:spPr>
                      <wps:txbx>
                        <w:txbxContent>
                          <w:p w14:paraId="241ACE12" w14:textId="715E2C71" w:rsidR="009E2899" w:rsidRPr="009E2899" w:rsidRDefault="009E2899" w:rsidP="009E2899">
                            <w:pPr>
                              <w:pStyle w:val="Lgende"/>
                              <w:rPr>
                                <w:rFonts w:ascii="Times New Roman" w:hAnsi="Times New Roman" w:cs="Times New Roman"/>
                                <w:lang w:val="en-US"/>
                              </w:rPr>
                            </w:pPr>
                            <w:r w:rsidRPr="009E2899">
                              <w:rPr>
                                <w:lang w:val="en-US"/>
                              </w:rPr>
                              <w:t xml:space="preserve">Figure </w:t>
                            </w:r>
                            <w:r>
                              <w:fldChar w:fldCharType="begin"/>
                            </w:r>
                            <w:r w:rsidRPr="009E2899">
                              <w:rPr>
                                <w:lang w:val="en-US"/>
                              </w:rPr>
                              <w:instrText xml:space="preserve"> SEQ Figure \* ARABIC </w:instrText>
                            </w:r>
                            <w:r>
                              <w:fldChar w:fldCharType="separate"/>
                            </w:r>
                            <w:r w:rsidRPr="009E2899">
                              <w:rPr>
                                <w:noProof/>
                                <w:lang w:val="en-US"/>
                              </w:rPr>
                              <w:t>1</w:t>
                            </w:r>
                            <w:r>
                              <w:fldChar w:fldCharType="end"/>
                            </w:r>
                            <w:r w:rsidRPr="009E2899">
                              <w:rPr>
                                <w:lang w:val="en-US"/>
                              </w:rPr>
                              <w:t> : Nominal and Real effective e</w:t>
                            </w:r>
                            <w:r>
                              <w:rPr>
                                <w:lang w:val="en-US"/>
                              </w:rPr>
                              <w:t xml:space="preserve">xchange rate of the Swiss franc (1973-2025). The </w:t>
                            </w:r>
                            <w:r w:rsidRPr="009E2899">
                              <w:rPr>
                                <w:lang w:val="en-US"/>
                              </w:rPr>
                              <w:t>nominal effective Swiss franc exchange rate index</w:t>
                            </w:r>
                            <w:r w:rsidRPr="009E2899">
                              <w:rPr>
                                <w:lang w:val="en-US"/>
                              </w:rPr>
                              <w:t xml:space="preserve"> </w:t>
                            </w:r>
                            <w:r>
                              <w:rPr>
                                <w:lang w:val="en-US"/>
                              </w:rPr>
                              <w:t xml:space="preserve">measures movements </w:t>
                            </w:r>
                            <w:r w:rsidRPr="009E2899">
                              <w:rPr>
                                <w:lang w:val="en-US"/>
                              </w:rPr>
                              <w:t>in the Swiss franc exchange rate against the currencies of Switzerland’s most important trading partners</w:t>
                            </w:r>
                            <w:r>
                              <w:rPr>
                                <w:lang w:val="en-US"/>
                              </w:rPr>
                              <w:t>. Increases imply an appreciation. Data source: Swiss National Bank.</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67C617CA" id="_x0000_t202" coordsize="21600,21600" o:spt="202" path="m,l,21600r21600,l21600,xe">
                <v:stroke joinstyle="miter"/>
                <v:path gradientshapeok="t" o:connecttype="rect"/>
              </v:shapetype>
              <v:shape id="Zone de texte 1" o:spid="_x0000_s1026" type="#_x0000_t202" style="position:absolute;left:0;text-align:left;margin-left:.15pt;margin-top:328.65pt;width:453.5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" stroked="f">
                <v:textbox style="mso-fit-shape-to-text:t" inset="0,0,0,0">
                  <w:txbxContent>
                    <w:p w14:paraId="241ACE12" w14:textId="715E2C71" w:rsidR="009E2899" w:rsidRPr="009E2899" w:rsidRDefault="009E2899" w:rsidP="009E2899">
                      <w:pPr>
                        <w:pStyle w:val="Lgende"/>
                        <w:rPr>
                          <w:rFonts w:ascii="Times New Roman" w:hAnsi="Times New Roman" w:cs="Times New Roman"/>
                          <w:lang w:val="en-US"/>
                        </w:rPr>
                      </w:pPr>
                      <w:r w:rsidRPr="009E2899">
                        <w:rPr>
                          <w:lang w:val="en-US"/>
                        </w:rPr>
                        <w:t xml:space="preserve">Figure </w:t>
                      </w:r>
                      <w:r>
                        <w:fldChar w:fldCharType="begin"/>
                      </w:r>
                      <w:r w:rsidRPr="009E2899">
                        <w:rPr>
                          <w:lang w:val="en-US"/>
                        </w:rPr>
                        <w:instrText xml:space="preserve"> SEQ Figure \* ARABIC </w:instrText>
                      </w:r>
                      <w:r>
                        <w:fldChar w:fldCharType="separate"/>
                      </w:r>
                      <w:r w:rsidRPr="009E2899">
                        <w:rPr>
                          <w:noProof/>
                          <w:lang w:val="en-US"/>
                        </w:rPr>
                        <w:t>1</w:t>
                      </w:r>
                      <w:r>
                        <w:fldChar w:fldCharType="end"/>
                      </w:r>
                      <w:r w:rsidRPr="009E2899">
                        <w:rPr>
                          <w:lang w:val="en-US"/>
                        </w:rPr>
                        <w:t> : Nominal and Real effective e</w:t>
                      </w:r>
                      <w:r>
                        <w:rPr>
                          <w:lang w:val="en-US"/>
                        </w:rPr>
                        <w:t xml:space="preserve">xchange rate of the Swiss franc (1973-2025). The </w:t>
                      </w:r>
                      <w:r w:rsidRPr="009E2899">
                        <w:rPr>
                          <w:lang w:val="en-US"/>
                        </w:rPr>
                        <w:t>nominal effective Swiss franc exchange rate index</w:t>
                      </w:r>
                      <w:r w:rsidRPr="009E2899">
                        <w:rPr>
                          <w:lang w:val="en-US"/>
                        </w:rPr>
                        <w:t xml:space="preserve"> </w:t>
                      </w:r>
                      <w:r>
                        <w:rPr>
                          <w:lang w:val="en-US"/>
                        </w:rPr>
                        <w:t xml:space="preserve">measures movements </w:t>
                      </w:r>
                      <w:r w:rsidRPr="009E2899">
                        <w:rPr>
                          <w:lang w:val="en-US"/>
                        </w:rPr>
                        <w:t>in the Swiss franc exchange rate against the currencies of Switzerland’s most important trading partners</w:t>
                      </w:r>
                      <w:r>
                        <w:rPr>
                          <w:lang w:val="en-US"/>
                        </w:rPr>
                        <w:t>. Increases imply an appreciation. Data source: Swiss National Bank.</w:t>
                      </w:r>
                    </w:p>
                  </w:txbxContent>
                </v:textbox>
                <w10:wrap type="square"/>
              </v:shape>
            </w:pict>
          </mc:Fallback>
        </mc:AlternateContent>
      </w:r>
      <w:r w:rsidR="009E2899">
        <w:rPr>
          <w:rFonts w:ascii="Times New Roman" w:hAnsi="Times New Roman" w:cs="Times New Roman"/>
          <w:noProof/>
          <w:lang w:val="en-US"/>
        </w:rPr>
        <w:drawing>
          <wp:anchor distT="0" distB="0" distL="114300" distR="114300" simplePos="0" relativeHeight="251658240" behindDoc="0" locked="0" layoutInCell="1" allowOverlap="1" wp14:anchorId="6B4A76C4" wp14:editId="04BCF322">
            <wp:simplePos x="0" y="0"/>
            <wp:positionH relativeFrom="column">
              <wp:posOffset>1905</wp:posOffset>
            </wp:positionH>
            <wp:positionV relativeFrom="paragraph">
              <wp:posOffset>1905</wp:posOffset>
            </wp:positionV>
            <wp:extent cx="5759450" cy="4114800"/>
            <wp:effectExtent l="0" t="0" r="0" b="0"/>
            <wp:wrapSquare wrapText="bothSides"/>
            <wp:docPr id="123480707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59450" cy="4114800"/>
                    </a:xfrm>
                    <a:prstGeom prst="rect">
                      <a:avLst/>
                    </a:prstGeom>
                    <a:noFill/>
                    <a:ln>
                      <a:noFill/>
                    </a:ln>
                  </pic:spPr>
                </pic:pic>
              </a:graphicData>
            </a:graphic>
          </wp:anchor>
        </w:drawing>
      </w:r>
      <w:r w:rsidR="00E54D69">
        <w:rPr>
          <w:rFonts w:ascii="Times New Roman" w:hAnsi="Times New Roman" w:cs="Times New Roman"/>
          <w:lang w:val="en-US"/>
        </w:rPr>
        <w:t xml:space="preserve"> of the Swiss franc as a safe-haven currency back to the first World War, when this status mirrored Switzerland’s strong political, economic and monetary stability.</w:t>
      </w:r>
      <w:r w:rsidR="007C4BFE">
        <w:rPr>
          <w:rFonts w:ascii="Times New Roman" w:hAnsi="Times New Roman" w:cs="Times New Roman"/>
          <w:lang w:val="en-US"/>
        </w:rPr>
        <w:t xml:space="preserve"> However, it is with the end of the Bretton Woods system that the Swiss franc clearly appeared as a safe</w:t>
      </w:r>
      <w:r w:rsidR="003E1AB4">
        <w:rPr>
          <w:rFonts w:ascii="Times New Roman" w:hAnsi="Times New Roman" w:cs="Times New Roman"/>
          <w:lang w:val="en-US"/>
        </w:rPr>
        <w:t>-haven and structurally appreciating currency.</w:t>
      </w:r>
      <w:r w:rsidR="0032214C">
        <w:rPr>
          <w:rFonts w:ascii="Times New Roman" w:hAnsi="Times New Roman" w:cs="Times New Roman"/>
          <w:lang w:val="en-US"/>
        </w:rPr>
        <w:t xml:space="preserve"> As shown in figure 1, </w:t>
      </w:r>
      <w:r w:rsidR="002E6801">
        <w:rPr>
          <w:rFonts w:ascii="Times New Roman" w:hAnsi="Times New Roman" w:cs="Times New Roman"/>
          <w:lang w:val="en-US"/>
        </w:rPr>
        <w:t>the long-run tendency of the Swiss franc is towards appreciation, with strong periods of appreciation</w:t>
      </w:r>
      <w:r w:rsidR="003B2778">
        <w:rPr>
          <w:rFonts w:ascii="Times New Roman" w:hAnsi="Times New Roman" w:cs="Times New Roman"/>
          <w:lang w:val="en-US"/>
        </w:rPr>
        <w:t>s</w:t>
      </w:r>
      <w:r w:rsidR="002E6801">
        <w:rPr>
          <w:rFonts w:ascii="Times New Roman" w:hAnsi="Times New Roman" w:cs="Times New Roman"/>
          <w:lang w:val="en-US"/>
        </w:rPr>
        <w:t xml:space="preserve"> in times of crisis</w:t>
      </w:r>
      <w:r w:rsidR="003B2778">
        <w:rPr>
          <w:rFonts w:ascii="Times New Roman" w:hAnsi="Times New Roman" w:cs="Times New Roman"/>
          <w:lang w:val="en-US"/>
        </w:rPr>
        <w:t xml:space="preserve"> like</w:t>
      </w:r>
      <w:r w:rsidR="002E6801">
        <w:rPr>
          <w:rFonts w:ascii="Times New Roman" w:hAnsi="Times New Roman" w:cs="Times New Roman"/>
          <w:lang w:val="en-US"/>
        </w:rPr>
        <w:t xml:space="preserve"> </w:t>
      </w:r>
      <w:r w:rsidR="003B2778">
        <w:rPr>
          <w:rFonts w:ascii="Times New Roman" w:hAnsi="Times New Roman" w:cs="Times New Roman"/>
          <w:lang w:val="en-US"/>
        </w:rPr>
        <w:t xml:space="preserve">the 2008 financial crisis which seems to have strongly contributed to the acceleration of this tendency in the last 20 years. </w:t>
      </w:r>
      <w:r w:rsidR="00B70C7D">
        <w:rPr>
          <w:rFonts w:ascii="Times New Roman" w:hAnsi="Times New Roman" w:cs="Times New Roman"/>
          <w:lang w:val="en-US"/>
        </w:rPr>
        <w:t xml:space="preserve">The persistent increase in the value of the Swiss franc is perceived as a major issue among Swiss industries. On the one hand, export-oriented industries (machines, watches, pharmaceutical and chemicals…), which constitute the large share of the value added in Switzerland, fear the potential loss of competitiveness associated with a higher value of their products. On the other hand, </w:t>
      </w:r>
      <w:r w:rsidR="00FD583F">
        <w:rPr>
          <w:rFonts w:ascii="Times New Roman" w:hAnsi="Times New Roman" w:cs="Times New Roman"/>
          <w:lang w:val="en-US"/>
        </w:rPr>
        <w:t xml:space="preserve">industries oriented toward the domestic market like </w:t>
      </w:r>
      <w:proofErr w:type="spellStart"/>
      <w:r w:rsidR="00FD583F">
        <w:rPr>
          <w:rFonts w:ascii="Times New Roman" w:hAnsi="Times New Roman" w:cs="Times New Roman"/>
          <w:lang w:val="en-US"/>
        </w:rPr>
        <w:t>the</w:t>
      </w:r>
      <w:proofErr w:type="spellEnd"/>
      <w:r w:rsidR="00FD583F">
        <w:rPr>
          <w:rFonts w:ascii="Times New Roman" w:hAnsi="Times New Roman" w:cs="Times New Roman"/>
          <w:lang w:val="en-US"/>
        </w:rPr>
        <w:t xml:space="preserve"> retail sector also fear the strength of the Swiss franc because, Switzerland being a very small open economy, an substantial loss of competitiveness can lead to phenomena like cross-border shopping, which is important in the country given its borders with three important European countries </w:t>
      </w:r>
      <w:r w:rsidR="00FD583F">
        <w:rPr>
          <w:rFonts w:ascii="Times New Roman" w:hAnsi="Times New Roman" w:cs="Times New Roman"/>
          <w:lang w:val="en-US"/>
        </w:rPr>
        <w:fldChar w:fldCharType="begin"/>
      </w:r>
      <w:r w:rsidR="00FD583F">
        <w:rPr>
          <w:rFonts w:ascii="Times New Roman" w:hAnsi="Times New Roman" w:cs="Times New Roman"/>
          <w:lang w:val="en-US"/>
        </w:rPr>
        <w:instrText xml:space="preserve"> ADDIN ZOTERO_ITEM CSL_CITATION {"citationID":"Xedu30y1","properties":{"formattedCitation":"(Kluser 2025)","plainCitation":"(Kluser 2025)","noteIndex":0},"citationItems":[{"id":6639,"uris":["http://zotero.org/groups/6311349/items/X2AZ3UIB"],"itemData":{"id":6639,"type":"article-journal","abstract":"Cross-border shopping expands product variety and lowers prices for consumers in high-price countries, but it diminishes domestic tax revenues, reduces sales, and shifts demand away from local retailers. Exploiting Switzerland’s COVID-19-induced border closure as a natural experiment, I investigate the socioeconomic implications of cross-border shopping. Linking detailed grocery transaction records for 710,000 households to administrative data, I find that the border closure raises domestic grocery expenditures in border areas by an additional 10.4%. The benefits of cross-border shopping, however, are heterogeneous, and larger and lower-income households exhibit a particularly strong propensity to shop abroad. Based on these patterns, I estimate an annual loss of 1.5 billion Swiss francs in domestic grocery sales, equivalent to 3.8% of the total market.","container-title":"Swiss Journal of Economics and Statistics","DOI":"10.1186/s41937-025-00141-w","ISSN":"2235-6282","issue":"1","journalAbbreviation":"Swiss J Economics Statistics","language":"en","page":"9","source":"Springer Link","title":"Cross-border shopping: evidence from household transaction records","title-short":"Cross-border shopping","volume":"161","author":[{"family":"Kluser","given":"Frédéric"}],"issued":{"date-parts":[["2025",9,2]]}}}],"schema":"https://github.com/citation-style-language/schema/raw/master/csl-citation.json"} </w:instrText>
      </w:r>
      <w:r w:rsidR="00FD583F">
        <w:rPr>
          <w:rFonts w:ascii="Times New Roman" w:hAnsi="Times New Roman" w:cs="Times New Roman"/>
          <w:lang w:val="en-US"/>
        </w:rPr>
        <w:fldChar w:fldCharType="separate"/>
      </w:r>
      <w:r w:rsidR="00FD583F" w:rsidRPr="00FD583F">
        <w:rPr>
          <w:rFonts w:ascii="Aptos" w:hAnsi="Aptos"/>
          <w:lang w:val="en-US"/>
        </w:rPr>
        <w:t>(</w:t>
      </w:r>
      <w:proofErr w:type="spellStart"/>
      <w:r w:rsidR="00FD583F" w:rsidRPr="00FD583F">
        <w:rPr>
          <w:rFonts w:ascii="Aptos" w:hAnsi="Aptos"/>
          <w:lang w:val="en-US"/>
        </w:rPr>
        <w:t>Kluser</w:t>
      </w:r>
      <w:proofErr w:type="spellEnd"/>
      <w:r w:rsidR="00FD583F" w:rsidRPr="00FD583F">
        <w:rPr>
          <w:rFonts w:ascii="Aptos" w:hAnsi="Aptos"/>
          <w:lang w:val="en-US"/>
        </w:rPr>
        <w:t xml:space="preserve"> 2025)</w:t>
      </w:r>
      <w:r w:rsidR="00FD583F">
        <w:rPr>
          <w:rFonts w:ascii="Times New Roman" w:hAnsi="Times New Roman" w:cs="Times New Roman"/>
          <w:lang w:val="en-US"/>
        </w:rPr>
        <w:fldChar w:fldCharType="end"/>
      </w:r>
      <w:r w:rsidR="00FD583F">
        <w:rPr>
          <w:rFonts w:ascii="Times New Roman" w:hAnsi="Times New Roman" w:cs="Times New Roman"/>
          <w:lang w:val="en-US"/>
        </w:rPr>
        <w:t>.</w:t>
      </w:r>
    </w:p>
    <w:p w14:paraId="4876A477" w14:textId="77777777" w:rsidR="00444C00" w:rsidRPr="006F4A9E" w:rsidRDefault="00444C00" w:rsidP="00014443">
      <w:pPr>
        <w:jc w:val="both"/>
        <w:rPr>
          <w:rFonts w:ascii="Times New Roman" w:hAnsi="Times New Roman" w:cs="Times New Roman"/>
          <w:lang w:val="en-US"/>
        </w:rPr>
      </w:pPr>
    </w:p>
    <w:sectPr w:rsidR="00444C00" w:rsidRPr="006F4A9E">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B5A58D" w14:textId="77777777" w:rsidR="002114F5" w:rsidRDefault="002114F5" w:rsidP="00D70947">
      <w:pPr>
        <w:spacing w:after="0" w:line="240" w:lineRule="auto"/>
      </w:pPr>
      <w:r>
        <w:separator/>
      </w:r>
    </w:p>
  </w:endnote>
  <w:endnote w:type="continuationSeparator" w:id="0">
    <w:p w14:paraId="16D44D9C" w14:textId="77777777" w:rsidR="002114F5" w:rsidRDefault="002114F5" w:rsidP="00D709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1A8F1F" w14:textId="77777777" w:rsidR="00CE6245" w:rsidRDefault="00CE6245">
    <w:pPr>
      <w:pStyle w:val="Pieddepage"/>
      <w:jc w:val="center"/>
      <w:rPr>
        <w:caps/>
        <w:color w:val="156082" w:themeColor="accent1"/>
      </w:rPr>
    </w:pPr>
    <w:r>
      <w:rPr>
        <w:caps/>
        <w:color w:val="156082" w:themeColor="accent1"/>
      </w:rPr>
      <w:fldChar w:fldCharType="begin"/>
    </w:r>
    <w:r>
      <w:rPr>
        <w:caps/>
        <w:color w:val="156082" w:themeColor="accent1"/>
      </w:rPr>
      <w:instrText>PAGE   \* MERGEFORMAT</w:instrText>
    </w:r>
    <w:r>
      <w:rPr>
        <w:caps/>
        <w:color w:val="156082" w:themeColor="accent1"/>
      </w:rPr>
      <w:fldChar w:fldCharType="separate"/>
    </w:r>
    <w:r>
      <w:rPr>
        <w:caps/>
        <w:color w:val="156082" w:themeColor="accent1"/>
        <w:lang w:val="fr-FR"/>
      </w:rPr>
      <w:t>2</w:t>
    </w:r>
    <w:r>
      <w:rPr>
        <w:caps/>
        <w:color w:val="156082" w:themeColor="accent1"/>
      </w:rPr>
      <w:fldChar w:fldCharType="end"/>
    </w:r>
  </w:p>
  <w:p w14:paraId="240CFF0D" w14:textId="77777777" w:rsidR="00CE6245" w:rsidRDefault="00CE6245">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21FD88" w14:textId="77777777" w:rsidR="002114F5" w:rsidRDefault="002114F5" w:rsidP="00D70947">
      <w:pPr>
        <w:spacing w:after="0" w:line="240" w:lineRule="auto"/>
      </w:pPr>
      <w:r>
        <w:separator/>
      </w:r>
    </w:p>
  </w:footnote>
  <w:footnote w:type="continuationSeparator" w:id="0">
    <w:p w14:paraId="2C6F2D10" w14:textId="77777777" w:rsidR="002114F5" w:rsidRDefault="002114F5" w:rsidP="00D70947">
      <w:pPr>
        <w:spacing w:after="0" w:line="240" w:lineRule="auto"/>
      </w:pPr>
      <w:r>
        <w:continuationSeparator/>
      </w:r>
    </w:p>
  </w:footnote>
  <w:footnote w:id="1">
    <w:p w14:paraId="6E3A120A" w14:textId="41F54ECC" w:rsidR="00D70947" w:rsidRPr="006F4A9E" w:rsidRDefault="00D70947" w:rsidP="00D70947">
      <w:pPr>
        <w:pStyle w:val="Notedebasdepage"/>
        <w:rPr>
          <w:rFonts w:ascii="Times New Roman" w:hAnsi="Times New Roman" w:cs="Times New Roman"/>
          <w:lang w:val="en-US"/>
        </w:rPr>
      </w:pPr>
      <w:r w:rsidRPr="006F4A9E">
        <w:rPr>
          <w:rStyle w:val="Appelnotedebasdep"/>
          <w:rFonts w:ascii="Times New Roman" w:hAnsi="Times New Roman" w:cs="Times New Roman"/>
        </w:rPr>
        <w:footnoteRef/>
      </w:r>
      <w:r w:rsidRPr="006F4A9E">
        <w:rPr>
          <w:rFonts w:ascii="Times New Roman" w:hAnsi="Times New Roman" w:cs="Times New Roman"/>
          <w:lang w:val="en-US"/>
        </w:rPr>
        <w:t xml:space="preserve"> Corresponding author. Department of History-Economics-Society, University of Geneva. University of Geneva, Uni-Mail </w:t>
      </w:r>
      <w:r w:rsidR="00CE6245" w:rsidRPr="006F4A9E">
        <w:rPr>
          <w:rFonts w:ascii="Times New Roman" w:hAnsi="Times New Roman" w:cs="Times New Roman"/>
          <w:lang w:val="en-US"/>
        </w:rPr>
        <w:t>4242</w:t>
      </w:r>
      <w:r w:rsidRPr="006F4A9E">
        <w:rPr>
          <w:rFonts w:ascii="Times New Roman" w:hAnsi="Times New Roman" w:cs="Times New Roman"/>
          <w:lang w:val="en-US"/>
        </w:rPr>
        <w:t xml:space="preserve">, 40 bd du Pont </w:t>
      </w:r>
      <w:proofErr w:type="spellStart"/>
      <w:r w:rsidRPr="006F4A9E">
        <w:rPr>
          <w:rFonts w:ascii="Times New Roman" w:hAnsi="Times New Roman" w:cs="Times New Roman"/>
          <w:lang w:val="en-US"/>
        </w:rPr>
        <w:t>d'Arve</w:t>
      </w:r>
      <w:proofErr w:type="spellEnd"/>
      <w:r w:rsidRPr="006F4A9E">
        <w:rPr>
          <w:rFonts w:ascii="Times New Roman" w:hAnsi="Times New Roman" w:cs="Times New Roman"/>
          <w:lang w:val="en-US"/>
        </w:rPr>
        <w:t>, 1205, Geneva, Switzerland. Email: celal.gueney@unige.ch</w:t>
      </w:r>
    </w:p>
  </w:footnote>
  <w:footnote w:id="2">
    <w:p w14:paraId="2AADE1CE" w14:textId="09E57FCD" w:rsidR="00D70947" w:rsidRPr="006F4A9E" w:rsidRDefault="00D70947">
      <w:pPr>
        <w:pStyle w:val="Notedebasdepage"/>
        <w:rPr>
          <w:rFonts w:ascii="Times New Roman" w:hAnsi="Times New Roman" w:cs="Times New Roman"/>
          <w:lang w:val="en-US"/>
        </w:rPr>
      </w:pPr>
      <w:r w:rsidRPr="006F4A9E">
        <w:rPr>
          <w:rStyle w:val="Appelnotedebasdep"/>
          <w:rFonts w:ascii="Times New Roman" w:hAnsi="Times New Roman" w:cs="Times New Roman"/>
        </w:rPr>
        <w:footnoteRef/>
      </w:r>
      <w:r w:rsidRPr="006F4A9E">
        <w:rPr>
          <w:rFonts w:ascii="Times New Roman" w:hAnsi="Times New Roman" w:cs="Times New Roman"/>
          <w:lang w:val="en-US"/>
        </w:rPr>
        <w:t xml:space="preserve"> Department of History-Economics-Society, University of Geneva</w:t>
      </w:r>
    </w:p>
  </w:footnote>
  <w:footnote w:id="3">
    <w:p w14:paraId="623421C8" w14:textId="5F92B299" w:rsidR="00D70947" w:rsidRPr="006F4A9E" w:rsidRDefault="00D70947">
      <w:pPr>
        <w:pStyle w:val="Notedebasdepage"/>
        <w:rPr>
          <w:rFonts w:ascii="Times New Roman" w:hAnsi="Times New Roman" w:cs="Times New Roman"/>
          <w:lang w:val="en-US"/>
        </w:rPr>
      </w:pPr>
      <w:r w:rsidRPr="006F4A9E">
        <w:rPr>
          <w:rStyle w:val="Appelnotedebasdep"/>
          <w:rFonts w:ascii="Times New Roman" w:hAnsi="Times New Roman" w:cs="Times New Roman"/>
        </w:rPr>
        <w:footnoteRef/>
      </w:r>
      <w:r w:rsidRPr="006F4A9E">
        <w:rPr>
          <w:rFonts w:ascii="Times New Roman" w:hAnsi="Times New Roman" w:cs="Times New Roman"/>
          <w:lang w:val="en-US"/>
        </w:rPr>
        <w:t xml:space="preserve"> Department of History-Economics-Society, University of Geneva</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72A4"/>
    <w:rsid w:val="00012DD0"/>
    <w:rsid w:val="00014443"/>
    <w:rsid w:val="0012669B"/>
    <w:rsid w:val="00143EF6"/>
    <w:rsid w:val="001A5326"/>
    <w:rsid w:val="001A7212"/>
    <w:rsid w:val="002114F5"/>
    <w:rsid w:val="002E6801"/>
    <w:rsid w:val="003051C7"/>
    <w:rsid w:val="0032214C"/>
    <w:rsid w:val="00367A16"/>
    <w:rsid w:val="00374DB7"/>
    <w:rsid w:val="003B2778"/>
    <w:rsid w:val="003D17CD"/>
    <w:rsid w:val="003E1AB4"/>
    <w:rsid w:val="0042672D"/>
    <w:rsid w:val="004417A5"/>
    <w:rsid w:val="00444C00"/>
    <w:rsid w:val="004772A4"/>
    <w:rsid w:val="00533033"/>
    <w:rsid w:val="00554F3C"/>
    <w:rsid w:val="0057548B"/>
    <w:rsid w:val="006F4A9E"/>
    <w:rsid w:val="00785484"/>
    <w:rsid w:val="007C1001"/>
    <w:rsid w:val="007C4BFE"/>
    <w:rsid w:val="00805731"/>
    <w:rsid w:val="0082344D"/>
    <w:rsid w:val="009807FE"/>
    <w:rsid w:val="009A1F75"/>
    <w:rsid w:val="009E2899"/>
    <w:rsid w:val="009F47F8"/>
    <w:rsid w:val="00A37CC7"/>
    <w:rsid w:val="00A44345"/>
    <w:rsid w:val="00A47BD9"/>
    <w:rsid w:val="00B70C7D"/>
    <w:rsid w:val="00B726CF"/>
    <w:rsid w:val="00B75A8D"/>
    <w:rsid w:val="00C27A7E"/>
    <w:rsid w:val="00C35F3B"/>
    <w:rsid w:val="00CE6245"/>
    <w:rsid w:val="00CF16D5"/>
    <w:rsid w:val="00D22FC2"/>
    <w:rsid w:val="00D31916"/>
    <w:rsid w:val="00D70947"/>
    <w:rsid w:val="00DD2D62"/>
    <w:rsid w:val="00E43F5C"/>
    <w:rsid w:val="00E54D69"/>
    <w:rsid w:val="00EA6EF6"/>
    <w:rsid w:val="00FA2096"/>
    <w:rsid w:val="00FD583F"/>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3CC264"/>
  <w15:chartTrackingRefBased/>
  <w15:docId w15:val="{F2BC321C-45D6-49AB-A9B6-98764E0CD1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4772A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4772A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4772A4"/>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4772A4"/>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4772A4"/>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4772A4"/>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4772A4"/>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4772A4"/>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4772A4"/>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4772A4"/>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4772A4"/>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4772A4"/>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4772A4"/>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4772A4"/>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4772A4"/>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4772A4"/>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4772A4"/>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4772A4"/>
    <w:rPr>
      <w:rFonts w:eastAsiaTheme="majorEastAsia" w:cstheme="majorBidi"/>
      <w:color w:val="272727" w:themeColor="text1" w:themeTint="D8"/>
    </w:rPr>
  </w:style>
  <w:style w:type="paragraph" w:styleId="Titre">
    <w:name w:val="Title"/>
    <w:basedOn w:val="Normal"/>
    <w:next w:val="Normal"/>
    <w:link w:val="TitreCar"/>
    <w:uiPriority w:val="10"/>
    <w:qFormat/>
    <w:rsid w:val="004772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4772A4"/>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4772A4"/>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4772A4"/>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4772A4"/>
    <w:pPr>
      <w:spacing w:before="160"/>
      <w:jc w:val="center"/>
    </w:pPr>
    <w:rPr>
      <w:i/>
      <w:iCs/>
      <w:color w:val="404040" w:themeColor="text1" w:themeTint="BF"/>
    </w:rPr>
  </w:style>
  <w:style w:type="character" w:customStyle="1" w:styleId="CitationCar">
    <w:name w:val="Citation Car"/>
    <w:basedOn w:val="Policepardfaut"/>
    <w:link w:val="Citation"/>
    <w:uiPriority w:val="29"/>
    <w:rsid w:val="004772A4"/>
    <w:rPr>
      <w:i/>
      <w:iCs/>
      <w:color w:val="404040" w:themeColor="text1" w:themeTint="BF"/>
    </w:rPr>
  </w:style>
  <w:style w:type="paragraph" w:styleId="Paragraphedeliste">
    <w:name w:val="List Paragraph"/>
    <w:basedOn w:val="Normal"/>
    <w:uiPriority w:val="34"/>
    <w:qFormat/>
    <w:rsid w:val="004772A4"/>
    <w:pPr>
      <w:ind w:left="720"/>
      <w:contextualSpacing/>
    </w:pPr>
  </w:style>
  <w:style w:type="character" w:styleId="Accentuationintense">
    <w:name w:val="Intense Emphasis"/>
    <w:basedOn w:val="Policepardfaut"/>
    <w:uiPriority w:val="21"/>
    <w:qFormat/>
    <w:rsid w:val="004772A4"/>
    <w:rPr>
      <w:i/>
      <w:iCs/>
      <w:color w:val="0F4761" w:themeColor="accent1" w:themeShade="BF"/>
    </w:rPr>
  </w:style>
  <w:style w:type="paragraph" w:styleId="Citationintense">
    <w:name w:val="Intense Quote"/>
    <w:basedOn w:val="Normal"/>
    <w:next w:val="Normal"/>
    <w:link w:val="CitationintenseCar"/>
    <w:uiPriority w:val="30"/>
    <w:qFormat/>
    <w:rsid w:val="004772A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4772A4"/>
    <w:rPr>
      <w:i/>
      <w:iCs/>
      <w:color w:val="0F4761" w:themeColor="accent1" w:themeShade="BF"/>
    </w:rPr>
  </w:style>
  <w:style w:type="character" w:styleId="Rfrenceintense">
    <w:name w:val="Intense Reference"/>
    <w:basedOn w:val="Policepardfaut"/>
    <w:uiPriority w:val="32"/>
    <w:qFormat/>
    <w:rsid w:val="004772A4"/>
    <w:rPr>
      <w:b/>
      <w:bCs/>
      <w:smallCaps/>
      <w:color w:val="0F4761" w:themeColor="accent1" w:themeShade="BF"/>
      <w:spacing w:val="5"/>
    </w:rPr>
  </w:style>
  <w:style w:type="paragraph" w:customStyle="1" w:styleId="paragraph">
    <w:name w:val="paragraph"/>
    <w:basedOn w:val="Normal"/>
    <w:rsid w:val="004772A4"/>
    <w:pPr>
      <w:spacing w:before="100" w:beforeAutospacing="1" w:after="100" w:afterAutospacing="1" w:line="240" w:lineRule="auto"/>
    </w:pPr>
    <w:rPr>
      <w:rFonts w:ascii="Times New Roman" w:eastAsia="Times New Roman" w:hAnsi="Times New Roman" w:cs="Times New Roman"/>
      <w:kern w:val="0"/>
      <w:lang w:eastAsia="fr-CH"/>
      <w14:ligatures w14:val="none"/>
    </w:rPr>
  </w:style>
  <w:style w:type="character" w:customStyle="1" w:styleId="normaltextrun">
    <w:name w:val="normaltextrun"/>
    <w:basedOn w:val="Policepardfaut"/>
    <w:rsid w:val="004772A4"/>
  </w:style>
  <w:style w:type="character" w:customStyle="1" w:styleId="eop">
    <w:name w:val="eop"/>
    <w:basedOn w:val="Policepardfaut"/>
    <w:rsid w:val="004772A4"/>
  </w:style>
  <w:style w:type="paragraph" w:styleId="Notedebasdepage">
    <w:name w:val="footnote text"/>
    <w:basedOn w:val="Normal"/>
    <w:link w:val="NotedebasdepageCar"/>
    <w:uiPriority w:val="99"/>
    <w:semiHidden/>
    <w:unhideWhenUsed/>
    <w:rsid w:val="00D70947"/>
    <w:pPr>
      <w:spacing w:after="0" w:line="240" w:lineRule="auto"/>
    </w:pPr>
    <w:rPr>
      <w:sz w:val="20"/>
      <w:szCs w:val="20"/>
    </w:rPr>
  </w:style>
  <w:style w:type="character" w:customStyle="1" w:styleId="NotedebasdepageCar">
    <w:name w:val="Note de bas de page Car"/>
    <w:basedOn w:val="Policepardfaut"/>
    <w:link w:val="Notedebasdepage"/>
    <w:uiPriority w:val="99"/>
    <w:semiHidden/>
    <w:rsid w:val="00D70947"/>
    <w:rPr>
      <w:sz w:val="20"/>
      <w:szCs w:val="20"/>
    </w:rPr>
  </w:style>
  <w:style w:type="character" w:styleId="Appelnotedebasdep">
    <w:name w:val="footnote reference"/>
    <w:basedOn w:val="Policepardfaut"/>
    <w:uiPriority w:val="99"/>
    <w:semiHidden/>
    <w:unhideWhenUsed/>
    <w:rsid w:val="00D70947"/>
    <w:rPr>
      <w:vertAlign w:val="superscript"/>
    </w:rPr>
  </w:style>
  <w:style w:type="paragraph" w:styleId="En-tte">
    <w:name w:val="header"/>
    <w:basedOn w:val="Normal"/>
    <w:link w:val="En-tteCar"/>
    <w:uiPriority w:val="99"/>
    <w:unhideWhenUsed/>
    <w:rsid w:val="00CE6245"/>
    <w:pPr>
      <w:tabs>
        <w:tab w:val="center" w:pos="4536"/>
        <w:tab w:val="right" w:pos="9072"/>
      </w:tabs>
      <w:spacing w:after="0" w:line="240" w:lineRule="auto"/>
    </w:pPr>
  </w:style>
  <w:style w:type="character" w:customStyle="1" w:styleId="En-tteCar">
    <w:name w:val="En-tête Car"/>
    <w:basedOn w:val="Policepardfaut"/>
    <w:link w:val="En-tte"/>
    <w:uiPriority w:val="99"/>
    <w:rsid w:val="00CE6245"/>
  </w:style>
  <w:style w:type="paragraph" w:styleId="Pieddepage">
    <w:name w:val="footer"/>
    <w:basedOn w:val="Normal"/>
    <w:link w:val="PieddepageCar"/>
    <w:uiPriority w:val="99"/>
    <w:unhideWhenUsed/>
    <w:rsid w:val="00CE6245"/>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CE6245"/>
  </w:style>
  <w:style w:type="paragraph" w:styleId="Lgende">
    <w:name w:val="caption"/>
    <w:basedOn w:val="Normal"/>
    <w:next w:val="Normal"/>
    <w:uiPriority w:val="35"/>
    <w:unhideWhenUsed/>
    <w:qFormat/>
    <w:rsid w:val="009E2899"/>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533474C-96DF-4B4C-9D4E-FA75F15B23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646</TotalTime>
  <Pages>3</Pages>
  <Words>3290</Words>
  <Characters>18096</Characters>
  <Application>Microsoft Office Word</Application>
  <DocSecurity>0</DocSecurity>
  <Lines>150</Lines>
  <Paragraphs>42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21344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Celal Güney</dc:creator>
  <cp:keywords/>
  <dc:description/>
  <cp:lastModifiedBy>Celal Güney</cp:lastModifiedBy>
  <cp:revision>8</cp:revision>
  <dcterms:created xsi:type="dcterms:W3CDTF">2026-07-02T15:23:00Z</dcterms:created>
  <dcterms:modified xsi:type="dcterms:W3CDTF">2026-07-06T12:57:00Z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zotero-version="8.0.4"&gt;&lt;session id="2CDipjyQ"/&gt;&lt;style id="http://www.zotero.org/styles/chicago-author-date" locale="en-US" hasBibliography="1" bibliographyStyleHasBeenSet="0"/&gt;&lt;prefs&gt;&lt;pref name="fieldType" value="Field"/&gt;&lt;/prefs&gt;&lt;/d</vt:lpwstr>
  </property>
  <property fmtid="{D5CDD505-2E9C-101B-9397-08002B2CF9AE}" pid="3" name="ZOTERO_PREF_2">
    <vt:lpwstr>ata&gt;</vt:lpwstr>
  </property>
</Properties>
</file>