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57.png" ContentType="image/png"/>
  <Override PartName="/word/media/rId49.png" ContentType="image/png"/>
  <Override PartName="/word/media/rId53.png" ContentType="image/png"/>
  <Override PartName="/word/media/rId40.png" ContentType="image/png"/>
  <Override PartName="/word/media/rId4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35"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economically open economy, but</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rPr>
          <w:iCs/>
          <w:i/>
        </w:rPr>
        <w:t xml:space="preserve">Institut Liberté</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4"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political leaning and for a set of political cleavages, with a special focus on income and educational levels. Then, a second part will conduct two analyses of the compositions and determinants of socio-political groups in 1995 and 2019, using Swiss post-election survey data.</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the neorealist approach is the fundamental diversity of social expectations coming from the heterogeneity of the social structure. This diversity leads to a wide variety of social interests which are in perpetual contradiction and discord. Societies are thus characterized by a fundamental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hence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political strategies aimed at gathering socio-political groups into social blocs, which are thus never strictly homogeneous</w:t>
      </w:r>
      <w:r>
        <w:t xml:space="preserve"> </w:t>
      </w:r>
      <w:r>
        <w:t xml:space="preserve">(Amable 2021)</w:t>
      </w:r>
      <w:r>
        <w:t xml:space="preserve">.</w:t>
      </w:r>
    </w:p>
    <w:p>
      <w:pPr>
        <w:pStyle w:val="BodyText"/>
      </w:pPr>
      <w:r>
        <w:t xml:space="preserve">Finally, social blocs compete in the political sphere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3"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8" w:name="fig-trust1"/>
          <w:p>
            <w:pPr>
              <w:jc w:val="center"/>
            </w:pPr>
            <w:r>
              <w:drawing>
                <wp:inline>
                  <wp:extent cx="4620126" cy="3696101"/>
                  <wp:effectExtent b="0" l="0" r="0" t="0"/>
                  <wp:docPr descr="" title="" id="26" name="Picture"/>
                  <a:graphic>
                    <a:graphicData uri="http://schemas.openxmlformats.org/drawingml/2006/picture">
                      <pic:pic>
                        <pic:nvPicPr>
                          <pic:cNvPr descr="intro_files/figure-docx/fig-trust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8"/>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intensified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 A similar figure as</w:t>
      </w:r>
      <w:r>
        <w:t xml:space="preserve"> </w:t>
      </w:r>
      <w:hyperlink w:anchor="fig-trust1">
        <w:r>
          <w:rPr>
            <w:rStyle w:val="Hyperlink"/>
          </w:rPr>
          <w:t xml:space="preserve">Figure 1.1</w:t>
        </w:r>
      </w:hyperlink>
      <w:r>
        <w:t xml:space="preserve"> </w:t>
      </w:r>
      <w:r>
        <w:t xml:space="preserve">can thus be made with a precise focus on Switzerland:</w:t>
      </w:r>
    </w:p>
    <w:tbl>
      <w:tblPr>
        <w:tblStyle w:val="Table"/>
        <w:tblW w:type="pct" w:w="5000"/>
        <w:tblLook w:firstRow="0" w:lastRow="0" w:firstColumn="0" w:lastColumn="0" w:noHBand="0" w:noVBand="0" w:val="0000"/>
        <w:jc w:val="start"/>
      </w:tblPr>
      <w:tblGrid>
        <w:gridCol w:w="7920"/>
      </w:tblGrid>
      <w:tr>
        <w:tc>
          <w:tcPr/>
          <w:bookmarkStart w:id="32" w:name="fig-trust2"/>
          <w:p>
            <w:pPr>
              <w:jc w:val="center"/>
            </w:pPr>
            <w:r>
              <w:drawing>
                <wp:inline>
                  <wp:extent cx="4620126" cy="3696101"/>
                  <wp:effectExtent b="0" l="0" r="0" t="0"/>
                  <wp:docPr descr="" title="" id="30" name="Picture"/>
                  <a:graphic>
                    <a:graphicData uri="http://schemas.openxmlformats.org/drawingml/2006/picture">
                      <pic:pic>
                        <pic:nvPicPr>
                          <pic:cNvPr descr="intro_files/figure-docx/fig-trust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 95% confidence intervals.</w:t>
            </w:r>
          </w:p>
          <w:bookmarkEnd w:id="32"/>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explore the evolution of the Swiss social blocs since the post-war period.</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Next, the composition and evolution of Swiss social blocs are analyzed through two latent class analysis (LCA) using the Swiss Election Studies (SELECTS) data for 1999 and 2019.</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post-election survey data. Last, this research is the first to conduct LCA using Swiss post-election survey data.</w:t>
      </w:r>
    </w:p>
    <w:bookmarkEnd w:id="33"/>
    <w:bookmarkEnd w:id="34"/>
    <w:bookmarkEnd w:id="35"/>
    <w:bookmarkStart w:id="76" w:name="X585b66a425bd895c50fee5cf4fd54c3b113ccf8"/>
    <w:p>
      <w:pPr>
        <w:pStyle w:val="Heading1"/>
      </w:pPr>
      <w:r>
        <w:t xml:space="preserve">2. Social blocs, socio-economic groups and political divides in Switzerland</w:t>
      </w:r>
    </w:p>
    <w:bookmarkStart w:id="37"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The combination of a religious and urban-rural divide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homogenous, the Radical bloc was a kaleidoscopic mass-movement constituted by the working class through the Grütli Union and by an elite gathering entrepreneurs, bankers, journalists, lawyers and teachers, who were nonetheless divided over the role of the Swiss state. The Democrats were partisans of a more centralized and interventionist state while the liberal or</w:t>
      </w:r>
      <w:r>
        <w:t xml:space="preserve"> </w:t>
      </w:r>
      <w:r>
        <w:t xml:space="preserve">“</w:t>
      </w:r>
      <w:r>
        <w:t xml:space="preserve">manchesterian</w:t>
      </w:r>
      <w:r>
        <w:t xml:space="preserve">”</w:t>
      </w:r>
      <w:r>
        <w:t xml:space="preserve"> </w:t>
      </w:r>
      <w:r>
        <w:t xml:space="preserve">Radicals, were more federalist and in favor of laissez-faire. This divide between interventionists and liberals was made explicit as early as 1852 over the issue of the nationalization of the Swiss railway industry. Supporters of a state-run railroad network, represented by for instance Jakob Stämplfi and Johann Jakob Speiser, were opposed by liberal Radicals such as Alfred Escher,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Parts of the democrats and of the working class joined or even founded socialist organizations, as seen through the creation of the Swiss socialist party in 1888 by a former Radical, Albert Steck. The creation of the latter and of the Radical-Democratic party (PRD) in 1894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 This coalition between the PRD, PDC and Agrarians and its close links with business association such as the Vorort (1870) led many observers to name this dominant coalition the</w:t>
      </w:r>
      <w:r>
        <w:t xml:space="preserve"> </w:t>
      </w:r>
      <w:r>
        <w:t xml:space="preserve">“</w:t>
      </w:r>
      <w:r>
        <w:t xml:space="preserve">bourgeois bloc</w:t>
      </w:r>
      <w:r>
        <w:t xml:space="preserve">”</w:t>
      </w:r>
      <w:r>
        <w:t xml:space="preserve"> </w:t>
      </w:r>
      <w:r>
        <w:t xml:space="preserve">(Mach 2007)</w:t>
      </w:r>
      <w:r>
        <w:t xml:space="preserve">.</w:t>
      </w:r>
    </w:p>
    <w:p>
      <w:pPr>
        <w:pStyle w:val="BodyText"/>
      </w:pPr>
      <w:r>
        <w:t xml:space="preserve">However, the extent to which this dominant bloc can truly be described as bourgeois must be questioned, in addition to the fact that there is no precise definition given in the literature. In the sense given by the latter</w:t>
      </w:r>
      <w:r>
        <w:t xml:space="preserve"> </w:t>
      </w:r>
      <w:r>
        <w:t xml:space="preserve">(Mach 2007; Meuwly 2008)</w:t>
      </w:r>
      <w:r>
        <w:t xml:space="preserve">, the bourgeois bloc refers to a political coalition between the Radical-Democrats, the Christian-Democrats and the Agrarians (now UDC) and its close ties with business interest associations. 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In the sense given by Amable and Palombarini</w:t>
      </w:r>
      <w:r>
        <w:t xml:space="preserve"> </w:t>
      </w:r>
      <w:r>
        <w:t xml:space="preserve">(Amable and Palombarini 2018)</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right-wing</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political bloc. Part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term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The main economic policy demands of the large industrialized firms were to maintain low social protection, low taxation, no barriers to external trade and to promote free trade at the international level. At the political level, this socio-political group was represented by the</w:t>
      </w:r>
      <w:r>
        <w:t xml:space="preserve"> </w:t>
      </w:r>
      <w:r>
        <w:rPr>
          <w:iCs/>
          <w:i/>
        </w:rPr>
        <w:t xml:space="preserve">Vorort</w:t>
      </w:r>
      <w:r>
        <w:t xml:space="preserve"> </w:t>
      </w:r>
      <w:r>
        <w:t xml:space="preserve">(now</w:t>
      </w:r>
      <w:r>
        <w:t xml:space="preserve"> </w:t>
      </w:r>
      <w:r>
        <w:rPr>
          <w:iCs/>
          <w:i/>
        </w:rPr>
        <w:t xml:space="preserve">EconomieSuisse</w:t>
      </w:r>
      <w:r>
        <w:t xml:space="preserve">), a business interest associations, and the Radical-Democratic party. 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w:t>
      </w:r>
    </w:p>
    <w:bookmarkStart w:id="36"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and internationalized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firms, farmers</w:t>
            </w:r>
          </w:p>
        </w:tc>
        <w:tc>
          <w:tcPr/>
          <w:p>
            <w:pPr>
              <w:numPr>
                <w:ilvl w:val="0"/>
                <w:numId w:val="1004"/>
              </w:numPr>
              <w:jc w:val="left"/>
            </w:pPr>
            <w:r>
              <w:t xml:space="preserve">Low tax level</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pStyle w:val="Compact"/>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36"/>
    <w:p>
      <w:pPr>
        <w:pStyle w:val="FirstParagraph"/>
      </w:pPr>
      <w:r>
        <w:t xml:space="preserve">On the other hand, the main social bloc excluded from the DSB was the left bloc, constituted by socio-cultural professional,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p>
      <w:pPr>
        <w:pStyle w:val="BodyText"/>
      </w:pPr>
      <w:r>
        <w:t xml:space="preserve">(écrire davantage sur les programmes politiques de la gauche et de la droite afin de justifier la colonne policy demands ci-dessus ?)</w:t>
      </w:r>
    </w:p>
    <w:bookmarkEnd w:id="37"/>
    <w:bookmarkStart w:id="63" w:name="Xac48953cc1344d3e906a1574380eb4db4208561"/>
    <w:p>
      <w:pPr>
        <w:pStyle w:val="Heading2"/>
      </w:pPr>
      <w:r>
        <w:t xml:space="preserve">2.2 Swiss social blocs and socio-economic factors: 1980-2016</w:t>
      </w:r>
    </w:p>
    <w:p>
      <w:pPr>
        <w:pStyle w:val="FirstParagraph"/>
      </w:pPr>
      <w:r>
        <w:t xml:space="preserve">How have the social bases of the liberal-conservative and left blocs evolved since the 70s? How are the support for the main Swiss social blocs influenced by socio-economic characteristics? The objective of this section is to explore the composition of the Swiss social blocs in terms of socio-economic characteristics and assess their evolution since the post-war period.</w:t>
      </w:r>
    </w:p>
    <w:p>
      <w:pPr>
        <w:pStyle w:val="BodyText"/>
      </w:pPr>
      <w:r>
        <w:t xml:space="preserve">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federal election of 2023 marked the end of the</w:t>
      </w:r>
      <w:r>
        <w:t xml:space="preserve"> </w:t>
      </w:r>
      <w:r>
        <w:t xml:space="preserve">“</w:t>
      </w:r>
      <w:r>
        <w:t xml:space="preserve">green wave</w:t>
      </w:r>
      <w:r>
        <w:t xml:space="preserve">”</w:t>
      </w:r>
      <w:r>
        <w:t xml:space="preserve"> </w:t>
      </w:r>
      <w:r>
        <w:t xml:space="preserve">and a sharp decline green parties</w:t>
      </w:r>
      <w:r>
        <w:rPr>
          <w:rStyle w:val="FootnoteReference"/>
        </w:rPr>
        <w:footnoteReference w:id="38"/>
      </w:r>
      <w:r>
        <w:t xml:space="preserve">.</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 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In Switzerland, class conflict was always cut across a wide variety of other divides: religious, linguistic or regional.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w:t>
      </w:r>
    </w:p>
    <w:p>
      <w:pPr>
        <w:pStyle w:val="BodyText"/>
      </w:pPr>
      <w:r>
        <w:t xml:space="preserve">As a team part of the WPID project puts it, Switzerland is the country where</w:t>
      </w:r>
      <w:r>
        <w:t xml:space="preserve"> </w:t>
      </w:r>
      <w:r>
        <w:t xml:space="preserve">“</w:t>
      </w:r>
      <w:r>
        <w:t xml:space="preserve">the shift of the higher educated towards the left has been the most dramatic</w:t>
      </w:r>
      <w:r>
        <w:t xml:space="preserve">”</w:t>
      </w:r>
      <w:r>
        <w:t xml:space="preserve"> </w:t>
      </w:r>
      <w:r>
        <w:t xml:space="preserve">(Durrer de la Sota, Gethin, and Martinez-Toledano 2021, 4)</w:t>
      </w:r>
      <w:r>
        <w:t xml:space="preserve">.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39" w:name="tbl-socialblocs2"/>
    <w:p>
      <w:pPr>
        <w:pStyle w:val="TableCaption"/>
      </w:pPr>
      <w:r>
        <w:t xml:space="preserve">Table 2.2: The four possible social blocs based on a bi-dimensional political divide and income and education levels. This classification is based on</w:t>
      </w:r>
      <w:r>
        <w:t xml:space="preserve"> </w:t>
      </w:r>
      <w:r>
        <w:t xml:space="preserve">Durrer de la Sota, Gethin, and Martinez-Toledano (2021)</w:t>
      </w:r>
      <w:r>
        <w:t xml:space="preserve"> </w:t>
      </w:r>
      <w:r>
        <w:t xml:space="preserve">results (see their appendix). The term bourgeois bloc and this table were inspired by</w:t>
      </w:r>
      <w:r>
        <w:t xml:space="preserve"> </w:t>
      </w:r>
      <w:r>
        <w:t xml:space="preserve">Amable and Darcillon (2022a)</w:t>
      </w:r>
      <w:r>
        <w:t xml:space="preserve">.</w:t>
      </w:r>
    </w:p>
    <w:tbl>
      <w:tblPr>
        <w:tblStyle w:val="Table"/>
        <w:tblW w:type="pct" w:w="4965"/>
        <w:tblLook w:firstRow="1" w:lastRow="0" w:firstColumn="0" w:lastColumn="0" w:noHBand="0" w:noVBand="0" w:val="0020"/>
        <w:jc w:val="start"/>
        <w:tblCaption w:val="Table 2.2: The four possible social blocs based on a bi-dimensional political divide and income and education levels. This classification is based on Durrer de la Sota, Gethin, and Martinez-Toledano (2021) results (see their appendix). The term bourgeois bloc and this table were inspired by Amable and Darcillon (2022a)."/>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90s&lt;br</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39"/>
    <w:p>
      <w:pPr>
        <w:pStyle w:val="FirstParagraph"/>
      </w:pPr>
      <w:r>
        <w:t xml:space="preserve">The transformation of party systems into a mutli-elite and tripolar political space came with important change in the structural basis of party support.</w:t>
      </w:r>
      <w:r>
        <w:t xml:space="preserve"> </w:t>
      </w:r>
      <w:r>
        <w:t xml:space="preserve">Oesch and Rennwald (2010)</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BvsM1. The support for the left and left-wing parties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BvsM2. The support for the right and right-wing parties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hypotheses</w:t>
      </w:r>
    </w:p>
    <w:p>
      <w:pPr>
        <w:numPr>
          <w:ilvl w:val="1"/>
          <w:numId w:val="1023"/>
        </w:numPr>
        <w:pStyle w:val="Compact"/>
      </w:pPr>
      <w:r>
        <w:t xml:space="preserve">BB1. The support for redistribution and state intervention should decrease with education and income. Support for equal rights between Swiss citizen and foreigners should increase with education and income.</w:t>
      </w:r>
    </w:p>
    <w:p>
      <w:pPr>
        <w:numPr>
          <w:ilvl w:val="1"/>
          <w:numId w:val="1023"/>
        </w:numPr>
        <w:pStyle w:val="Compact"/>
      </w:pPr>
      <w:r>
        <w:t xml:space="preserve">BB2. Support for right-wing parties and the right should increase with both income and education levels.</w:t>
      </w:r>
    </w:p>
    <w:bookmarkStart w:id="62"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level with 6 categories ranging from primary school to university. It is important here to underline the peculiarities of the Swiss education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3" w:name="fig-educ"/>
          <w:p>
            <w:pPr>
              <w:jc w:val="center"/>
            </w:pPr>
            <w:r>
              <w:drawing>
                <wp:inline>
                  <wp:extent cx="4620126" cy="3696101"/>
                  <wp:effectExtent b="0" l="0" r="0" t="0"/>
                  <wp:docPr descr="" title="" id="41" name="Picture"/>
                  <a:graphic>
                    <a:graphicData uri="http://schemas.openxmlformats.org/drawingml/2006/picture">
                      <pic:pic>
                        <pic:nvPicPr>
                          <pic:cNvPr descr="part1_files/figure-docx/fig-educ-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3"/>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dependent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7" w:name="fig-inc"/>
          <w:p>
            <w:pPr>
              <w:jc w:val="center"/>
            </w:pPr>
            <w:r>
              <w:drawing>
                <wp:inline>
                  <wp:extent cx="4620126" cy="3696101"/>
                  <wp:effectExtent b="0" l="0" r="0" t="0"/>
                  <wp:docPr descr="" title="" id="45" name="Picture"/>
                  <a:graphic>
                    <a:graphicData uri="http://schemas.openxmlformats.org/drawingml/2006/picture">
                      <pic:pic>
                        <pic:nvPicPr>
                          <pic:cNvPr descr="part1_files/figure-docx/fig-inc-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47"/>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48"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48"/>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or Italian), marital status and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categories. The results are presented in the form of average marginal contrasts which allow to compare the difference in average predicted probabilities between groups of interests, in our case, between highest and lowest income groups and between university graduates and vocational training graduates.</w:t>
      </w:r>
    </w:p>
    <w:tbl>
      <w:tblPr>
        <w:tblStyle w:val="Table"/>
        <w:tblW w:type="pct" w:w="5000"/>
        <w:tblLook w:firstRow="0" w:lastRow="0" w:firstColumn="0" w:lastColumn="0" w:noHBand="0" w:noVBand="0" w:val="0000"/>
        <w:jc w:val="start"/>
      </w:tblPr>
      <w:tblGrid>
        <w:gridCol w:w="7920"/>
      </w:tblGrid>
      <w:tr>
        <w:tc>
          <w:tcPr/>
          <w:bookmarkStart w:id="52" w:name="fig-ameparties"/>
          <w:p>
            <w:pPr>
              <w:jc w:val="center"/>
            </w:pPr>
            <w:r>
              <w:drawing>
                <wp:inline>
                  <wp:extent cx="4620126" cy="4620126"/>
                  <wp:effectExtent b="0" l="0" r="0" t="0"/>
                  <wp:docPr descr="" title="" id="50" name="Picture"/>
                  <a:graphic>
                    <a:graphicData uri="http://schemas.openxmlformats.org/drawingml/2006/picture">
                      <pic:pic>
                        <pic:nvPicPr>
                          <pic:cNvPr descr="part1_files/figure-docx/fig-ameparties-1.png" id="51" name="Picture"/>
                          <pic:cNvPicPr>
                            <a:picLocks noChangeArrowheads="1" noChangeAspect="1"/>
                          </pic:cNvPicPr>
                        </pic:nvPicPr>
                        <pic:blipFill>
                          <a:blip r:embed="rId49"/>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2"/>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w:t>
      </w:r>
      <w:r>
        <w:t xml:space="preserve">and hypotheses BvsM1 and BvsM2.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w:t>
      </w:r>
    </w:p>
    <w:p>
      <w:pPr>
        <w:pStyle w:val="BodyText"/>
      </w:pPr>
      <w:r>
        <w:t xml:space="preserve">Second, the Liberal-Radical party (Radical-Democratic and Swiss Liberal Party before the latter merged in 2008) (PLR) shows a clear bourgeois basis for almost all time periods. The PLR is thus indeed the party of the wealthiest and most educated groups and is the only party that shows this pattern. However, the PLR seems to gradually become a merchant right party in the last time periods. In</w:t>
      </w:r>
      <w:r>
        <w:t xml:space="preserve"> </w:t>
      </w:r>
      <w:r>
        <w:t xml:space="preserve">Durrer de la Sota, Gethin, and Martinez-Toledano (2021)</w:t>
      </w:r>
      <w:r>
        <w:t xml:space="preserve">, another party, the Greens,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contrasts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6" w:name="fig-amepolleaning"/>
          <w:p>
            <w:pPr>
              <w:jc w:val="center"/>
            </w:pPr>
            <w:r>
              <w:drawing>
                <wp:inline>
                  <wp:extent cx="4620126" cy="3696101"/>
                  <wp:effectExtent b="0" l="0" r="0" t="0"/>
                  <wp:docPr descr="" title="" id="54" name="Picture"/>
                  <a:graphic>
                    <a:graphicData uri="http://schemas.openxmlformats.org/drawingml/2006/picture">
                      <pic:pic>
                        <pic:nvPicPr>
                          <pic:cNvPr descr="part1_files/figure-docx/fig-amepolleaning-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6"/>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0" w:name="fig-ameIP"/>
          <w:p>
            <w:pPr>
              <w:jc w:val="center"/>
            </w:pPr>
            <w:r>
              <w:drawing>
                <wp:inline>
                  <wp:extent cx="4620126" cy="3696101"/>
                  <wp:effectExtent b="0" l="0" r="0" t="0"/>
                  <wp:docPr descr="" title="" id="58" name="Picture"/>
                  <a:graphic>
                    <a:graphicData uri="http://schemas.openxmlformats.org/drawingml/2006/picture">
                      <pic:pic>
                        <pic:nvPicPr>
                          <pic:cNvPr descr="part1_files/figure-docx/fig-ameIP-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0"/>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r>
        <w:rPr>
          <w:bCs/>
          <w:b/>
        </w:rPr>
        <w:t xml:space="preserve">?@tbl-socialblocs</w:t>
      </w:r>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bookmarkStart w:id="61" w:name="tbl-socialblocs3"/>
    <w:p>
      <w:pPr>
        <w:pStyle w:val="TableCaption"/>
      </w:pPr>
      <w:r>
        <w:t xml:space="preserve">Table 2.3: The four possible social blocs based on a bi-dimensional political divide and income and education levels. Results from regression analysis of VoxIt data</w:t>
      </w:r>
    </w:p>
    <w:tbl>
      <w:tblPr>
        <w:tblStyle w:val="Table"/>
        <w:tblW w:type="pct" w:w="4963"/>
        <w:tblLook w:firstRow="1" w:lastRow="0" w:firstColumn="0" w:lastColumn="0" w:noHBand="0" w:noVBand="0" w:val="0020"/>
        <w:jc w:val="start"/>
        <w:tblCaption w:val="Table 2.3: The four possible social blocs based on a bi-dimensional political divide and income and education levels. Results from regression analysis of VoxIt data"/>
      </w:tblPr>
      <w:tblGrid>
        <w:gridCol w:w="1536"/>
        <w:gridCol w:w="2955"/>
        <w:gridCol w:w="3368"/>
      </w:tblGrid>
      <w:tr>
        <w:trPr>
          <w:tblHeader w:val="true"/>
        </w:trPr>
        <w:tc>
          <w:tcPr/>
          <w:p>
            <w:pPr>
              <w:jc w:val="left"/>
            </w:pPr>
            <w:r>
              <w:t xml:space="preserve">Income/</w:t>
            </w:r>
          </w:p>
          <w:p>
            <w:pPr>
              <w:jc w:val="left"/>
            </w:pPr>
            <w:r>
              <w:t xml:space="preserve">Education</w:t>
            </w:r>
          </w:p>
        </w:tc>
        <w:tc>
          <w:tcPr/>
          <w:p>
            <w:pPr>
              <w:pStyle w:val="Compact"/>
              <w:jc w:val="left"/>
            </w:pPr>
            <w:r>
              <w:t xml:space="preserve">High level of income</w:t>
            </w:r>
          </w:p>
        </w:tc>
        <w:tc>
          <w:tcPr/>
          <w:p>
            <w:pPr>
              <w:pStyle w:val="Compact"/>
              <w:jc w:val="left"/>
            </w:pPr>
            <w:r>
              <w:t xml:space="preserve">Low level of income</w:t>
            </w:r>
          </w:p>
        </w:tc>
      </w:tr>
      <w:tr>
        <w:tc>
          <w:tcPr/>
          <w:p>
            <w:pPr>
              <w:pStyle w:val="Compact"/>
              <w:jc w:val="left"/>
            </w:pPr>
            <w:r>
              <w:t xml:space="preserve">High level of education</w:t>
            </w:r>
          </w:p>
        </w:tc>
        <w:tc>
          <w:tcPr/>
          <w:p>
            <w:pPr>
              <w:jc w:val="left"/>
            </w:pPr>
            <w:r>
              <w:rPr>
                <w:bCs/>
                <w:b/>
              </w:rPr>
              <w:t xml:space="preserve">Bloc Bourgeois</w:t>
            </w:r>
          </w:p>
          <w:p>
            <w:pPr>
              <w:numPr>
                <w:ilvl w:val="0"/>
                <w:numId w:val="1024"/>
              </w:numPr>
              <w:pStyle w:val="Compact"/>
              <w:jc w:val="left"/>
            </w:pPr>
            <w:r>
              <w:t xml:space="preserve">PRD-PLR from 1986 to 2006</w:t>
            </w:r>
          </w:p>
          <w:p>
            <w:pPr>
              <w:jc w:val="left"/>
            </w:pPr>
            <w:r>
              <w:rPr>
                <w:bCs/>
                <w:b/>
              </w:rPr>
              <w:t xml:space="preserve">Policy preferences:</w:t>
            </w:r>
          </w:p>
          <w:p>
            <w:pPr>
              <w:numPr>
                <w:ilvl w:val="0"/>
                <w:numId w:val="1025"/>
              </w:numPr>
              <w:pStyle w:val="Compact"/>
              <w:jc w:val="left"/>
            </w:pPr>
            <w:r>
              <w:t xml:space="preserve">For equal rights &amp; chances Swiss-foreigners</w:t>
            </w:r>
          </w:p>
        </w:tc>
        <w:tc>
          <w:tcPr/>
          <w:p>
            <w:pPr>
              <w:jc w:val="left"/>
            </w:pPr>
            <w:r>
              <w:rPr>
                <w:bCs/>
                <w:b/>
              </w:rPr>
              <w:t xml:space="preserve">Brahmin</w:t>
            </w:r>
          </w:p>
          <w:p>
            <w:pPr>
              <w:numPr>
                <w:ilvl w:val="0"/>
                <w:numId w:val="1026"/>
              </w:numPr>
              <w:jc w:val="left"/>
            </w:pPr>
            <w:r>
              <w:t xml:space="preserve">Greens</w:t>
            </w:r>
          </w:p>
          <w:p>
            <w:pPr>
              <w:numPr>
                <w:ilvl w:val="0"/>
                <w:numId w:val="1026"/>
              </w:numPr>
              <w:jc w:val="left"/>
            </w:pPr>
            <w:r>
              <w:t xml:space="preserve">PS since the 80s</w:t>
            </w:r>
          </w:p>
          <w:p>
            <w:pPr>
              <w:jc w:val="left"/>
            </w:pPr>
            <w:r>
              <w:rPr>
                <w:bCs/>
                <w:b/>
              </w:rPr>
              <w:t xml:space="preserve">Policy preferences:</w:t>
            </w:r>
            <w:r>
              <w:t xml:space="preserve"> </w:t>
            </w:r>
            <w:r>
              <w:t xml:space="preserve">|</w:t>
            </w:r>
          </w:p>
          <w:p>
            <w:pPr>
              <w:numPr>
                <w:ilvl w:val="0"/>
                <w:numId w:val="1027"/>
              </w:numPr>
              <w:jc w:val="left"/>
            </w:pPr>
            <w:r>
              <w:t xml:space="preserve">For equal rights &amp; chances Swiss-foreigners |</w:t>
            </w:r>
          </w:p>
          <w:p>
            <w:pPr>
              <w:numPr>
                <w:ilvl w:val="0"/>
                <w:numId w:val="1027"/>
              </w:numPr>
              <w:jc w:val="left"/>
            </w:pPr>
            <w:r>
              <w:t xml:space="preserve">Support state intervention</w:t>
            </w:r>
          </w:p>
          <w:p>
            <w:pPr>
              <w:numPr>
                <w:ilvl w:val="0"/>
                <w:numId w:val="1027"/>
              </w:numPr>
              <w:jc w:val="left"/>
            </w:pPr>
            <w:r>
              <w:t xml:space="preserve">Support redistribution in some periods</w:t>
            </w:r>
          </w:p>
        </w:tc>
      </w:tr>
      <w:tr>
        <w:tc>
          <w:tcPr/>
          <w:p>
            <w:pPr>
              <w:pStyle w:val="Compact"/>
              <w:jc w:val="left"/>
            </w:pPr>
            <w:r>
              <w:t xml:space="preserve">Low level of education</w:t>
            </w:r>
          </w:p>
        </w:tc>
        <w:tc>
          <w:tcPr/>
          <w:p>
            <w:pPr>
              <w:jc w:val="left"/>
            </w:pPr>
            <w:r>
              <w:rPr>
                <w:bCs/>
                <w:b/>
              </w:rPr>
              <w:t xml:space="preserve">Merchant</w:t>
            </w:r>
          </w:p>
          <w:p>
            <w:pPr>
              <w:numPr>
                <w:ilvl w:val="0"/>
                <w:numId w:val="1028"/>
              </w:numPr>
              <w:jc w:val="left"/>
            </w:pPr>
            <w:r>
              <w:t xml:space="preserve">PRD-PLR since 2006 UDC in 1986-1991</w:t>
            </w:r>
          </w:p>
          <w:p>
            <w:pPr>
              <w:numPr>
                <w:ilvl w:val="0"/>
                <w:numId w:val="1028"/>
              </w:numPr>
              <w:jc w:val="left"/>
            </w:pPr>
            <w:r>
              <w:t xml:space="preserve">Self-identification to the right</w:t>
            </w:r>
          </w:p>
          <w:p>
            <w:pPr>
              <w:jc w:val="left"/>
            </w:pPr>
            <w:r>
              <w:rPr>
                <w:bCs/>
                <w:b/>
              </w:rPr>
              <w:t xml:space="preserve">Policy preferences:</w:t>
            </w:r>
          </w:p>
          <w:p>
            <w:pPr>
              <w:numPr>
                <w:ilvl w:val="0"/>
                <w:numId w:val="1029"/>
              </w:numPr>
              <w:jc w:val="left"/>
            </w:pPr>
            <w:r>
              <w:t xml:space="preserve">Against state intervention</w:t>
            </w:r>
          </w:p>
          <w:p>
            <w:pPr>
              <w:numPr>
                <w:ilvl w:val="0"/>
                <w:numId w:val="1029"/>
              </w:numPr>
              <w:jc w:val="left"/>
            </w:pPr>
            <w:r>
              <w:t xml:space="preserve">Against redistribution</w:t>
            </w:r>
          </w:p>
        </w:tc>
        <w:tc>
          <w:tcPr/>
          <w:p>
            <w:pPr>
              <w:jc w:val="left"/>
            </w:pPr>
            <w:r>
              <w:rPr>
                <w:bCs/>
                <w:b/>
              </w:rPr>
              <w:t xml:space="preserve">Popular classes</w:t>
            </w:r>
          </w:p>
          <w:p>
            <w:pPr>
              <w:numPr>
                <w:ilvl w:val="0"/>
                <w:numId w:val="1030"/>
              </w:numPr>
              <w:jc w:val="left"/>
            </w:pPr>
            <w:r>
              <w:t xml:space="preserve">UDC since the 90s</w:t>
            </w:r>
          </w:p>
          <w:p>
            <w:pPr>
              <w:numPr>
                <w:ilvl w:val="0"/>
                <w:numId w:val="1030"/>
              </w:numPr>
              <w:jc w:val="left"/>
            </w:pPr>
            <w:r>
              <w:t xml:space="preserve">No party support</w:t>
            </w:r>
          </w:p>
          <w:p>
            <w:pPr>
              <w:jc w:val="left"/>
            </w:pPr>
            <w:r>
              <w:rPr>
                <w:bCs/>
                <w:b/>
              </w:rPr>
              <w:t xml:space="preserve">Policy preferences:</w:t>
            </w:r>
          </w:p>
          <w:p>
            <w:pPr>
              <w:numPr>
                <w:ilvl w:val="0"/>
                <w:numId w:val="1031"/>
              </w:numPr>
              <w:pStyle w:val="Compact"/>
              <w:jc w:val="left"/>
            </w:pPr>
            <w:r>
              <w:t xml:space="preserve">Better rights &amp; chances for the Swiss (until 2008)</w:t>
            </w:r>
          </w:p>
          <w:p>
            <w:pPr>
              <w:numPr>
                <w:ilvl w:val="0"/>
                <w:numId w:val="1031"/>
              </w:numPr>
              <w:pStyle w:val="Compact"/>
              <w:jc w:val="left"/>
            </w:pPr>
            <w:r>
              <w:t xml:space="preserve">Support redistribution in some periods (2004-2008)</w:t>
            </w:r>
          </w:p>
        </w:tc>
      </w:tr>
    </w:tbl>
    <w:bookmarkEnd w:id="61"/>
    <w:p>
      <w:pPr>
        <w:pStyle w:val="FirstParagraph"/>
      </w:pPr>
      <w:r>
        <w:t xml:space="preserve">Overall, the regression analysis conducted in this section, using a different data source from the WPID project offers a new way to describe the evolution of the Swiss version of the brahmin left vs merchant right divide, which is summarized in</w:t>
      </w:r>
      <w:r>
        <w:t xml:space="preserve"> </w:t>
      </w:r>
      <w:hyperlink w:anchor="tbl-socialblocs3">
        <w:r>
          <w:rPr>
            <w:rStyle w:val="Hyperlink"/>
          </w:rPr>
          <w:t xml:space="preserve">Table 2.3</w:t>
        </w:r>
      </w:hyperlink>
      <w:r>
        <w:t xml:space="preserve">.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two latent class analysis for two different periods: 1999 and 2019.</w:t>
      </w:r>
    </w:p>
    <w:bookmarkEnd w:id="62"/>
    <w:bookmarkEnd w:id="63"/>
    <w:bookmarkStart w:id="75" w:name="X1948c5745db5504dc48f006cba99aece3f08b63"/>
    <w:p>
      <w:pPr>
        <w:pStyle w:val="Heading2"/>
      </w:pPr>
      <w:r>
        <w:t xml:space="preserve">2.3 In search of the liberal-conservative and left blocs</w:t>
      </w:r>
    </w:p>
    <w:p>
      <w:pPr>
        <w:pStyle w:val="FirstParagraph"/>
      </w:pPr>
      <w:r>
        <w:t xml:space="preserve">The objective of the present section is to assess empirically the reconfiguration of the Swiss social blocs during the 90s. More specifically, the objective is to analyze how the dominant Swiss social bloc was able to recompose during the crisis using a bottom-up approach different from the previous section, and more aligned with the neorealist approach. One of the main limitations of the regression analysis of the previous section was to consider social groups as pre-defined based on different income and educational levels, or occupation, and only two cleavage dimensions.</w:t>
      </w:r>
    </w:p>
    <w:p>
      <w:pPr>
        <w:pStyle w:val="BodyText"/>
      </w:pPr>
      <w:r>
        <w:t xml:space="preserve">As explained in the introduction, the neorealist approach starts from the diversity of social expectations emanating from the heterogeneity of the social structure. Socio-political groups could be endogenously defined based on the proximity of Swiss citizen’s preferences regarding economic and public policies. A method that allow such procedure is latent class analysis (LCA). LCA is rarely used in the social sciences, but has recently been applied as part of the neorealist approach to infer socio-political groups based on a set of policy preferences variables from post-electoral surveys. It was first used by</w:t>
      </w:r>
      <w:r>
        <w:t xml:space="preserve"> </w:t>
      </w:r>
      <w:r>
        <w:t xml:space="preserve">Amable, Guillaud, and Palombarini (2012)</w:t>
      </w:r>
      <w:r>
        <w:t xml:space="preserve"> </w:t>
      </w:r>
      <w:r>
        <w:t xml:space="preserve">to identify socio-political groups in France and Italy. The analysis resulted in the identification of twelve groups for France, and seven for Italy. The analysis of France socio-political groups and social blocs was then improved in a subsequent paper by</w:t>
      </w:r>
      <w:r>
        <w:t xml:space="preserve"> </w:t>
      </w:r>
      <w:r>
        <w:t xml:space="preserve">Amable (2021)</w:t>
      </w:r>
      <w:r>
        <w:t xml:space="preserve">.</w:t>
      </w:r>
    </w:p>
    <w:p>
      <w:pPr>
        <w:pStyle w:val="BodyText"/>
      </w:pPr>
      <w:r>
        <w:t xml:space="preserve">This section has for ambition to extend the contribution of</w:t>
      </w:r>
      <w:r>
        <w:t xml:space="preserve"> </w:t>
      </w:r>
      <w:r>
        <w:t xml:space="preserve">Amable, Guillaud, and Palombarini (2012)</w:t>
      </w:r>
      <w:r>
        <w:t xml:space="preserve"> </w:t>
      </w:r>
      <w:r>
        <w:t xml:space="preserve">and</w:t>
      </w:r>
      <w:r>
        <w:t xml:space="preserve"> </w:t>
      </w:r>
      <w:r>
        <w:t xml:space="preserve">Amable (2021)</w:t>
      </w:r>
      <w:r>
        <w:t xml:space="preserve"> </w:t>
      </w:r>
      <w:r>
        <w:t xml:space="preserve">to Switzerland by conducting LCA analysis using Swiss election studies data. The methodology and approach used here closely follow the approach taken in</w:t>
      </w:r>
      <w:r>
        <w:t xml:space="preserve"> </w:t>
      </w:r>
      <w:r>
        <w:t xml:space="preserve">Amable (2021)</w:t>
      </w:r>
      <w:r>
        <w:t xml:space="preserve">.</w:t>
      </w:r>
    </w:p>
    <w:bookmarkStart w:id="66" w:name="Xf707227713dcc91c64a70bb57fd31a56f14b294"/>
    <w:p>
      <w:pPr>
        <w:pStyle w:val="Heading3"/>
      </w:pPr>
      <w:r>
        <w:t xml:space="preserve">2.3.1 The latent class model and estimation method</w:t>
      </w:r>
    </w:p>
    <w:p>
      <w:pPr>
        <w:pStyle w:val="FirstParagraph"/>
      </w:pPr>
      <w:r>
        <w:t xml:space="preserve">LCA allows to find a categorical structure from a set of categorical variables. The idea is that the Swiss population can be divided into different subgroups (socio-political groups given our theoretical framework), but that the latter are unobserved and can be indirectly estimated through a set of questions regarding policy preferences. The method employed here takes the following form:</w:t>
      </w:r>
    </w:p>
    <w:p>
      <w:pPr>
        <w:pStyle w:val="BodyText"/>
      </w:pPr>
      <w:bookmarkStart w:id="64" w:name="eq-lca"/>
      <m:oMathPara>
        <m:oMathParaPr>
          <m:jc m:val="center"/>
        </m:oMathParaPr>
        <m:oMath>
          <m:r>
            <m:t>P</m:t>
          </m:r>
          <m:d>
            <m:dPr>
              <m:begChr m:val="("/>
              <m:endChr m:val=")"/>
              <m:sepChr m:val=""/>
              <m:grow/>
            </m:dPr>
            <m:e>
              <m:sSub>
                <m:e>
                  <m:r>
                    <m:t>y</m:t>
                  </m:r>
                </m:e>
                <m:sub>
                  <m:r>
                    <m:t>1</m:t>
                  </m:r>
                </m:sub>
              </m:sSub>
              <m:r>
                <m:rPr>
                  <m:sty m:val="p"/>
                </m:rPr>
                <m:t>,</m:t>
              </m:r>
              <m:r>
                <m:rPr>
                  <m:sty m:val="p"/>
                </m:rPr>
                <m:t>.</m:t>
              </m:r>
              <m:r>
                <m:rPr>
                  <m:sty m:val="p"/>
                </m:rPr>
                <m:t>.</m:t>
              </m:r>
              <m:r>
                <m:rPr>
                  <m:sty m:val="p"/>
                </m:rPr>
                <m:t>.</m:t>
              </m:r>
              <m:r>
                <m:rPr>
                  <m:sty m:val="p"/>
                </m:rPr>
                <m:t>,</m:t>
              </m:r>
              <m:sSub>
                <m:e>
                  <m:r>
                    <m:t>y</m:t>
                  </m:r>
                </m:e>
                <m:sub>
                  <m:r>
                    <m:t>t</m:t>
                  </m:r>
                </m:sub>
              </m:sSub>
            </m:e>
          </m:d>
          <m:r>
            <m:rPr>
              <m:sty m:val="p"/>
            </m:rPr>
            <m:t>=</m:t>
          </m:r>
          <m:nary>
            <m:naryPr>
              <m:chr m:val="∑"/>
              <m:limLoc m:val="undOvr"/>
              <m:subHide m:val="0"/>
              <m:supHide m:val="0"/>
            </m:naryPr>
            <m:sub>
              <m:r>
                <m:t>c</m:t>
              </m:r>
              <m:r>
                <m:rPr>
                  <m:sty m:val="p"/>
                </m:rPr>
                <m:t>=</m:t>
              </m:r>
              <m:r>
                <m:t>1</m:t>
              </m:r>
            </m:sub>
            <m:sup>
              <m:r>
                <m:t>c</m:t>
              </m:r>
            </m:sup>
            <m:e>
              <m:r>
                <m:t>P</m:t>
              </m:r>
            </m:e>
          </m:nary>
          <m:d>
            <m:dPr>
              <m:begChr m:val="("/>
              <m:endChr m:val=")"/>
              <m:sepChr m:val=""/>
              <m:grow/>
            </m:dPr>
            <m:e>
              <m:r>
                <m:t>X</m:t>
              </m:r>
              <m:r>
                <m:rPr>
                  <m:sty m:val="p"/>
                </m:rPr>
                <m:t>=</m:t>
              </m:r>
              <m:r>
                <m:t>c</m:t>
              </m:r>
            </m:e>
          </m:d>
          <m:nary>
            <m:naryPr>
              <m:chr m:val="∏"/>
              <m:limLoc m:val="undOvr"/>
              <m:subHide m:val="0"/>
              <m:supHide m:val="0"/>
            </m:naryPr>
            <m:sub>
              <m:r>
                <m:t>t</m:t>
              </m:r>
              <m:r>
                <m:rPr>
                  <m:sty m:val="p"/>
                </m:rPr>
                <m:t>=</m:t>
              </m:r>
              <m:r>
                <m:t>1</m:t>
              </m:r>
            </m:sub>
            <m:sup>
              <m:r>
                <m:t>T</m:t>
              </m:r>
            </m:sup>
            <m:e>
              <m:r>
                <m:t>P</m:t>
              </m:r>
            </m:e>
          </m:nary>
          <m:d>
            <m:dPr>
              <m:begChr m:val="("/>
              <m:endChr m:val=")"/>
              <m:sepChr m:val=""/>
              <m:grow/>
            </m:dPr>
            <m:e>
              <m:sSub>
                <m:e>
                  <m:r>
                    <m:t>y</m:t>
                  </m:r>
                </m:e>
                <m:sub>
                  <m:r>
                    <m:t>t</m:t>
                  </m:r>
                </m:sub>
              </m:sSub>
              <m:r>
                <m:rPr>
                  <m:sty m:val="p"/>
                </m:rPr>
                <m:t>|</m:t>
              </m:r>
              <m:r>
                <m:t>X</m:t>
              </m:r>
              <m:r>
                <m:rPr>
                  <m:sty m:val="p"/>
                </m:rPr>
                <m:t>=</m:t>
              </m:r>
              <m:r>
                <m:t>c</m:t>
              </m:r>
            </m:e>
          </m:d>
          <m:r>
            <m:t>  </m:t>
          </m:r>
          <m:d>
            <m:dPr>
              <m:begChr m:val="("/>
              <m:endChr m:val=")"/>
              <m:sepChr m:val=""/>
              <m:grow/>
            </m:dPr>
            <m:e>
              <m:r>
                <m:t>2.2</m:t>
              </m:r>
            </m:e>
          </m:d>
        </m:oMath>
      </m:oMathPara>
      <w:bookmarkEnd w:id="64"/>
    </w:p>
    <w:p>
      <w:pPr>
        <w:pStyle w:val="FirstParagraph"/>
      </w:pPr>
      <w:r>
        <w:t xml:space="preserve">With</w:t>
      </w:r>
      <w:r>
        <w:t xml:space="preserve"> </w:t>
      </w:r>
      <m:oMath>
        <m:r>
          <m:t>P</m:t>
        </m:r>
        <m:d>
          <m:dPr>
            <m:begChr m:val="("/>
            <m:endChr m:val=")"/>
            <m:sepChr m:val=""/>
            <m:grow/>
          </m:dPr>
          <m:e>
            <m:sSub>
              <m:e>
                <m:r>
                  <m:t>y</m:t>
                </m:r>
              </m:e>
              <m:sub>
                <m:r>
                  <m:t>1</m:t>
                </m:r>
              </m:sub>
            </m:sSub>
            <m:r>
              <m:rPr>
                <m:sty m:val="p"/>
              </m:rPr>
              <m:t>,</m:t>
            </m:r>
            <m:r>
              <m:rPr>
                <m:sty m:val="p"/>
              </m:rPr>
              <m:t>.</m:t>
            </m:r>
            <m:r>
              <m:rPr>
                <m:sty m:val="p"/>
              </m:rPr>
              <m:t>.</m:t>
            </m:r>
            <m:r>
              <m:rPr>
                <m:sty m:val="p"/>
              </m:rPr>
              <m:t>.</m:t>
            </m:r>
            <m:r>
              <m:rPr>
                <m:sty m:val="p"/>
              </m:rPr>
              <m:t>,</m:t>
            </m:r>
            <m:sSub>
              <m:e>
                <m:r>
                  <m:t>y</m:t>
                </m:r>
              </m:e>
              <m:sub>
                <m:r>
                  <m:t>t</m:t>
                </m:r>
              </m:sub>
            </m:sSub>
          </m:e>
        </m:d>
      </m:oMath>
      <w:r>
        <w:t xml:space="preserve"> </w:t>
      </w:r>
      <w:r>
        <w:t xml:space="preserve">the joint probability to observe a response pattern to a set of questions</w:t>
      </w:r>
      <w:r>
        <w:t xml:space="preserve"> </w:t>
      </w:r>
      <m:oMath>
        <m:r>
          <m:t>T</m:t>
        </m:r>
      </m:oMath>
      <w:r>
        <w:t xml:space="preserve"> </w:t>
      </w:r>
      <w:r>
        <w:t xml:space="preserve">taken as indicators.</w:t>
      </w:r>
      <w:r>
        <w:t xml:space="preserve"> </w:t>
      </w:r>
      <m:oMath>
        <m:r>
          <m:t>P</m:t>
        </m:r>
        <m:d>
          <m:dPr>
            <m:begChr m:val="("/>
            <m:endChr m:val=")"/>
            <m:sepChr m:val=""/>
            <m:grow/>
          </m:dPr>
          <m:e>
            <m:r>
              <m:t>X</m:t>
            </m:r>
            <m:r>
              <m:rPr>
                <m:sty m:val="p"/>
              </m:rPr>
              <m:t>=</m:t>
            </m:r>
            <m:r>
              <m:t>c</m:t>
            </m:r>
          </m:e>
        </m:d>
      </m:oMath>
      <w:r>
        <w:t xml:space="preserve"> </w:t>
      </w:r>
      <w:r>
        <w:t xml:space="preserve">is the probability to belong to cluster</w:t>
      </w:r>
      <w:r>
        <w:t xml:space="preserve"> </w:t>
      </w:r>
      <m:oMath>
        <m:r>
          <m:t>c</m:t>
        </m:r>
      </m:oMath>
      <w:r>
        <w:t xml:space="preserve"> </w:t>
      </w:r>
      <w:r>
        <w:t xml:space="preserve">of the discrete latent variable</w:t>
      </w:r>
      <w:r>
        <w:t xml:space="preserve"> </w:t>
      </w:r>
      <m:oMath>
        <m:r>
          <m:t>X</m:t>
        </m:r>
      </m:oMath>
      <w:r>
        <w:t xml:space="preserve">. The association between the latent class variable</w:t>
      </w:r>
      <w:r>
        <w:t xml:space="preserve"> </w:t>
      </w:r>
      <m:oMath>
        <m:r>
          <m:t>X</m:t>
        </m:r>
      </m:oMath>
      <w:r>
        <w:t xml:space="preserve"> </w:t>
      </w:r>
      <w:r>
        <w:t xml:space="preserve">and the indicators</w:t>
      </w:r>
      <w:r>
        <w:t xml:space="preserve"> </w:t>
      </w:r>
      <m:oMath>
        <m:r>
          <m:t>T</m:t>
        </m:r>
      </m:oMath>
      <w:r>
        <w:t xml:space="preserve"> </w:t>
      </w:r>
      <w:r>
        <w:t xml:space="preserve">is estimated through binary logistic regression (if the indicators are dichotomous) or, in our case, through multinomial logistic regression (if the indicators have more than two un-ordered categories).</w:t>
      </w:r>
    </w:p>
    <w:p>
      <w:pPr>
        <w:pStyle w:val="BodyText"/>
      </w:pPr>
      <w:r>
        <w:t xml:space="preserve">An important step of LCA is model selection, that is, choosing the model with the appropriate number of clusters. The criteria chosen to determine the number of clusters in this section is a bootstrap likelihood ratio test, an indicator which, according to</w:t>
      </w:r>
      <w:r>
        <w:t xml:space="preserve"> </w:t>
      </w:r>
      <w:r>
        <w:t xml:space="preserve">Nylund, Asparouhov, and Muthén (2007)</w:t>
      </w:r>
      <w:r>
        <w:t xml:space="preserve">, is the most suited compared to information criteria (AIC, BIC…). A series of models are thus estimated, increasing the number of clusters with each new model until the bootstrap likelihood ratio test showed no significance of adding a supplementary cluster to the model</w:t>
      </w:r>
      <w:r>
        <w:rPr>
          <w:rStyle w:val="FootnoteReference"/>
        </w:rPr>
        <w:footnoteReference w:id="65"/>
      </w:r>
      <w:r>
        <w:t xml:space="preserve">.</w:t>
      </w:r>
    </w:p>
    <w:bookmarkEnd w:id="66"/>
    <w:bookmarkStart w:id="74" w:name="X874e7f9a90c7642bd45e7cca2ab48ed22f7b8fc"/>
    <w:p>
      <w:pPr>
        <w:pStyle w:val="Heading3"/>
      </w:pPr>
      <w:r>
        <w:t xml:space="preserve">2.3.2 Estimation of Swiss socio-political groups in 1999: the 12 clusters model</w:t>
      </w:r>
    </w:p>
    <w:p>
      <w:pPr>
        <w:pStyle w:val="FirstParagraph"/>
      </w:pPr>
      <w:r>
        <w:t xml:space="preserve">For the first LCA estimation, the Swiss post-electoral study of 1999</w:t>
      </w:r>
      <w:r>
        <w:t xml:space="preserve"> </w:t>
      </w:r>
      <w:r>
        <w:t xml:space="preserve">(Hardmeier et al. 2022)</w:t>
      </w:r>
      <w:r>
        <w:t xml:space="preserve"> </w:t>
      </w:r>
      <w:r>
        <w:t xml:space="preserve">was chosen. The reasons behind this choice are technical, but first and foremost historical as the 90s represent a turning point in Swiss history and the evolution of the Swiss social blocs.</w:t>
      </w:r>
    </w:p>
    <w:p>
      <w:pPr>
        <w:pStyle w:val="BodyText"/>
      </w:pPr>
      <w:r>
        <w:t xml:space="preserve">As explained in section 2.1, the Swiss socio-political landscape was structured around two social blocs before the 90s: a dominant liberal-conservative and a subordinate left bloc. These two blocs were able to cooperate in what Pietro Boschetti famously called the Swiss variant of the</w:t>
      </w:r>
      <w:r>
        <w:t xml:space="preserve"> </w:t>
      </w:r>
      <w:r>
        <w:t xml:space="preserve">“</w:t>
      </w:r>
      <w:r>
        <w:t xml:space="preserve">historical compromise</w:t>
      </w:r>
      <w:r>
        <w:t xml:space="preserve">”</w:t>
      </w:r>
      <w:r>
        <w:t xml:space="preserve"> </w:t>
      </w:r>
      <w:r>
        <w:t xml:space="preserve">between the Swiss left and right-wing parties. On the one hand, the PLR, PDC and Agrarian parties were willing to cooperate with the Swiss Socialist party and develop social security to a certain extent. On the other hand, the Swiss Socialist party abandoned its anti-capitalist stances and became a moderate social-democrat reformist party aimed at promoting the creation of a Swiss welfare state, increase in real wage and promote the public sector and employment protection</w:t>
      </w:r>
      <w:r>
        <w:t xml:space="preserve"> </w:t>
      </w:r>
      <w:r>
        <w:t xml:space="preserve">(Boschetti 2007)</w:t>
      </w:r>
      <w:r>
        <w:t xml:space="preserve">.</w:t>
      </w:r>
    </w:p>
    <w:p>
      <w:pPr>
        <w:pStyle w:val="BodyText"/>
      </w:pPr>
      <w:r>
        <w:t xml:space="preserve">However, 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liberal-conservative and left blocs are undergoing important transformations, that some authors interpreted as various forms of latent political crises. The Swiss political scene is still marked by the rise of the Swiss People Party (UDC), one of the most successful far-right populist parties in Europe. The electoral success of the UDC is often associated with the destabilization of the liberal-conservative bloc, which entered a phase of cacophonic 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70" w:name="fig-partystrength"/>
          <w:p>
            <w:pPr>
              <w:jc w:val="center"/>
            </w:pPr>
            <w:r>
              <w:drawing>
                <wp:inline>
                  <wp:extent cx="4620126" cy="3696101"/>
                  <wp:effectExtent b="0" l="0" r="0" t="0"/>
                  <wp:docPr descr="" title="" id="68" name="Picture"/>
                  <a:graphic>
                    <a:graphicData uri="http://schemas.openxmlformats.org/drawingml/2006/picture">
                      <pic:pic>
                        <pic:nvPicPr>
                          <pic:cNvPr descr="part1_files/figure-docx/fig-partystrength-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70"/>
        </w:tc>
      </w:tr>
    </w:tbl>
    <w:p>
      <w:pPr>
        <w:pStyle w:val="BodyText"/>
      </w:pPr>
      <w:r>
        <w:t xml:space="preserve">In fact, all the Swiss traditional main government parties, the Swiss Socialist Party (PS) The Radical-Liberals (PLR) and the PDC, are in decline since the post-war period (see</w:t>
      </w:r>
      <w:r>
        <w:t xml:space="preserve"> </w:t>
      </w:r>
      <w:hyperlink w:anchor="fig-partystrength">
        <w:r>
          <w:rPr>
            <w:rStyle w:val="Hyperlink"/>
          </w:rPr>
          <w:t xml:space="preserve">Figure 2.6</w:t>
        </w:r>
      </w:hyperlink>
      <w:r>
        <w:t xml:space="preserve">). On the right, the crisis can be seen through the fall in vote shares (apart from the UDC);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p>
      <w:pPr>
        <w:pStyle w:val="BodyText"/>
      </w:pPr>
      <w:r>
        <w:t xml:space="preserve">the crisis of the 90s marked an important turning point in the history and evolution of the Swiss social blocs described in</w:t>
      </w:r>
      <w:r>
        <w:t xml:space="preserve"> </w:t>
      </w:r>
      <w:hyperlink w:anchor="tbl-socialblocs1">
        <w:r>
          <w:rPr>
            <w:rStyle w:val="Hyperlink"/>
          </w:rPr>
          <w:t xml:space="preserve">Table 2.1</w:t>
        </w:r>
      </w:hyperlink>
      <w:r>
        <w:t xml:space="preserve">. In fact, both the liberal-conservative and left blocs were based on internal compromises between their socio-political groups which shattered under the pressure of structural and external pressures. The demands of the large exporting industries and sectors producing for the internal market converged in terms of labor market flexibility, low employment protection and weak welfare state, but they differed in terms of commercial and industrial policies. The large exporting industries asked for liberal, free-trade commercial policies while the farmers and small business owners producing for the internal Swiss market asked for protection and subsidies. These contradictory demands were temporarily compatible during the post-war period and, as a result, reinforced the dual structure of the Swiss economy which combined a highly liberalized and free-trade exporting sector with a subsidized and highly protected internal sector.</w:t>
      </w:r>
    </w:p>
    <w:p>
      <w:pPr>
        <w:pStyle w:val="BodyText"/>
      </w:pPr>
      <w:r>
        <w:t xml:space="preserve">However, as globalization, financialization and European integration intensified in the late 20th, the social groups attached to the interests of the internationalized Swiss industries gradually dissociated themselves from the groups attached to the internal sector. This dissociation was made explicit by the publication of a series of</w:t>
      </w:r>
      <w:r>
        <w:t xml:space="preserve"> </w:t>
      </w:r>
      <w:r>
        <w:t xml:space="preserve">“</w:t>
      </w:r>
      <w:r>
        <w:t xml:space="preserve">white-books</w:t>
      </w:r>
      <w:r>
        <w:t xml:space="preserve">”</w:t>
      </w:r>
      <w:r>
        <w:t xml:space="preserve"> </w:t>
      </w:r>
      <w:r>
        <w:t xml:space="preserve">by political and economic actors defending the interests of the Swiss multinational corporations. These white books advocated a dismantling of the Swiss Hybrid model by promoting a series of neoliberal reforms. The main policy demands of the white books were to increase competition in the international sector by dismantling Swiss cartels, reform the taxation system, reduce employment protection and social security, and privatize the public sector.</w:t>
      </w:r>
    </w:p>
    <w:p>
      <w:pPr>
        <w:pStyle w:val="BodyText"/>
      </w:pPr>
      <w:r>
        <w:t xml:space="preserve">Furthermore, the Swiss post-electoral study of 1999</w:t>
      </w:r>
      <w:r>
        <w:t xml:space="preserve"> </w:t>
      </w:r>
      <w:r>
        <w:t xml:space="preserve">(Hardmeier et al. 2022)</w:t>
      </w:r>
      <w:r>
        <w:t xml:space="preserve"> </w:t>
      </w:r>
      <w:r>
        <w:t xml:space="preserve">has the advantage of having enough observation (3258 records) and containing issue position variables with good enough qualities to infer socio-political groups quiet fairly. The ideal data set would be the one containing issue position variables which cover a good range of institutional areas, such as the one considered in</w:t>
      </w:r>
      <w:r>
        <w:t xml:space="preserve"> </w:t>
      </w:r>
      <w:r>
        <w:t xml:space="preserve">Amable (2003)</w:t>
      </w:r>
      <w:r>
        <w:t xml:space="preserve">: products market, social protection, labour market, the financial system and the educational system along with general policy orientations</w:t>
      </w:r>
      <w:r>
        <w:t xml:space="preserve"> </w:t>
      </w:r>
      <w:r>
        <w:t xml:space="preserve">(Amable 2021)</w:t>
      </w:r>
      <w:r>
        <w:t xml:space="preserve">. Although the Swiss post-electoral study of 1999 is the most relevant for the present research, it is still limited by the questions available.</w:t>
      </w:r>
    </w:p>
    <w:p>
      <w:pPr>
        <w:pStyle w:val="BodyText"/>
      </w:pPr>
      <w:r>
        <w:t xml:space="preserve">Nine questions were considered relevant to be taken as indicators. Of the nine questions, three concern economic policy. One question asked the respondent whether they were in favor of increasing or reducing social spending by the confederation, the second one whether taxes on high income should be increased or decreased, and the third one whether the respondent was in favor of more state intervention of for free market.</w:t>
      </w:r>
    </w:p>
    <w:p>
      <w:pPr>
        <w:pStyle w:val="BodyText"/>
      </w:pPr>
      <w:r>
        <w:t xml:space="preserve">One interesting question is about the role of the Swiss army. The question asked the respondents whether they preferred a strong army or no army at all. This question is relevant regarding the historical context since the 90s represented a turbulent period for the Swiss army. Switzerland is known for its militia-based army and remains one of the few Western countries to retain this system.</w:t>
      </w:r>
    </w:p>
    <w:p>
      <w:pPr>
        <w:pStyle w:val="BodyText"/>
      </w:pPr>
      <w:r>
        <w:t xml:space="preserve">But in 1986, the</w:t>
      </w:r>
      <w:r>
        <w:t xml:space="preserve"> </w:t>
      </w:r>
      <w:r>
        <w:rPr>
          <w:iCs/>
          <w:i/>
        </w:rPr>
        <w:t xml:space="preserve">Group for a Switzerland without an army</w:t>
      </w:r>
      <w:r>
        <w:t xml:space="preserve"> </w:t>
      </w:r>
      <w:r>
        <w:t xml:space="preserve">launched a popular initiative called</w:t>
      </w:r>
      <w:r>
        <w:t xml:space="preserve"> </w:t>
      </w:r>
      <w:r>
        <w:rPr>
          <w:iCs/>
          <w:i/>
        </w:rPr>
        <w:t xml:space="preserve">For a Switzerland Without an Army and an Overall Peaceful Political Stance</w:t>
      </w:r>
      <w:r>
        <w:t xml:space="preserve"> </w:t>
      </w:r>
      <w:r>
        <w:t xml:space="preserve">which, three years later, unexpectedly gathered 35.5% positive votes with a majority of yes in two cantons: Jura (55.5%) and Geneva (50.4%). These stunning results (no one would have expected such a high share of yes) greatly disturbed the government and the Swiss army, and the latter underwent a process of important reforms thereafter. Despite the rejection of this initiative, the debate over the role and the future of the Swiss army was still very heated in the late 90s and still frequently comes up in public debates nowadays</w:t>
      </w:r>
      <w:r>
        <w:rPr>
          <w:rStyle w:val="FootnoteReference"/>
        </w:rPr>
        <w:footnoteReference w:id="71"/>
      </w:r>
      <w:r>
        <w:t xml:space="preserve">.</w:t>
      </w:r>
    </w:p>
    <w:p>
      <w:pPr>
        <w:pStyle w:val="BodyText"/>
      </w:pPr>
      <w:r>
        <w:t xml:space="preserve">Another question is about European integration. In surely of the most important and disputed referendum in Swiss history, Swiss citizen were to vote on their country’s adhesion to the European Economic Area (EEA) in 1992. As in other European countries, European integration became an important cleavage which destabilized both the liberal-conservative and left blocs. In the former, the UDC was the only major party to oppose the adhesion, while, in the latter, the Swiss Socialist party and labor unions were strongly in favor, with the exception of the Greens. This party was however divided over this issue, with a cleavage between the German-speaking cantons which strongly opposed the adhesion while the French-speaking cantons were in favor. The attitude towards European integration was included to assess the extent to which Switzerland displays a similar pattern than France in terms of European integration cleavage and the break-up of the traditional social blocs. As underlined by</w:t>
      </w:r>
      <w:r>
        <w:t xml:space="preserve"> </w:t>
      </w:r>
      <w:r>
        <w:t xml:space="preserve">Amable and Palombarini (2018)</w:t>
      </w:r>
      <w:r>
        <w:t xml:space="preserve"> </w:t>
      </w:r>
      <w:r>
        <w:t xml:space="preserve">and</w:t>
      </w:r>
      <w:r>
        <w:t xml:space="preserve"> </w:t>
      </w:r>
      <w:r>
        <w:t xml:space="preserve">Amable (2017)</w:t>
      </w:r>
      <w:r>
        <w:t xml:space="preserve">, European integration played an important role in the break-up of the traditional left and right blocs in France. The popular groups of the two blocs tended to opposed European integration while the most skilled and wealthiest elements were united around the pursuit of EU integration, which is one of the main policy demand of the bloc bourgeois, along with neoliberal reforms and progressive</w:t>
      </w:r>
      <w:r>
        <w:t xml:space="preserve"> </w:t>
      </w:r>
      <w:r>
        <w:t xml:space="preserve">“</w:t>
      </w:r>
      <w:r>
        <w:t xml:space="preserve">cultural attitude</w:t>
      </w:r>
      <w:r>
        <w:t xml:space="preserve">”</w:t>
      </w:r>
      <w:r>
        <w:t xml:space="preserve">.</w:t>
      </w:r>
    </w:p>
    <w:p>
      <w:pPr>
        <w:pStyle w:val="BodyText"/>
      </w:pPr>
      <w:r>
        <w:t xml:space="preserve">Two questions are about environmental issues. One of them was a trade-off question which asked whether the respondent was in favor of environmental protection or economic growth. The other one asked whether the respondent was in favor or against nuclear energy.</w:t>
      </w:r>
    </w:p>
    <w:p>
      <w:pPr>
        <w:pStyle w:val="BodyText"/>
      </w:pPr>
      <w:r>
        <w:t xml:space="preserve">The two last questions concern</w:t>
      </w:r>
      <w:r>
        <w:t xml:space="preserve"> </w:t>
      </w:r>
      <w:r>
        <w:t xml:space="preserve">“</w:t>
      </w:r>
      <w:r>
        <w:t xml:space="preserve">cultural</w:t>
      </w:r>
      <w:r>
        <w:t xml:space="preserve">”</w:t>
      </w:r>
      <w:r>
        <w:t xml:space="preserve"> </w:t>
      </w:r>
      <w:r>
        <w:t xml:space="preserve">issues: attitude towards Swiss traditions and foreigners. The former asked the respondents whether they preferred Swiss traditions or modernity. The latter asked the respondents whether they were in favor of unequal rights between Swiss citizen and foreigners and better chances for the Swiss or equal rights and chances. Switzerland stands out for its high proportion of foreigners who have less rights than Swiss citizen. During the Post-war period, Switzerland became a country of immigration due to high sustained growth and labor shortages. Immigrants were mainly seasonal workers on temporary residence permits, with no right to family reunification and no voting rights. They were expelled as soon as their labor force was no longer needed. It is often said that, in this way, Switzerland maintain full employment by exporting its unemployed foreign labor force. As soon as the Swiss economy overheated in the late 60s, restrictive immigration policies were adopted, while certain rights for foreign residents were improved, under pressure from negotiations with neighboring countries</w:t>
      </w:r>
      <w:r>
        <w:t xml:space="preserve"> </w:t>
      </w:r>
      <w:r>
        <w:t xml:space="preserve">(Piguet 2013)</w:t>
      </w:r>
      <w:r>
        <w:t xml:space="preserve">. Including these two cultural issue positions variables are important to situate the socio-political groups on the so-called</w:t>
      </w:r>
      <w:r>
        <w:t xml:space="preserve"> </w:t>
      </w:r>
      <w:r>
        <w:t xml:space="preserve">“</w:t>
      </w:r>
      <w:r>
        <w:t xml:space="preserve">cultural</w:t>
      </w:r>
      <w:r>
        <w:t xml:space="preserve">”</w:t>
      </w:r>
      <w:r>
        <w:t xml:space="preserve"> </w:t>
      </w:r>
      <w:r>
        <w:t xml:space="preserve">cleavage, which may be important to assess the transformations of the traditional Swiss social blocs.</w:t>
      </w:r>
    </w:p>
    <w:bookmarkStart w:id="73" w:name="description-of-the-12-clusters-model"/>
    <w:p>
      <w:pPr>
        <w:pStyle w:val="Heading4"/>
      </w:pPr>
      <w:r>
        <w:t xml:space="preserve">2.3.2.1 Description of the 12 clusters model</w:t>
      </w:r>
    </w:p>
    <w:bookmarkStart w:id="72" w:name="tbl-clusters"/>
    <w:p>
      <w:pPr>
        <w:pStyle w:val="TableCaption"/>
      </w:pPr>
      <w:r>
        <w:t xml:space="preserve">Table 2.4: Cluster description</w:t>
      </w:r>
    </w:p>
    <w:tbl>
      <w:tblPr>
        <w:tblStyle w:val="Table"/>
        <w:tblW w:type="pct" w:w="4925"/>
        <w:tblLook w:firstRow="1" w:lastRow="0" w:firstColumn="0" w:lastColumn="0" w:noHBand="0" w:noVBand="0" w:val="0020"/>
        <w:jc w:val="start"/>
        <w:tblCaption w:val="Table 2.4: Cluster description"/>
      </w:tblPr>
      <w:tblGrid>
        <w:gridCol w:w="595"/>
        <w:gridCol w:w="595"/>
        <w:gridCol w:w="3751"/>
        <w:gridCol w:w="2858"/>
      </w:tblGrid>
      <w:tr>
        <w:trPr>
          <w:tblHeader w:val="true"/>
        </w:trPr>
        <w:tc>
          <w:tcPr/>
          <w:p>
            <w:pPr>
              <w:pStyle w:val="Compact"/>
              <w:jc w:val="left"/>
            </w:pPr>
            <w:r>
              <w:t xml:space="preserve">Cluster</w:t>
            </w:r>
          </w:p>
        </w:tc>
        <w:tc>
          <w:tcPr/>
          <w:p>
            <w:pPr>
              <w:pStyle w:val="Compact"/>
              <w:jc w:val="left"/>
            </w:pPr>
            <w:r>
              <w:t xml:space="preserve">Weight</w:t>
            </w:r>
          </w:p>
        </w:tc>
        <w:tc>
          <w:tcPr/>
          <w:p>
            <w:pPr>
              <w:pStyle w:val="Compact"/>
              <w:jc w:val="left"/>
            </w:pPr>
            <w:r>
              <w:t xml:space="preserve">Policy Preferences</w:t>
            </w:r>
          </w:p>
        </w:tc>
        <w:tc>
          <w:tcPr/>
          <w:p>
            <w:pPr>
              <w:pStyle w:val="Compact"/>
              <w:jc w:val="left"/>
            </w:pPr>
            <w:r>
              <w:t xml:space="preserve">Characteristics</w:t>
            </w:r>
          </w:p>
        </w:tc>
      </w:tr>
      <w:tr>
        <w:tc>
          <w:tcPr/>
          <w:p>
            <w:pPr>
              <w:pStyle w:val="Compact"/>
              <w:jc w:val="left"/>
            </w:pPr>
            <w:r>
              <w:t xml:space="preserve">1</w:t>
            </w:r>
          </w:p>
        </w:tc>
        <w:tc>
          <w:tcPr/>
          <w:p>
            <w:pPr>
              <w:pStyle w:val="Compact"/>
              <w:jc w:val="left"/>
            </w:pPr>
            <w:r>
              <w:t xml:space="preserve">17,8%</w:t>
            </w:r>
            <w:r>
              <w:br/>
            </w:r>
          </w:p>
        </w:tc>
        <w:tc>
          <w:tcPr/>
          <w:p>
            <w:pPr>
              <w:jc w:val="left"/>
            </w:pPr>
            <w:r>
              <w:t xml:space="preserve">For increase in social spending</w:t>
            </w:r>
          </w:p>
          <w:p>
            <w:pPr>
              <w:jc w:val="left"/>
            </w:pPr>
            <w:r>
              <w:t xml:space="preserve">For increase in taxes on high income (HI)</w:t>
            </w:r>
          </w:p>
          <w:p>
            <w:pPr>
              <w:jc w:val="left"/>
            </w:pPr>
            <w:r>
              <w:t xml:space="preserve">Rather free market</w:t>
            </w:r>
          </w:p>
          <w:p>
            <w:pPr>
              <w:jc w:val="left"/>
            </w:pPr>
            <w:r>
              <w:t xml:space="preserve">No clear opinion on Swiss army</w:t>
            </w:r>
          </w:p>
          <w:p>
            <w:pPr>
              <w:jc w:val="left"/>
            </w:pPr>
            <w:r>
              <w:t xml:space="preserve">Rather pro-EU integration</w:t>
            </w:r>
          </w:p>
          <w:p>
            <w:pPr>
              <w:jc w:val="left"/>
            </w:pPr>
            <w:r>
              <w:t xml:space="preserve">but with an appreciable minority of anti-EU supporters (40%)</w:t>
            </w:r>
          </w:p>
          <w:p>
            <w:pPr>
              <w:jc w:val="left"/>
            </w:pPr>
            <w:r>
              <w:t xml:space="preserve">For equal chances Swiss-foreigners</w:t>
            </w:r>
          </w:p>
          <w:p>
            <w:pPr>
              <w:jc w:val="left"/>
            </w:pPr>
            <w:r>
              <w:t xml:space="preserve">Defend traditions</w:t>
            </w:r>
          </w:p>
          <w:p>
            <w:pPr>
              <w:jc w:val="left"/>
            </w:pPr>
            <w:r>
              <w:t xml:space="preserve">Pro-environment</w:t>
            </w:r>
          </w:p>
          <w:p>
            <w:pPr>
              <w:jc w:val="left"/>
            </w:pPr>
            <w:r>
              <w:t xml:space="preserve">Against nuclear energy</w:t>
            </w:r>
          </w:p>
        </w:tc>
        <w:tc>
          <w:tcPr/>
          <w:p>
            <w:pPr>
              <w:jc w:val="left"/>
            </w:pPr>
            <w:r>
              <w:t xml:space="preserve">Rather middle-aged and old;</w:t>
            </w:r>
          </w:p>
          <w:p>
            <w:pPr>
              <w:jc w:val="left"/>
            </w:pPr>
            <w:r>
              <w:t xml:space="preserve">female; low income; middle education;</w:t>
            </w:r>
          </w:p>
          <w:p>
            <w:pPr>
              <w:jc w:val="left"/>
            </w:pPr>
            <w:r>
              <w:t xml:space="preserve">Protestant; urban; German-speaking.</w:t>
            </w:r>
          </w:p>
        </w:tc>
      </w:tr>
      <w:tr>
        <w:tc>
          <w:tcPr/>
          <w:p>
            <w:pPr>
              <w:pStyle w:val="Compact"/>
              <w:jc w:val="left"/>
            </w:pPr>
            <w:r>
              <w:t xml:space="preserve">2</w:t>
            </w:r>
          </w:p>
        </w:tc>
        <w:tc>
          <w:tcPr/>
          <w:p>
            <w:pPr>
              <w:pStyle w:val="Compact"/>
              <w:jc w:val="left"/>
            </w:pPr>
            <w:r>
              <w:t xml:space="preserve">13,7%</w:t>
            </w:r>
          </w:p>
        </w:tc>
        <w:tc>
          <w:tcPr/>
          <w:p>
            <w:pPr>
              <w:jc w:val="left"/>
            </w:pPr>
            <w:r>
              <w:t xml:space="preserve">For increase in social spending</w:t>
            </w:r>
          </w:p>
          <w:p>
            <w:pPr>
              <w:jc w:val="left"/>
            </w:pPr>
            <w:r>
              <w:t xml:space="preserve">For higher taxes HI</w:t>
            </w:r>
          </w:p>
          <w:p>
            <w:pPr>
              <w:jc w:val="left"/>
            </w:pPr>
            <w:r>
              <w:t xml:space="preserve">For state intervention</w:t>
            </w:r>
          </w:p>
          <w:p>
            <w:pPr>
              <w:jc w:val="left"/>
            </w:pPr>
            <w:r>
              <w:t xml:space="preserve">For no Swiss army</w:t>
            </w:r>
          </w:p>
          <w:p>
            <w:pPr>
              <w:jc w:val="left"/>
            </w:pPr>
            <w:r>
              <w:t xml:space="preserve">Strongly pro-EU integration</w:t>
            </w:r>
          </w:p>
          <w:p>
            <w:pPr>
              <w:jc w:val="left"/>
            </w:pPr>
            <w:r>
              <w:t xml:space="preserve">For equal chances Swiss-CH</w:t>
            </w:r>
          </w:p>
          <w:p>
            <w:pPr>
              <w:jc w:val="left"/>
            </w:pPr>
            <w:r>
              <w:t xml:space="preserve">Question traditions</w:t>
            </w:r>
          </w:p>
          <w:p>
            <w:pPr>
              <w:jc w:val="left"/>
            </w:pPr>
            <w:r>
              <w:t xml:space="preserve">Pro-environment</w:t>
            </w:r>
          </w:p>
          <w:p>
            <w:pPr>
              <w:jc w:val="left"/>
            </w:pPr>
            <w:r>
              <w:t xml:space="preserve">Against nuclear energy</w:t>
            </w:r>
          </w:p>
        </w:tc>
        <w:tc>
          <w:tcPr/>
          <w:p>
            <w:pPr>
              <w:jc w:val="left"/>
            </w:pPr>
            <w:r>
              <w:t xml:space="preserve">Young; female;</w:t>
            </w:r>
          </w:p>
          <w:p>
            <w:pPr>
              <w:jc w:val="left"/>
            </w:pPr>
            <w:r>
              <w:t xml:space="preserve">high income; high education;</w:t>
            </w:r>
          </w:p>
          <w:p>
            <w:pPr>
              <w:jc w:val="left"/>
            </w:pPr>
            <w:r>
              <w:t xml:space="preserve">French-speaking; urban.</w:t>
            </w:r>
          </w:p>
        </w:tc>
      </w:tr>
      <w:tr>
        <w:tc>
          <w:tcPr/>
          <w:p>
            <w:pPr>
              <w:pStyle w:val="Compact"/>
              <w:jc w:val="left"/>
            </w:pPr>
            <w:r>
              <w:t xml:space="preserve">3</w:t>
            </w:r>
          </w:p>
        </w:tc>
        <w:tc>
          <w:tcPr/>
          <w:p>
            <w:pPr>
              <w:pStyle w:val="Compact"/>
              <w:jc w:val="left"/>
            </w:pPr>
            <w:r>
              <w:t xml:space="preserve">13,4%</w:t>
            </w:r>
          </w:p>
        </w:tc>
        <w:tc>
          <w:tcPr/>
          <w:p>
            <w:pPr>
              <w:jc w:val="left"/>
            </w:pPr>
            <w:r>
              <w:t xml:space="preserve">Against social spending</w:t>
            </w:r>
          </w:p>
          <w:p>
            <w:pPr>
              <w:jc w:val="left"/>
            </w:pPr>
            <w:r>
              <w:t xml:space="preserve">Against taxes on HI</w:t>
            </w:r>
          </w:p>
          <w:p>
            <w:pPr>
              <w:jc w:val="left"/>
            </w:pPr>
            <w:r>
              <w:t xml:space="preserve">Rather free-market.</w:t>
            </w:r>
          </w:p>
          <w:p>
            <w:pPr>
              <w:jc w:val="left"/>
            </w:pPr>
            <w:r>
              <w:t xml:space="preserve">For a strong Swiss army</w:t>
            </w:r>
          </w:p>
          <w:p>
            <w:pPr>
              <w:jc w:val="left"/>
            </w:pPr>
            <w:r>
              <w:t xml:space="preserve">Against EU integration.</w:t>
            </w:r>
          </w:p>
          <w:p>
            <w:pPr>
              <w:jc w:val="left"/>
            </w:pPr>
            <w:r>
              <w:t xml:space="preserve">For better chances for the Swiss</w:t>
            </w:r>
          </w:p>
          <w:p>
            <w:pPr>
              <w:jc w:val="left"/>
            </w:pPr>
            <w:r>
              <w:t xml:space="preserve">Defend traditions</w:t>
            </w:r>
          </w:p>
          <w:p>
            <w:pPr>
              <w:jc w:val="left"/>
            </w:pPr>
            <w:r>
              <w:t xml:space="preserve">Pro-environment</w:t>
            </w:r>
          </w:p>
          <w:p>
            <w:pPr>
              <w:jc w:val="left"/>
            </w:pPr>
            <w:r>
              <w:t xml:space="preserve">Against nuclear energy</w:t>
            </w:r>
          </w:p>
        </w:tc>
        <w:tc>
          <w:tcPr/>
          <w:p>
            <w:pPr>
              <w:jc w:val="left"/>
            </w:pPr>
            <w:r>
              <w:t xml:space="preserve">Rather old; female; low income;</w:t>
            </w:r>
          </w:p>
          <w:p>
            <w:pPr>
              <w:jc w:val="left"/>
            </w:pPr>
            <w:r>
              <w:t xml:space="preserve">low education; unskilled workers;</w:t>
            </w:r>
          </w:p>
          <w:p>
            <w:pPr>
              <w:jc w:val="left"/>
            </w:pPr>
            <w:r>
              <w:t xml:space="preserve">craft specialists; self-employed; Protestant;</w:t>
            </w:r>
          </w:p>
          <w:p>
            <w:pPr>
              <w:jc w:val="left"/>
            </w:pPr>
            <w:r>
              <w:t xml:space="preserve">German and Italian-speaking; rural.</w:t>
            </w:r>
          </w:p>
        </w:tc>
      </w:tr>
      <w:tr>
        <w:tc>
          <w:tcPr/>
          <w:p>
            <w:pPr>
              <w:pStyle w:val="Compact"/>
              <w:jc w:val="left"/>
            </w:pPr>
            <w:r>
              <w:t xml:space="preserve">4</w:t>
            </w:r>
          </w:p>
        </w:tc>
        <w:tc>
          <w:tcPr/>
          <w:p>
            <w:pPr>
              <w:pStyle w:val="Compact"/>
              <w:jc w:val="left"/>
            </w:pPr>
            <w:r>
              <w:t xml:space="preserve">12,4%</w:t>
            </w:r>
          </w:p>
        </w:tc>
        <w:tc>
          <w:tcPr/>
          <w:p>
            <w:pPr>
              <w:jc w:val="left"/>
            </w:pPr>
            <w:r>
              <w:t xml:space="preserve">For increase in social spending</w:t>
            </w:r>
          </w:p>
          <w:p>
            <w:pPr>
              <w:jc w:val="left"/>
            </w:pPr>
            <w:r>
              <w:t xml:space="preserve">For increase in taxes on HI</w:t>
            </w:r>
          </w:p>
          <w:p>
            <w:pPr>
              <w:jc w:val="left"/>
            </w:pPr>
            <w:r>
              <w:t xml:space="preserve">Rather free-market</w:t>
            </w:r>
          </w:p>
          <w:p>
            <w:pPr>
              <w:jc w:val="left"/>
            </w:pPr>
            <w:r>
              <w:t xml:space="preserve">Divided over Swiss army</w:t>
            </w:r>
          </w:p>
          <w:p>
            <w:pPr>
              <w:jc w:val="left"/>
            </w:pPr>
            <w:r>
              <w:t xml:space="preserve">Pro-EU integration</w:t>
            </w:r>
          </w:p>
          <w:p>
            <w:pPr>
              <w:jc w:val="left"/>
            </w:pPr>
            <w:r>
              <w:t xml:space="preserve">For equal chances Swiss-foreigners</w:t>
            </w:r>
          </w:p>
          <w:p>
            <w:pPr>
              <w:jc w:val="left"/>
            </w:pPr>
            <w:r>
              <w:t xml:space="preserve">Pro-environment</w:t>
            </w:r>
          </w:p>
          <w:p>
            <w:pPr>
              <w:jc w:val="left"/>
            </w:pPr>
            <w:r>
              <w:t xml:space="preserve">Against nuclear energy</w:t>
            </w:r>
          </w:p>
        </w:tc>
        <w:tc>
          <w:tcPr/>
          <w:p>
            <w:pPr>
              <w:jc w:val="left"/>
            </w:pPr>
            <w:r>
              <w:t xml:space="preserve">Young; female;</w:t>
            </w:r>
          </w:p>
          <w:p>
            <w:pPr>
              <w:jc w:val="left"/>
            </w:pPr>
            <w:r>
              <w:t xml:space="preserve">middle-high income and education;</w:t>
            </w:r>
          </w:p>
          <w:p>
            <w:pPr>
              <w:jc w:val="left"/>
            </w:pPr>
            <w:r>
              <w:t xml:space="preserve">skilled workers and managers;</w:t>
            </w:r>
          </w:p>
          <w:p>
            <w:pPr>
              <w:jc w:val="left"/>
            </w:pPr>
            <w:r>
              <w:t xml:space="preserve">Catholics or no religion; urban.</w:t>
            </w:r>
          </w:p>
        </w:tc>
      </w:tr>
      <w:tr>
        <w:tc>
          <w:tcPr/>
          <w:p>
            <w:pPr>
              <w:pStyle w:val="Compact"/>
              <w:jc w:val="left"/>
            </w:pPr>
            <w:r>
              <w:t xml:space="preserve">5</w:t>
            </w:r>
          </w:p>
        </w:tc>
        <w:tc>
          <w:tcPr/>
          <w:p>
            <w:pPr>
              <w:pStyle w:val="Compact"/>
              <w:jc w:val="left"/>
            </w:pPr>
            <w:r>
              <w:t xml:space="preserve">7,1%</w:t>
            </w:r>
          </w:p>
        </w:tc>
        <w:tc>
          <w:tcPr/>
          <w:p>
            <w:pPr>
              <w:jc w:val="left"/>
            </w:pPr>
            <w:r>
              <w:t xml:space="preserve">Against social spending</w:t>
            </w:r>
          </w:p>
          <w:p>
            <w:pPr>
              <w:jc w:val="left"/>
            </w:pPr>
            <w:r>
              <w:t xml:space="preserve">For increase in taxes on HI</w:t>
            </w:r>
          </w:p>
          <w:p>
            <w:pPr>
              <w:jc w:val="left"/>
            </w:pPr>
            <w:r>
              <w:t xml:space="preserve">For free markets</w:t>
            </w:r>
          </w:p>
          <w:p>
            <w:pPr>
              <w:jc w:val="left"/>
            </w:pPr>
            <w:r>
              <w:t xml:space="preserve">For strong army</w:t>
            </w:r>
          </w:p>
          <w:p>
            <w:pPr>
              <w:jc w:val="left"/>
            </w:pPr>
            <w:r>
              <w:t xml:space="preserve">Against EU-integration</w:t>
            </w:r>
          </w:p>
          <w:p>
            <w:pPr>
              <w:jc w:val="left"/>
            </w:pPr>
            <w:r>
              <w:t xml:space="preserve">For better chances for the Swiss</w:t>
            </w:r>
          </w:p>
          <w:p>
            <w:pPr>
              <w:jc w:val="left"/>
            </w:pPr>
            <w:r>
              <w:t xml:space="preserve">culturally conservative</w:t>
            </w:r>
          </w:p>
          <w:p>
            <w:pPr>
              <w:jc w:val="left"/>
            </w:pPr>
            <w:r>
              <w:t xml:space="preserve">Divided over environment vs growth</w:t>
            </w:r>
          </w:p>
          <w:p>
            <w:pPr>
              <w:jc w:val="left"/>
            </w:pPr>
            <w:r>
              <w:t xml:space="preserve">Pro-nuclear energy</w:t>
            </w:r>
          </w:p>
        </w:tc>
        <w:tc>
          <w:tcPr/>
          <w:p>
            <w:pPr>
              <w:jc w:val="left"/>
            </w:pPr>
            <w:r>
              <w:t xml:space="preserve">Rather old; male;</w:t>
            </w:r>
          </w:p>
          <w:p>
            <w:pPr>
              <w:jc w:val="left"/>
            </w:pPr>
            <w:r>
              <w:t xml:space="preserve">middle-low income and education;</w:t>
            </w:r>
          </w:p>
          <w:p>
            <w:pPr>
              <w:jc w:val="left"/>
            </w:pPr>
            <w:r>
              <w:t xml:space="preserve">Protestant; German speaking; rural.</w:t>
            </w:r>
          </w:p>
        </w:tc>
      </w:tr>
      <w:tr>
        <w:tc>
          <w:tcPr/>
          <w:p>
            <w:pPr>
              <w:pStyle w:val="Compact"/>
              <w:jc w:val="left"/>
            </w:pPr>
            <w:r>
              <w:t xml:space="preserve">6</w:t>
            </w:r>
          </w:p>
        </w:tc>
        <w:tc>
          <w:tcPr/>
          <w:p>
            <w:pPr>
              <w:pStyle w:val="Compact"/>
              <w:jc w:val="left"/>
            </w:pPr>
            <w:r>
              <w:t xml:space="preserve">6,9%</w:t>
            </w:r>
          </w:p>
        </w:tc>
        <w:tc>
          <w:tcPr/>
          <w:p>
            <w:pPr>
              <w:jc w:val="left"/>
            </w:pPr>
            <w:r>
              <w:t xml:space="preserve">Pro-EU integration</w:t>
            </w:r>
          </w:p>
          <w:p>
            <w:pPr>
              <w:jc w:val="left"/>
            </w:pPr>
            <w:r>
              <w:t xml:space="preserve">For equal chances Swiss-foreigners</w:t>
            </w:r>
          </w:p>
          <w:p>
            <w:pPr>
              <w:jc w:val="left"/>
            </w:pPr>
            <w:r>
              <w:t xml:space="preserve">Rather defend traditions</w:t>
            </w:r>
          </w:p>
          <w:p>
            <w:pPr>
              <w:jc w:val="left"/>
            </w:pPr>
            <w:r>
              <w:t xml:space="preserve">Pro-nuclear energy</w:t>
            </w:r>
          </w:p>
        </w:tc>
        <w:tc>
          <w:tcPr/>
          <w:p>
            <w:pPr>
              <w:jc w:val="left"/>
            </w:pPr>
            <w:r>
              <w:t xml:space="preserve">Rather old; high income; high education;</w:t>
            </w:r>
          </w:p>
          <w:p>
            <w:pPr>
              <w:jc w:val="left"/>
            </w:pPr>
            <w:r>
              <w:t xml:space="preserve">vocational training;</w:t>
            </w:r>
          </w:p>
          <w:p>
            <w:pPr>
              <w:jc w:val="left"/>
            </w:pPr>
            <w:r>
              <w:t xml:space="preserve">managers; skilled employees;</w:t>
            </w:r>
          </w:p>
          <w:p>
            <w:pPr>
              <w:jc w:val="left"/>
            </w:pPr>
            <w:r>
              <w:t xml:space="preserve">retired; German-speaking; urban.</w:t>
            </w:r>
          </w:p>
        </w:tc>
      </w:tr>
      <w:tr>
        <w:tc>
          <w:tcPr/>
          <w:p>
            <w:pPr>
              <w:pStyle w:val="Compact"/>
              <w:jc w:val="left"/>
            </w:pPr>
            <w:r>
              <w:t xml:space="preserve">7</w:t>
            </w:r>
          </w:p>
        </w:tc>
        <w:tc>
          <w:tcPr/>
          <w:p>
            <w:pPr>
              <w:pStyle w:val="Compact"/>
              <w:jc w:val="left"/>
            </w:pPr>
            <w:r>
              <w:t xml:space="preserve">6,9%</w:t>
            </w:r>
          </w:p>
        </w:tc>
        <w:tc>
          <w:tcPr/>
          <w:p>
            <w:pPr>
              <w:jc w:val="left"/>
            </w:pPr>
            <w:r>
              <w:t xml:space="preserve">For higher taxes on HI</w:t>
            </w:r>
          </w:p>
          <w:p>
            <w:pPr>
              <w:jc w:val="left"/>
            </w:pPr>
            <w:r>
              <w:t xml:space="preserve">For strong army</w:t>
            </w:r>
          </w:p>
          <w:p>
            <w:pPr>
              <w:jc w:val="left"/>
            </w:pPr>
            <w:r>
              <w:t xml:space="preserve">Pro-EU integration</w:t>
            </w:r>
          </w:p>
          <w:p>
            <w:pPr>
              <w:jc w:val="left"/>
            </w:pPr>
            <w:r>
              <w:t xml:space="preserve">For equal chances Swiss-foreigners</w:t>
            </w:r>
          </w:p>
          <w:p>
            <w:pPr>
              <w:jc w:val="left"/>
            </w:pPr>
            <w:r>
              <w:t xml:space="preserve">Defend traditions</w:t>
            </w:r>
          </w:p>
          <w:p>
            <w:pPr>
              <w:jc w:val="left"/>
            </w:pPr>
            <w:r>
              <w:t xml:space="preserve">Against nuclear energy</w:t>
            </w:r>
          </w:p>
        </w:tc>
        <w:tc>
          <w:tcPr/>
          <w:p>
            <w:pPr>
              <w:jc w:val="left"/>
            </w:pPr>
            <w:r>
              <w:t xml:space="preserve">Old; retired; low income;</w:t>
            </w:r>
          </w:p>
          <w:p>
            <w:pPr>
              <w:jc w:val="left"/>
            </w:pPr>
            <w:r>
              <w:t xml:space="preserve">low education; Protestant;</w:t>
            </w:r>
          </w:p>
          <w:p>
            <w:pPr>
              <w:jc w:val="left"/>
            </w:pPr>
            <w:r>
              <w:t xml:space="preserve">craft specialists;</w:t>
            </w:r>
          </w:p>
          <w:p>
            <w:pPr>
              <w:jc w:val="left"/>
            </w:pPr>
            <w:r>
              <w:t xml:space="preserve">skilled and unskilled employees; managers;</w:t>
            </w:r>
          </w:p>
          <w:p>
            <w:pPr>
              <w:jc w:val="left"/>
            </w:pPr>
            <w:r>
              <w:t xml:space="preserve">German-speaking; rural.</w:t>
            </w:r>
          </w:p>
        </w:tc>
      </w:tr>
      <w:tr>
        <w:tc>
          <w:tcPr/>
          <w:p>
            <w:pPr>
              <w:pStyle w:val="Compact"/>
              <w:jc w:val="left"/>
            </w:pPr>
            <w:r>
              <w:t xml:space="preserve">8</w:t>
            </w:r>
          </w:p>
        </w:tc>
        <w:tc>
          <w:tcPr/>
          <w:p>
            <w:pPr>
              <w:pStyle w:val="Compact"/>
              <w:jc w:val="left"/>
            </w:pPr>
            <w:r>
              <w:t xml:space="preserve">5,9%</w:t>
            </w:r>
          </w:p>
        </w:tc>
        <w:tc>
          <w:tcPr/>
          <w:p>
            <w:pPr>
              <w:jc w:val="left"/>
            </w:pPr>
            <w:r>
              <w:t xml:space="preserve">For increase in social spending</w:t>
            </w:r>
          </w:p>
          <w:p>
            <w:pPr>
              <w:jc w:val="left"/>
            </w:pPr>
            <w:r>
              <w:t xml:space="preserve">For higher taxes on HI</w:t>
            </w:r>
          </w:p>
          <w:p>
            <w:pPr>
              <w:jc w:val="left"/>
            </w:pPr>
            <w:r>
              <w:t xml:space="preserve">For no army</w:t>
            </w:r>
          </w:p>
          <w:p>
            <w:pPr>
              <w:jc w:val="left"/>
            </w:pPr>
            <w:r>
              <w:t xml:space="preserve">Pro-EU integration</w:t>
            </w:r>
          </w:p>
          <w:p>
            <w:pPr>
              <w:jc w:val="left"/>
            </w:pPr>
            <w:r>
              <w:t xml:space="preserve">For equal chances Swiss-foreigners</w:t>
            </w:r>
          </w:p>
          <w:p>
            <w:pPr>
              <w:jc w:val="left"/>
            </w:pPr>
            <w:r>
              <w:t xml:space="preserve">Question traditions.</w:t>
            </w:r>
          </w:p>
          <w:p>
            <w:pPr>
              <w:jc w:val="left"/>
            </w:pPr>
            <w:r>
              <w:t xml:space="preserve">Pro-environment</w:t>
            </w:r>
          </w:p>
          <w:p>
            <w:pPr>
              <w:jc w:val="left"/>
            </w:pPr>
            <w:r>
              <w:t xml:space="preserve">Against nuclear energy</w:t>
            </w:r>
          </w:p>
        </w:tc>
        <w:tc>
          <w:tcPr/>
          <w:p>
            <w:pPr>
              <w:jc w:val="left"/>
            </w:pPr>
            <w:r>
              <w:t xml:space="preserve">Rather young; female;</w:t>
            </w:r>
          </w:p>
          <w:p>
            <w:pPr>
              <w:jc w:val="left"/>
            </w:pPr>
            <w:r>
              <w:t xml:space="preserve">high income; high education; skilled workers;</w:t>
            </w:r>
          </w:p>
          <w:p>
            <w:pPr>
              <w:jc w:val="left"/>
            </w:pPr>
            <w:r>
              <w:t xml:space="preserve">managers; socio-cultural specialists;</w:t>
            </w:r>
          </w:p>
          <w:p>
            <w:pPr>
              <w:jc w:val="left"/>
            </w:pPr>
            <w:r>
              <w:t xml:space="preserve">German and French-speaking;</w:t>
            </w:r>
          </w:p>
          <w:p>
            <w:pPr>
              <w:jc w:val="left"/>
            </w:pPr>
            <w:r>
              <w:t xml:space="preserve">Protestant, Catholics; no religion; urban.</w:t>
            </w:r>
          </w:p>
        </w:tc>
      </w:tr>
      <w:tr>
        <w:tc>
          <w:tcPr/>
          <w:p>
            <w:pPr>
              <w:pStyle w:val="Compact"/>
              <w:jc w:val="left"/>
            </w:pPr>
            <w:r>
              <w:t xml:space="preserve">9</w:t>
            </w:r>
          </w:p>
        </w:tc>
        <w:tc>
          <w:tcPr/>
          <w:p>
            <w:pPr>
              <w:pStyle w:val="Compact"/>
              <w:jc w:val="left"/>
            </w:pPr>
            <w:r>
              <w:t xml:space="preserve">4,9%</w:t>
            </w:r>
          </w:p>
        </w:tc>
        <w:tc>
          <w:tcPr/>
          <w:p>
            <w:pPr>
              <w:jc w:val="left"/>
            </w:pPr>
            <w:r>
              <w:t xml:space="preserve">For reducing taxes on HI</w:t>
            </w:r>
          </w:p>
          <w:p>
            <w:pPr>
              <w:jc w:val="left"/>
            </w:pPr>
            <w:r>
              <w:t xml:space="preserve">For reducing social spending</w:t>
            </w:r>
          </w:p>
          <w:p>
            <w:pPr>
              <w:jc w:val="left"/>
            </w:pPr>
            <w:r>
              <w:t xml:space="preserve">strongly for free-markets</w:t>
            </w:r>
          </w:p>
          <w:p>
            <w:pPr>
              <w:jc w:val="left"/>
            </w:pPr>
            <w:r>
              <w:t xml:space="preserve">For strong army</w:t>
            </w:r>
          </w:p>
          <w:p>
            <w:pPr>
              <w:jc w:val="left"/>
            </w:pPr>
            <w:r>
              <w:t xml:space="preserve">Against EU-integration</w:t>
            </w:r>
          </w:p>
          <w:p>
            <w:pPr>
              <w:jc w:val="left"/>
            </w:pPr>
            <w:r>
              <w:t xml:space="preserve">Rather for better chances for the Swiss</w:t>
            </w:r>
          </w:p>
          <w:p>
            <w:pPr>
              <w:jc w:val="left"/>
            </w:pPr>
            <w:r>
              <w:t xml:space="preserve">Defend traditions</w:t>
            </w:r>
          </w:p>
          <w:p>
            <w:pPr>
              <w:jc w:val="left"/>
            </w:pPr>
            <w:r>
              <w:t xml:space="preserve">Divided on environment vs growth</w:t>
            </w:r>
          </w:p>
          <w:p>
            <w:pPr>
              <w:jc w:val="left"/>
            </w:pPr>
            <w:r>
              <w:t xml:space="preserve">pro-nuclear energy</w:t>
            </w:r>
          </w:p>
        </w:tc>
        <w:tc>
          <w:tcPr/>
          <w:p>
            <w:pPr>
              <w:jc w:val="left"/>
            </w:pPr>
            <w:r>
              <w:t xml:space="preserve">Old; male; high income;</w:t>
            </w:r>
          </w:p>
          <w:p>
            <w:pPr>
              <w:jc w:val="left"/>
            </w:pPr>
            <w:r>
              <w:t xml:space="preserve">rather high education; Protestant;</w:t>
            </w:r>
          </w:p>
          <w:p>
            <w:pPr>
              <w:jc w:val="left"/>
            </w:pPr>
            <w:r>
              <w:t xml:space="preserve">self-employed; German-speaking</w:t>
            </w:r>
          </w:p>
        </w:tc>
      </w:tr>
      <w:tr>
        <w:tc>
          <w:tcPr/>
          <w:p>
            <w:pPr>
              <w:pStyle w:val="Compact"/>
              <w:jc w:val="left"/>
            </w:pPr>
            <w:r>
              <w:t xml:space="preserve">10</w:t>
            </w:r>
          </w:p>
        </w:tc>
        <w:tc>
          <w:tcPr/>
          <w:p>
            <w:pPr>
              <w:pStyle w:val="Compact"/>
              <w:jc w:val="left"/>
            </w:pPr>
            <w:r>
              <w:t xml:space="preserve">4.9%</w:t>
            </w:r>
          </w:p>
        </w:tc>
        <w:tc>
          <w:tcPr/>
          <w:p>
            <w:pPr>
              <w:jc w:val="left"/>
            </w:pPr>
            <w:r>
              <w:t xml:space="preserve">For reducing social spending</w:t>
            </w:r>
          </w:p>
          <w:p>
            <w:pPr>
              <w:jc w:val="left"/>
            </w:pPr>
            <w:r>
              <w:t xml:space="preserve">For reducing taxes on HI</w:t>
            </w:r>
          </w:p>
          <w:p>
            <w:pPr>
              <w:jc w:val="left"/>
            </w:pPr>
            <w:r>
              <w:t xml:space="preserve">strongly for free markets</w:t>
            </w:r>
          </w:p>
          <w:p>
            <w:pPr>
              <w:jc w:val="left"/>
            </w:pPr>
            <w:r>
              <w:t xml:space="preserve">For strong army</w:t>
            </w:r>
          </w:p>
          <w:p>
            <w:pPr>
              <w:jc w:val="left"/>
            </w:pPr>
            <w:r>
              <w:t xml:space="preserve">Minority of no army supporters (37%)</w:t>
            </w:r>
          </w:p>
          <w:p>
            <w:pPr>
              <w:jc w:val="left"/>
            </w:pPr>
            <w:r>
              <w:t xml:space="preserve">For EU-integration</w:t>
            </w:r>
          </w:p>
          <w:p>
            <w:pPr>
              <w:jc w:val="left"/>
            </w:pPr>
            <w:r>
              <w:t xml:space="preserve">For equal chances Swiss-foreigners</w:t>
            </w:r>
          </w:p>
          <w:p>
            <w:pPr>
              <w:jc w:val="left"/>
            </w:pPr>
            <w:r>
              <w:t xml:space="preserve">Question traditions</w:t>
            </w:r>
          </w:p>
          <w:p>
            <w:pPr>
              <w:jc w:val="left"/>
            </w:pPr>
            <w:r>
              <w:t xml:space="preserve">Rather for economic growth</w:t>
            </w:r>
          </w:p>
          <w:p>
            <w:pPr>
              <w:jc w:val="left"/>
            </w:pPr>
            <w:r>
              <w:t xml:space="preserve">Pro-nuclear energy</w:t>
            </w:r>
          </w:p>
        </w:tc>
        <w:tc>
          <w:tcPr/>
          <w:p>
            <w:pPr>
              <w:jc w:val="left"/>
            </w:pPr>
            <w:r>
              <w:t xml:space="preserve">Young; male; high income;</w:t>
            </w:r>
          </w:p>
          <w:p>
            <w:pPr>
              <w:jc w:val="left"/>
            </w:pPr>
            <w:r>
              <w:t xml:space="preserve">high education; managers;</w:t>
            </w:r>
          </w:p>
          <w:p>
            <w:pPr>
              <w:jc w:val="left"/>
            </w:pPr>
            <w:r>
              <w:t xml:space="preserve">skilled workers; self-employed;</w:t>
            </w:r>
          </w:p>
          <w:p>
            <w:pPr>
              <w:jc w:val="left"/>
            </w:pPr>
            <w:r>
              <w:t xml:space="preserve">German-speaking; urban.</w:t>
            </w:r>
          </w:p>
        </w:tc>
      </w:tr>
      <w:tr>
        <w:tc>
          <w:tcPr/>
          <w:p>
            <w:pPr>
              <w:pStyle w:val="Compact"/>
              <w:jc w:val="left"/>
            </w:pPr>
            <w:r>
              <w:t xml:space="preserve">11</w:t>
            </w:r>
          </w:p>
        </w:tc>
        <w:tc>
          <w:tcPr/>
          <w:p>
            <w:pPr>
              <w:pStyle w:val="Compact"/>
              <w:jc w:val="left"/>
            </w:pPr>
            <w:r>
              <w:t xml:space="preserve">3,3%</w:t>
            </w:r>
          </w:p>
        </w:tc>
        <w:tc>
          <w:tcPr/>
          <w:p>
            <w:pPr>
              <w:jc w:val="left"/>
            </w:pPr>
            <w:r>
              <w:t xml:space="preserve">Against EU-integration</w:t>
            </w:r>
          </w:p>
          <w:p>
            <w:pPr>
              <w:jc w:val="left"/>
            </w:pPr>
            <w:r>
              <w:t xml:space="preserve">For better chances for the Swiss</w:t>
            </w:r>
          </w:p>
          <w:p>
            <w:pPr>
              <w:jc w:val="left"/>
            </w:pPr>
            <w:r>
              <w:t xml:space="preserve">Defend traditions.</w:t>
            </w:r>
          </w:p>
          <w:p>
            <w:pPr>
              <w:jc w:val="left"/>
            </w:pPr>
            <w:r>
              <w:t xml:space="preserve">Pro-environment</w:t>
            </w:r>
          </w:p>
          <w:p>
            <w:pPr>
              <w:jc w:val="left"/>
            </w:pPr>
            <w:r>
              <w:t xml:space="preserve">Against nuclear energy</w:t>
            </w:r>
          </w:p>
        </w:tc>
        <w:tc>
          <w:tcPr/>
          <w:p>
            <w:pPr>
              <w:jc w:val="left"/>
            </w:pPr>
            <w:r>
              <w:t xml:space="preserve">Old; female; low income;</w:t>
            </w:r>
          </w:p>
          <w:p>
            <w:pPr>
              <w:jc w:val="left"/>
            </w:pPr>
            <w:r>
              <w:t xml:space="preserve">middle-education;</w:t>
            </w:r>
          </w:p>
          <w:p>
            <w:pPr>
              <w:jc w:val="left"/>
            </w:pPr>
            <w:r>
              <w:t xml:space="preserve">skilled and unskilled workers;</w:t>
            </w:r>
          </w:p>
          <w:p>
            <w:pPr>
              <w:jc w:val="left"/>
            </w:pPr>
            <w:r>
              <w:t xml:space="preserve">Protestant</w:t>
            </w:r>
          </w:p>
        </w:tc>
      </w:tr>
      <w:tr>
        <w:tc>
          <w:tcPr/>
          <w:p>
            <w:pPr>
              <w:pStyle w:val="Compact"/>
              <w:jc w:val="left"/>
            </w:pPr>
            <w:r>
              <w:t xml:space="preserve">12</w:t>
            </w:r>
          </w:p>
        </w:tc>
        <w:tc>
          <w:tcPr/>
          <w:p>
            <w:pPr>
              <w:pStyle w:val="Compact"/>
              <w:jc w:val="left"/>
            </w:pPr>
            <w:r>
              <w:t xml:space="preserve">2,6%</w:t>
            </w:r>
          </w:p>
        </w:tc>
        <w:tc>
          <w:tcPr/>
          <w:p>
            <w:pPr>
              <w:jc w:val="left"/>
            </w:pPr>
            <w:r>
              <w:t xml:space="preserve">For increase in social spending</w:t>
            </w:r>
          </w:p>
          <w:p>
            <w:pPr>
              <w:jc w:val="left"/>
            </w:pPr>
            <w:r>
              <w:t xml:space="preserve">For increase in taxes on HI</w:t>
            </w:r>
          </w:p>
          <w:p>
            <w:pPr>
              <w:jc w:val="left"/>
            </w:pPr>
            <w:r>
              <w:t xml:space="preserve">For state intervention</w:t>
            </w:r>
          </w:p>
          <w:p>
            <w:pPr>
              <w:jc w:val="left"/>
            </w:pPr>
            <w:r>
              <w:t xml:space="preserve">Rather for no army</w:t>
            </w:r>
          </w:p>
          <w:p>
            <w:pPr>
              <w:jc w:val="left"/>
            </w:pPr>
            <w:r>
              <w:t xml:space="preserve">For better chances for the Swiss</w:t>
            </w:r>
          </w:p>
          <w:p>
            <w:pPr>
              <w:jc w:val="left"/>
            </w:pPr>
            <w:r>
              <w:t xml:space="preserve">Defend traditions</w:t>
            </w:r>
          </w:p>
          <w:p>
            <w:pPr>
              <w:jc w:val="left"/>
            </w:pPr>
            <w:r>
              <w:t xml:space="preserve">Pro-environment</w:t>
            </w:r>
          </w:p>
          <w:p>
            <w:pPr>
              <w:jc w:val="left"/>
            </w:pPr>
            <w:r>
              <w:t xml:space="preserve">Against nuclear energy</w:t>
            </w:r>
          </w:p>
        </w:tc>
        <w:tc>
          <w:tcPr/>
          <w:p>
            <w:pPr>
              <w:jc w:val="left"/>
            </w:pPr>
            <w:r>
              <w:t xml:space="preserve">Rather old; female; low income;</w:t>
            </w:r>
          </w:p>
          <w:p>
            <w:pPr>
              <w:jc w:val="left"/>
            </w:pPr>
            <w:r>
              <w:t xml:space="preserve">low education; unskilled workers;</w:t>
            </w:r>
          </w:p>
          <w:p>
            <w:pPr>
              <w:jc w:val="left"/>
            </w:pPr>
            <w:r>
              <w:t xml:space="preserve">socio-cultural specialists.</w:t>
            </w:r>
          </w:p>
        </w:tc>
      </w:tr>
    </w:tbl>
    <w:bookmarkEnd w:id="72"/>
    <w:bookmarkEnd w:id="73"/>
    <w:bookmarkEnd w:id="74"/>
    <w:bookmarkEnd w:id="75"/>
    <w:bookmarkEnd w:id="76"/>
    <w:bookmarkStart w:id="193" w:name="references"/>
    <w:p>
      <w:pPr>
        <w:pStyle w:val="Heading1"/>
      </w:pPr>
      <w:r>
        <w:t xml:space="preserve">References</w:t>
      </w:r>
    </w:p>
    <w:bookmarkStart w:id="192" w:name="refs"/>
    <w:bookmarkStart w:id="78"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77">
        <w:r>
          <w:rPr>
            <w:rStyle w:val="Hyperlink"/>
          </w:rPr>
          <w:t xml:space="preserve">https://doi.org/10.1177/002200947901400402</w:t>
        </w:r>
      </w:hyperlink>
      <w:r>
        <w:t xml:space="preserve">.</w:t>
      </w:r>
    </w:p>
    <w:bookmarkEnd w:id="78"/>
    <w:bookmarkStart w:id="79"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79"/>
    <w:bookmarkStart w:id="81"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80">
        <w:r>
          <w:rPr>
            <w:rStyle w:val="Hyperlink"/>
          </w:rPr>
          <w:t xml:space="preserve">https://doi.org/10.1093/acprof:oso/9780198787815.001.0001</w:t>
        </w:r>
      </w:hyperlink>
      <w:r>
        <w:t xml:space="preserve">.</w:t>
      </w:r>
    </w:p>
    <w:bookmarkEnd w:id="81"/>
    <w:bookmarkStart w:id="83"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82">
        <w:r>
          <w:rPr>
            <w:rStyle w:val="Hyperlink"/>
          </w:rPr>
          <w:t xml:space="preserve">https://doi.org/10.4000/regulation.20350</w:t>
        </w:r>
      </w:hyperlink>
      <w:r>
        <w:t xml:space="preserve">.</w:t>
      </w:r>
    </w:p>
    <w:bookmarkEnd w:id="83"/>
    <w:bookmarkStart w:id="84"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84"/>
    <w:bookmarkStart w:id="86"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85">
        <w:r>
          <w:rPr>
            <w:rStyle w:val="Hyperlink"/>
          </w:rPr>
          <w:t xml:space="preserve">https://doi.org/10.1080/09692290.2021.1913440</w:t>
        </w:r>
      </w:hyperlink>
      <w:r>
        <w:t xml:space="preserve">.</w:t>
      </w:r>
    </w:p>
    <w:bookmarkEnd w:id="86"/>
    <w:bookmarkStart w:id="87"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87"/>
    <w:bookmarkStart w:id="88"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88"/>
    <w:bookmarkStart w:id="90"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89">
        <w:r>
          <w:rPr>
            <w:rStyle w:val="Hyperlink"/>
          </w:rPr>
          <w:t xml:space="preserve">https://doi.org/10.1093/ser/mwn018</w:t>
        </w:r>
      </w:hyperlink>
      <w:r>
        <w:t xml:space="preserve">.</w:t>
      </w:r>
    </w:p>
    <w:bookmarkEnd w:id="90"/>
    <w:bookmarkStart w:id="92"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91">
        <w:r>
          <w:rPr>
            <w:rStyle w:val="Hyperlink"/>
          </w:rPr>
          <w:t xml:space="preserve">https://doi.org/10.4337/9781782549925.00015</w:t>
        </w:r>
      </w:hyperlink>
      <w:r>
        <w:t xml:space="preserve">.</w:t>
      </w:r>
    </w:p>
    <w:bookmarkEnd w:id="92"/>
    <w:bookmarkStart w:id="93"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93"/>
    <w:bookmarkStart w:id="95"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94">
        <w:r>
          <w:rPr>
            <w:rStyle w:val="Hyperlink"/>
          </w:rPr>
          <w:t xml:space="preserve">https://doi.org/10.1080/13563467.2023.2215701</w:t>
        </w:r>
      </w:hyperlink>
      <w:r>
        <w:t xml:space="preserve">.</w:t>
      </w:r>
    </w:p>
    <w:bookmarkEnd w:id="95"/>
    <w:bookmarkStart w:id="96"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96"/>
    <w:bookmarkStart w:id="98"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97">
        <w:r>
          <w:rPr>
            <w:rStyle w:val="Hyperlink"/>
          </w:rPr>
          <w:t xml:space="preserve">https://doi.org/10.5169/seals-515017</w:t>
        </w:r>
      </w:hyperlink>
      <w:r>
        <w:t xml:space="preserve">.</w:t>
      </w:r>
    </w:p>
    <w:bookmarkEnd w:id="98"/>
    <w:bookmarkStart w:id="100"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99">
        <w:r>
          <w:rPr>
            <w:rStyle w:val="Hyperlink"/>
          </w:rPr>
          <w:t xml:space="preserve">http://gen.lib.rus.ec/book/index.php?md5=ee123095cfe9fb8d6bcd03d6579a0705</w:t>
        </w:r>
      </w:hyperlink>
      <w:r>
        <w:t xml:space="preserve">.</w:t>
      </w:r>
    </w:p>
    <w:bookmarkEnd w:id="100"/>
    <w:bookmarkStart w:id="101"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101"/>
    <w:bookmarkStart w:id="103"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102">
        <w:r>
          <w:rPr>
            <w:rStyle w:val="Hyperlink"/>
          </w:rPr>
          <w:t xml:space="preserve">https://doi.org/10.23662/FORS-DS-688-2</w:t>
        </w:r>
      </w:hyperlink>
      <w:r>
        <w:t xml:space="preserve">.</w:t>
      </w:r>
    </w:p>
    <w:bookmarkEnd w:id="103"/>
    <w:bookmarkStart w:id="105"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104">
        <w:r>
          <w:rPr>
            <w:rStyle w:val="Hyperlink"/>
          </w:rPr>
          <w:t xml:space="preserve">https://doi.org/10.1002/j.1662-6370.1997.tb00198.x</w:t>
        </w:r>
      </w:hyperlink>
      <w:r>
        <w:t xml:space="preserve">.</w:t>
      </w:r>
    </w:p>
    <w:bookmarkEnd w:id="105"/>
    <w:bookmarkStart w:id="107"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106">
        <w:r>
          <w:rPr>
            <w:rStyle w:val="Hyperlink"/>
          </w:rPr>
          <w:t xml:space="preserve">https://oec.world/en/rankings/eci/hs6/hs96</w:t>
        </w:r>
      </w:hyperlink>
      <w:r>
        <w:t xml:space="preserve">.</w:t>
      </w:r>
    </w:p>
    <w:bookmarkEnd w:id="107"/>
    <w:bookmarkStart w:id="108"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108"/>
    <w:bookmarkStart w:id="110"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09">
        <w:r>
          <w:rPr>
            <w:rStyle w:val="Hyperlink"/>
          </w:rPr>
          <w:t xml:space="preserve">https://wid.world/wp-content/uploads/2021/03/WorldInequalityLab_WP2021_08_PoliticalCleavages_AustriaBelgiumNLSwitzerland.pdf</w:t>
        </w:r>
      </w:hyperlink>
      <w:r>
        <w:t xml:space="preserve">.</w:t>
      </w:r>
    </w:p>
    <w:bookmarkEnd w:id="110"/>
    <w:bookmarkStart w:id="112"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111">
        <w:r>
          <w:rPr>
            <w:rStyle w:val="Hyperlink"/>
          </w:rPr>
          <w:t xml:space="preserve">https://doi.org/10.1177/0010414002250664</w:t>
        </w:r>
      </w:hyperlink>
      <w:r>
        <w:t xml:space="preserve">.</w:t>
      </w:r>
    </w:p>
    <w:bookmarkEnd w:id="112"/>
    <w:bookmarkStart w:id="114"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13">
        <w:r>
          <w:rPr>
            <w:rStyle w:val="Hyperlink"/>
          </w:rPr>
          <w:t xml:space="preserve">https://www.letemps.ch/economie/gerhard-schwarz-une-suisse-neoliberale-cest-une-fake-news</w:t>
        </w:r>
      </w:hyperlink>
      <w:r>
        <w:t xml:space="preserve">.</w:t>
      </w:r>
    </w:p>
    <w:bookmarkEnd w:id="114"/>
    <w:bookmarkStart w:id="116"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15">
        <w:r>
          <w:rPr>
            <w:rStyle w:val="Hyperlink"/>
          </w:rPr>
          <w:t xml:space="preserve">https://doi.org/10.1093/qje/qjab036</w:t>
        </w:r>
      </w:hyperlink>
      <w:r>
        <w:t xml:space="preserve">.</w:t>
      </w:r>
    </w:p>
    <w:bookmarkEnd w:id="116"/>
    <w:bookmarkStart w:id="117"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17"/>
    <w:bookmarkStart w:id="119"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18">
        <w:r>
          <w:rPr>
            <w:rStyle w:val="Hyperlink"/>
          </w:rPr>
          <w:t xml:space="preserve">https://www.avenir-suisse.ch/fr/7-bonnes-raisons-de-privatiser-lenergie/</w:t>
        </w:r>
      </w:hyperlink>
      <w:r>
        <w:t xml:space="preserve">.</w:t>
      </w:r>
    </w:p>
    <w:bookmarkEnd w:id="119"/>
    <w:bookmarkStart w:id="121" w:name="ref-haeberli_les_2023"/>
    <w:p>
      <w:pPr>
        <w:pStyle w:val="Bibliography"/>
      </w:pPr>
      <w:r>
        <w:t xml:space="preserve">Haeberli, David. 2023.</w:t>
      </w:r>
      <w:r>
        <w:t xml:space="preserve"> </w:t>
      </w:r>
      <w:r>
        <w:t xml:space="preserve">“Les Vert·e·s subissent une perte sèche et passent sous la barre des 10% - Le Temps,”</w:t>
      </w:r>
      <w:r>
        <w:t xml:space="preserve"> </w:t>
      </w:r>
      <w:r>
        <w:t xml:space="preserve">October.</w:t>
      </w:r>
      <w:r>
        <w:t xml:space="preserve"> </w:t>
      </w:r>
      <w:hyperlink r:id="rId120">
        <w:r>
          <w:rPr>
            <w:rStyle w:val="Hyperlink"/>
          </w:rPr>
          <w:t xml:space="preserve">https://www.letemps.ch/suisse/la-vague-verte-s-est-brisee-sur-les-recifs-d-une-droite-revancharde</w:t>
        </w:r>
      </w:hyperlink>
      <w:r>
        <w:t xml:space="preserve">.</w:t>
      </w:r>
    </w:p>
    <w:bookmarkEnd w:id="121"/>
    <w:bookmarkStart w:id="122"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22"/>
    <w:bookmarkStart w:id="124" w:name="ref-hardmeier_befragung_2022"/>
    <w:p>
      <w:pPr>
        <w:pStyle w:val="Bibliography"/>
      </w:pPr>
      <w:r>
        <w:t xml:space="preserve">Hardmeier, Sibylle, Ulrich Klöti, Hanspeter Kriesi, Wolf Linder, Pascal Sciarini, and Adrian Vatter. 2022.</w:t>
      </w:r>
      <w:r>
        <w:t xml:space="preserve"> </w:t>
      </w:r>
      <w:r>
        <w:t xml:space="preserve">“Befragung der Wählerinnen und Wähler nach den Wahlen - 1999.”</w:t>
      </w:r>
      <w:r>
        <w:t xml:space="preserve"> </w:t>
      </w:r>
      <w:r>
        <w:t xml:space="preserve">FORS</w:t>
      </w:r>
      <w:r>
        <w:t xml:space="preserve">.</w:t>
      </w:r>
      <w:r>
        <w:t xml:space="preserve"> </w:t>
      </w:r>
      <w:hyperlink r:id="rId123">
        <w:r>
          <w:rPr>
            <w:rStyle w:val="Hyperlink"/>
          </w:rPr>
          <w:t xml:space="preserve">https://doi.org/10.48573/9EX9-FP54</w:t>
        </w:r>
      </w:hyperlink>
      <w:r>
        <w:t xml:space="preserve">.</w:t>
      </w:r>
    </w:p>
    <w:bookmarkEnd w:id="124"/>
    <w:bookmarkStart w:id="125"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25"/>
    <w:bookmarkStart w:id="127"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26">
        <w:r>
          <w:rPr>
            <w:rStyle w:val="Hyperlink"/>
          </w:rPr>
          <w:t xml:space="preserve">https://doi.org/10.1080/13501763.2017.1310279</w:t>
        </w:r>
      </w:hyperlink>
      <w:r>
        <w:t xml:space="preserve">.</w:t>
      </w:r>
    </w:p>
    <w:bookmarkEnd w:id="127"/>
    <w:bookmarkStart w:id="129"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28">
        <w:r>
          <w:rPr>
            <w:rStyle w:val="Hyperlink"/>
          </w:rPr>
          <w:t xml:space="preserve">https://doi.org/10.2307/1953494</w:t>
        </w:r>
      </w:hyperlink>
      <w:r>
        <w:t xml:space="preserve">.</w:t>
      </w:r>
    </w:p>
    <w:bookmarkEnd w:id="129"/>
    <w:bookmarkStart w:id="131"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30">
        <w:r>
          <w:rPr>
            <w:rStyle w:val="Hyperlink"/>
          </w:rPr>
          <w:t xml:space="preserve">https://doi.org/10.2307/j.ctv346rbz</w:t>
        </w:r>
      </w:hyperlink>
      <w:r>
        <w:t xml:space="preserve">.</w:t>
      </w:r>
    </w:p>
    <w:bookmarkEnd w:id="131"/>
    <w:bookmarkStart w:id="133"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32">
        <w:r>
          <w:rPr>
            <w:rStyle w:val="Hyperlink"/>
          </w:rPr>
          <w:t xml:space="preserve">https://doi.org/10.2307/1962590</w:t>
        </w:r>
      </w:hyperlink>
      <w:r>
        <w:t xml:space="preserve">.</w:t>
      </w:r>
    </w:p>
    <w:bookmarkEnd w:id="133"/>
    <w:bookmarkStart w:id="135" w:name="ref-juilland__2012"/>
    <w:p>
      <w:pPr>
        <w:pStyle w:val="Bibliography"/>
      </w:pPr>
      <w:r>
        <w:t xml:space="preserve">Juilland, Dominique. 2012.</w:t>
      </w:r>
      <w:r>
        <w:t xml:space="preserve"> </w:t>
      </w:r>
      <w:r>
        <w:t xml:space="preserve">“« La Suisse n’a pas d’armée, elle est une armée ! ».”</w:t>
      </w:r>
      <w:r>
        <w:t xml:space="preserve"> </w:t>
      </w:r>
      <w:r>
        <w:rPr>
          <w:iCs/>
          <w:i/>
        </w:rPr>
        <w:t xml:space="preserve">Inflexions</w:t>
      </w:r>
      <w:r>
        <w:t xml:space="preserve"> </w:t>
      </w:r>
      <w:r>
        <w:t xml:space="preserve">20 (2): 183–95.</w:t>
      </w:r>
      <w:r>
        <w:t xml:space="preserve"> </w:t>
      </w:r>
      <w:hyperlink r:id="rId134">
        <w:r>
          <w:rPr>
            <w:rStyle w:val="Hyperlink"/>
          </w:rPr>
          <w:t xml:space="preserve">https://doi.org/10.3917/infle.020.0183</w:t>
        </w:r>
      </w:hyperlink>
      <w:r>
        <w:t xml:space="preserve">.</w:t>
      </w:r>
    </w:p>
    <w:bookmarkEnd w:id="135"/>
    <w:bookmarkStart w:id="136"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36"/>
    <w:bookmarkStart w:id="137"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37"/>
    <w:bookmarkStart w:id="139"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38">
        <w:r>
          <w:rPr>
            <w:rStyle w:val="Hyperlink"/>
          </w:rPr>
          <w:t xml:space="preserve">http://gen.lib.rus.ec/book/index.php?md5=672bb6ec977ceddc83c745ffc8db0022</w:t>
        </w:r>
      </w:hyperlink>
      <w:r>
        <w:t xml:space="preserve">.</w:t>
      </w:r>
    </w:p>
    <w:bookmarkEnd w:id="139"/>
    <w:bookmarkStart w:id="141"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40">
        <w:r>
          <w:rPr>
            <w:rStyle w:val="Hyperlink"/>
          </w:rPr>
          <w:t xml:space="preserve">https://doi.org/10.1111/j.1475-6765.2006.00644.x</w:t>
        </w:r>
      </w:hyperlink>
      <w:r>
        <w:t xml:space="preserve">.</w:t>
      </w:r>
    </w:p>
    <w:bookmarkEnd w:id="141"/>
    <w:bookmarkStart w:id="143"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42">
        <w:r>
          <w:rPr>
            <w:rStyle w:val="Hyperlink"/>
          </w:rPr>
          <w:t xml:space="preserve">https://doi.org/10.1017/CBO9780511790720</w:t>
        </w:r>
      </w:hyperlink>
      <w:r>
        <w:t xml:space="preserve">.</w:t>
      </w:r>
    </w:p>
    <w:bookmarkEnd w:id="143"/>
    <w:bookmarkStart w:id="144"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44"/>
    <w:bookmarkStart w:id="145"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45"/>
    <w:bookmarkStart w:id="147"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46">
        <w:r>
          <w:rPr>
            <w:rStyle w:val="Hyperlink"/>
          </w:rPr>
          <w:t xml:space="preserve">https://doi.org/10.1080/1350176032000059053</w:t>
        </w:r>
      </w:hyperlink>
      <w:r>
        <w:t xml:space="preserve">.</w:t>
      </w:r>
    </w:p>
    <w:bookmarkEnd w:id="147"/>
    <w:bookmarkStart w:id="149" w:name="ref-mach_transformations_2007"/>
    <w:p>
      <w:pPr>
        <w:pStyle w:val="Bibliography"/>
      </w:pPr>
      <w:r>
        <w:t xml:space="preserve">Mach, André,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48">
        <w:r>
          <w:rPr>
            <w:rStyle w:val="Hyperlink"/>
          </w:rPr>
          <w:t xml:space="preserve">https://doi.org/10.2202/1935-6226.1022</w:t>
        </w:r>
      </w:hyperlink>
      <w:r>
        <w:t xml:space="preserve">.</w:t>
      </w:r>
    </w:p>
    <w:bookmarkEnd w:id="149"/>
    <w:bookmarkStart w:id="150"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50"/>
    <w:bookmarkStart w:id="151"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51"/>
    <w:bookmarkStart w:id="152" w:name="ref-meuwly_les_2010"/>
    <w:p>
      <w:pPr>
        <w:pStyle w:val="Bibliography"/>
      </w:pPr>
      <w:r>
        <w:t xml:space="preserve">———. 2010.</w:t>
      </w:r>
      <w:r>
        <w:t xml:space="preserve"> </w:t>
      </w:r>
      <w:r>
        <w:rPr>
          <w:iCs/>
          <w:i/>
        </w:rPr>
        <w:t xml:space="preserve">Les partis politiques: acteurs de l’histoire suisse</w:t>
      </w:r>
      <w:r>
        <w:t xml:space="preserve">. Collection le savoir suisse.</w:t>
      </w:r>
    </w:p>
    <w:bookmarkEnd w:id="152"/>
    <w:bookmarkStart w:id="153"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53"/>
    <w:bookmarkStart w:id="155"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54">
        <w:r>
          <w:rPr>
            <w:rStyle w:val="Hyperlink"/>
          </w:rPr>
          <w:t xml:space="preserve">https://hdr.undp.org/content/human-development-report-2021-22</w:t>
        </w:r>
      </w:hyperlink>
      <w:r>
        <w:t xml:space="preserve">.</w:t>
      </w:r>
    </w:p>
    <w:bookmarkEnd w:id="155"/>
    <w:bookmarkStart w:id="157" w:name="ref-nylund_deciding_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r>
        <w:t xml:space="preserve"> </w:t>
      </w:r>
      <w:hyperlink r:id="rId156">
        <w:r>
          <w:rPr>
            <w:rStyle w:val="Hyperlink"/>
          </w:rPr>
          <w:t xml:space="preserve">https://doi.org/10.1080/10705510701575396</w:t>
        </w:r>
      </w:hyperlink>
      <w:r>
        <w:t xml:space="preserve">.</w:t>
      </w:r>
    </w:p>
    <w:bookmarkEnd w:id="157"/>
    <w:bookmarkStart w:id="159"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58">
        <w:r>
          <w:rPr>
            <w:rStyle w:val="Hyperlink"/>
          </w:rPr>
          <w:t xml:space="preserve">https://doi.org/10.1017/S0143814X98000129</w:t>
        </w:r>
      </w:hyperlink>
      <w:r>
        <w:t xml:space="preserve">.</w:t>
      </w:r>
    </w:p>
    <w:bookmarkEnd w:id="159"/>
    <w:bookmarkStart w:id="161"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160">
        <w:r>
          <w:rPr>
            <w:rStyle w:val="Hyperlink"/>
          </w:rPr>
          <w:t xml:space="preserve">https://www.oecd-ilibrary.org/economics/oecd-economic-surveys-switzerland-1992_eco_surveys-che-1992-en</w:t>
        </w:r>
      </w:hyperlink>
      <w:r>
        <w:t xml:space="preserve">.</w:t>
      </w:r>
    </w:p>
    <w:bookmarkEnd w:id="161"/>
    <w:bookmarkStart w:id="163"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162">
        <w:r>
          <w:rPr>
            <w:rStyle w:val="Hyperlink"/>
          </w:rPr>
          <w:t xml:space="preserve">https://www.oecd-ilibrary.org/economics/oecd-economic-surveys-switzerland-2019_7e6fd372-en</w:t>
        </w:r>
      </w:hyperlink>
      <w:r>
        <w:t xml:space="preserve">.</w:t>
      </w:r>
    </w:p>
    <w:bookmarkEnd w:id="163"/>
    <w:bookmarkStart w:id="165"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164">
        <w:r>
          <w:rPr>
            <w:rStyle w:val="Hyperlink"/>
          </w:rPr>
          <w:t xml:space="preserve">https://www.oecd-ilibrary.org/economics/oecd-economic-surveys-switzerland-2022_1fde6924-en</w:t>
        </w:r>
      </w:hyperlink>
      <w:r>
        <w:t xml:space="preserve">.</w:t>
      </w:r>
    </w:p>
    <w:bookmarkEnd w:id="165"/>
    <w:bookmarkStart w:id="166"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166"/>
    <w:bookmarkStart w:id="168"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167">
        <w:r>
          <w:rPr>
            <w:rStyle w:val="Hyperlink"/>
          </w:rPr>
          <w:t xml:space="preserve">https://doi.org/10.1002/j.1662-6370.2010.tb00433.x</w:t>
        </w:r>
      </w:hyperlink>
      <w:r>
        <w:t xml:space="preserve">.</w:t>
      </w:r>
    </w:p>
    <w:bookmarkEnd w:id="168"/>
    <w:bookmarkStart w:id="170"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169">
        <w:r>
          <w:rPr>
            <w:rStyle w:val="Hyperlink"/>
          </w:rPr>
          <w:t xml:space="preserve">https://doi.org/10.1111/1475-6765.12259</w:t>
        </w:r>
      </w:hyperlink>
      <w:r>
        <w:t xml:space="preserve">.</w:t>
      </w:r>
    </w:p>
    <w:bookmarkEnd w:id="170"/>
    <w:bookmarkStart w:id="171"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171"/>
    <w:bookmarkStart w:id="172" w:name="ref-piguet_immigration_2013"/>
    <w:p>
      <w:pPr>
        <w:pStyle w:val="Bibliography"/>
      </w:pPr>
      <w:r>
        <w:t xml:space="preserve">Piguet, Etienne. 2013.</w:t>
      </w:r>
      <w:r>
        <w:t xml:space="preserve"> </w:t>
      </w:r>
      <w:r>
        <w:rPr>
          <w:iCs/>
          <w:i/>
        </w:rPr>
        <w:t xml:space="preserve">L’immigration En Suisse: Soixante Ans d’entrouverture.</w:t>
      </w:r>
      <w:r>
        <w:t xml:space="preserve"> Lausanne: Presses Polytechniques Romandes.</w:t>
      </w:r>
    </w:p>
    <w:bookmarkEnd w:id="172"/>
    <w:bookmarkStart w:id="173"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173"/>
    <w:bookmarkStart w:id="174"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174"/>
    <w:bookmarkStart w:id="175" w:name="ref-piketty_capital_2019"/>
    <w:p>
      <w:pPr>
        <w:pStyle w:val="Bibliography"/>
      </w:pPr>
      <w:r>
        <w:t xml:space="preserve">———. 2019.</w:t>
      </w:r>
      <w:r>
        <w:t xml:space="preserve"> </w:t>
      </w:r>
      <w:r>
        <w:rPr>
          <w:iCs/>
          <w:i/>
        </w:rPr>
        <w:t xml:space="preserve">Capital Et Idéologie</w:t>
      </w:r>
      <w:r>
        <w:t xml:space="preserve">. Le Seuil.</w:t>
      </w:r>
    </w:p>
    <w:bookmarkEnd w:id="175"/>
    <w:bookmarkStart w:id="177"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176">
        <w:r>
          <w:rPr>
            <w:rStyle w:val="Hyperlink"/>
          </w:rPr>
          <w:t xml:space="preserve">https://doi.org/10.1111/spsr.12124</w:t>
        </w:r>
      </w:hyperlink>
      <w:r>
        <w:t xml:space="preserve">.</w:t>
      </w:r>
    </w:p>
    <w:bookmarkEnd w:id="177"/>
    <w:bookmarkStart w:id="179"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178">
        <w:r>
          <w:rPr>
            <w:rStyle w:val="Hyperlink"/>
          </w:rPr>
          <w:t xml:space="preserve">http://gen.lib.rus.ec/book/index.php?md5=DC2AFED8958B9AE0932FFEFEAB45546C</w:t>
        </w:r>
      </w:hyperlink>
      <w:r>
        <w:t xml:space="preserve">.</w:t>
      </w:r>
    </w:p>
    <w:bookmarkEnd w:id="179"/>
    <w:bookmarkStart w:id="180" w:name="ref-ribeaud_quand_1998"/>
    <w:p>
      <w:pPr>
        <w:pStyle w:val="Bibliography"/>
      </w:pPr>
      <w:r>
        <w:t xml:space="preserve">Ribeaud, José. 1998.</w:t>
      </w:r>
      <w:r>
        <w:t xml:space="preserve"> </w:t>
      </w:r>
      <w:r>
        <w:rPr>
          <w:iCs/>
          <w:i/>
        </w:rPr>
        <w:t xml:space="preserve">Quand La Suisse Disparaîtra</w:t>
      </w:r>
      <w:r>
        <w:t xml:space="preserve">. Vevey: L’Aire.</w:t>
      </w:r>
    </w:p>
    <w:bookmarkEnd w:id="180"/>
    <w:bookmarkStart w:id="182"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181">
        <w:r>
          <w:rPr>
            <w:rStyle w:val="Hyperlink"/>
          </w:rPr>
          <w:t xml:space="preserve">https://www.epflpress.org/produit/1421/9782889155279/politique-suisse</w:t>
        </w:r>
      </w:hyperlink>
      <w:r>
        <w:t xml:space="preserve">.</w:t>
      </w:r>
    </w:p>
    <w:bookmarkEnd w:id="182"/>
    <w:bookmarkStart w:id="184"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183">
        <w:r>
          <w:rPr>
            <w:rStyle w:val="Hyperlink"/>
          </w:rPr>
          <w:t xml:space="preserve">https://doi.org/10.3917/socio.103.0243</w:t>
        </w:r>
      </w:hyperlink>
      <w:r>
        <w:t xml:space="preserve">.</w:t>
      </w:r>
    </w:p>
    <w:bookmarkEnd w:id="184"/>
    <w:bookmarkStart w:id="186"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185">
        <w:r>
          <w:rPr>
            <w:rStyle w:val="Hyperlink"/>
          </w:rPr>
          <w:t xml:space="preserve">https://doi.org/10.1017/S1755773913000246</w:t>
        </w:r>
      </w:hyperlink>
      <w:r>
        <w:t xml:space="preserve">.</w:t>
      </w:r>
    </w:p>
    <w:bookmarkEnd w:id="186"/>
    <w:bookmarkStart w:id="187"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187"/>
    <w:bookmarkStart w:id="189"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188">
        <w:r>
          <w:rPr>
            <w:rStyle w:val="Hyperlink"/>
          </w:rPr>
          <w:t xml:space="preserve">https://doi.org/10.48573/PCBM-2280</w:t>
        </w:r>
      </w:hyperlink>
      <w:r>
        <w:t xml:space="preserve">.</w:t>
      </w:r>
    </w:p>
    <w:bookmarkEnd w:id="189"/>
    <w:bookmarkStart w:id="191"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190">
        <w:r>
          <w:rPr>
            <w:rStyle w:val="Hyperlink"/>
          </w:rPr>
          <w:t xml:space="preserve">https://doi.org/10.1111/ajps.12743</w:t>
        </w:r>
      </w:hyperlink>
      <w:r>
        <w:t xml:space="preserve">.</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 the neoliberal Swiss think thank</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38">
    <w:p>
      <w:pPr>
        <w:pStyle w:val="FootnoteText"/>
      </w:pPr>
      <w:r>
        <w:rPr>
          <w:rStyle w:val="FootnoteReference"/>
        </w:rPr>
        <w:footnoteRef/>
      </w:r>
      <w:r>
        <w:t xml:space="preserve"> </w:t>
      </w:r>
      <w:r>
        <w:t xml:space="preserve">See</w:t>
      </w:r>
      <w:r>
        <w:t xml:space="preserve"> </w:t>
      </w:r>
      <w:r>
        <w:t xml:space="preserve">Haeberli (2023)</w:t>
      </w:r>
    </w:p>
  </w:footnote>
  <w:footnote w:id="65">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71">
    <w:p>
      <w:pPr>
        <w:pStyle w:val="FootnoteText"/>
      </w:pPr>
      <w:r>
        <w:rPr>
          <w:rStyle w:val="FootnoteReference"/>
        </w:rPr>
        <w:footnoteRef/>
      </w:r>
      <w:r>
        <w:t xml:space="preserve"> </w:t>
      </w:r>
      <w:r>
        <w:t xml:space="preserve">For a short history and overview of the current challenges and of the role of the Swiss army, see</w:t>
      </w:r>
      <w:r>
        <w:t xml:space="preserve"> </w:t>
      </w:r>
      <w:r>
        <w:t xml:space="preserve">Juilland (2012)</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57" Target="media/rId57.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67" Target="media/rId67.png" /><Relationship Type="http://schemas.openxmlformats.org/officeDocument/2006/relationships/hyperlink" Id="rId138" Target="http://gen.lib.rus.ec/book/index.php?md5=672bb6ec977ceddc83c745ffc8db0022" TargetMode="External" /><Relationship Type="http://schemas.openxmlformats.org/officeDocument/2006/relationships/hyperlink" Id="rId178" Target="http://gen.lib.rus.ec/book/index.php?md5=DC2AFED8958B9AE0932FFEFEAB45546C" TargetMode="External" /><Relationship Type="http://schemas.openxmlformats.org/officeDocument/2006/relationships/hyperlink" Id="rId99" Target="http://gen.lib.rus.ec/book/index.php?md5=ee123095cfe9fb8d6bcd03d6579a0705" TargetMode="External" /><Relationship Type="http://schemas.openxmlformats.org/officeDocument/2006/relationships/hyperlink" Id="rId104" Target="https://doi.org/10.1002/j.1662-6370.1997.tb00198.x" TargetMode="External" /><Relationship Type="http://schemas.openxmlformats.org/officeDocument/2006/relationships/hyperlink" Id="rId167" Target="https://doi.org/10.1002/j.1662-6370.2010.tb00433.x" TargetMode="External" /><Relationship Type="http://schemas.openxmlformats.org/officeDocument/2006/relationships/hyperlink" Id="rId142" Target="https://doi.org/10.1017/CBO9780511790720" TargetMode="External" /><Relationship Type="http://schemas.openxmlformats.org/officeDocument/2006/relationships/hyperlink" Id="rId158" Target="https://doi.org/10.1017/S0143814X98000129" TargetMode="External" /><Relationship Type="http://schemas.openxmlformats.org/officeDocument/2006/relationships/hyperlink" Id="rId185" Target="https://doi.org/10.1017/S1755773913000246" TargetMode="External" /><Relationship Type="http://schemas.openxmlformats.org/officeDocument/2006/relationships/hyperlink" Id="rId85" Target="https://doi.org/10.1080/09692290.2021.1913440" TargetMode="External" /><Relationship Type="http://schemas.openxmlformats.org/officeDocument/2006/relationships/hyperlink" Id="rId156" Target="https://doi.org/10.1080/10705510701575396" TargetMode="External" /><Relationship Type="http://schemas.openxmlformats.org/officeDocument/2006/relationships/hyperlink" Id="rId146" Target="https://doi.org/10.1080/1350176032000059053" TargetMode="External" /><Relationship Type="http://schemas.openxmlformats.org/officeDocument/2006/relationships/hyperlink" Id="rId126" Target="https://doi.org/10.1080/13501763.2017.1310279" TargetMode="External" /><Relationship Type="http://schemas.openxmlformats.org/officeDocument/2006/relationships/hyperlink" Id="rId94" Target="https://doi.org/10.1080/13563467.2023.2215701" TargetMode="External" /><Relationship Type="http://schemas.openxmlformats.org/officeDocument/2006/relationships/hyperlink" Id="rId80" Target="https://doi.org/10.1093/acprof:oso/9780198787815.001.0001" TargetMode="External" /><Relationship Type="http://schemas.openxmlformats.org/officeDocument/2006/relationships/hyperlink" Id="rId115" Target="https://doi.org/10.1093/qje/qjab036" TargetMode="External" /><Relationship Type="http://schemas.openxmlformats.org/officeDocument/2006/relationships/hyperlink" Id="rId89" Target="https://doi.org/10.1093/ser/mwn018" TargetMode="External" /><Relationship Type="http://schemas.openxmlformats.org/officeDocument/2006/relationships/hyperlink" Id="rId169" Target="https://doi.org/10.1111/1475-6765.12259" TargetMode="External" /><Relationship Type="http://schemas.openxmlformats.org/officeDocument/2006/relationships/hyperlink" Id="rId190" Target="https://doi.org/10.1111/ajps.12743" TargetMode="External" /><Relationship Type="http://schemas.openxmlformats.org/officeDocument/2006/relationships/hyperlink" Id="rId140" Target="https://doi.org/10.1111/j.1475-6765.2006.00644.x" TargetMode="External" /><Relationship Type="http://schemas.openxmlformats.org/officeDocument/2006/relationships/hyperlink" Id="rId176" Target="https://doi.org/10.1111/spsr.12124" TargetMode="External" /><Relationship Type="http://schemas.openxmlformats.org/officeDocument/2006/relationships/hyperlink" Id="rId111" Target="https://doi.org/10.1177/0010414002250664" TargetMode="External" /><Relationship Type="http://schemas.openxmlformats.org/officeDocument/2006/relationships/hyperlink" Id="rId77" Target="https://doi.org/10.1177/002200947901400402" TargetMode="External" /><Relationship Type="http://schemas.openxmlformats.org/officeDocument/2006/relationships/hyperlink" Id="rId148" Target="https://doi.org/10.2202/1935-6226.1022" TargetMode="External" /><Relationship Type="http://schemas.openxmlformats.org/officeDocument/2006/relationships/hyperlink" Id="rId128" Target="https://doi.org/10.2307/1953494" TargetMode="External" /><Relationship Type="http://schemas.openxmlformats.org/officeDocument/2006/relationships/hyperlink" Id="rId132" Target="https://doi.org/10.2307/1962590" TargetMode="External" /><Relationship Type="http://schemas.openxmlformats.org/officeDocument/2006/relationships/hyperlink" Id="rId130" Target="https://doi.org/10.2307/j.ctv346rbz" TargetMode="External" /><Relationship Type="http://schemas.openxmlformats.org/officeDocument/2006/relationships/hyperlink" Id="rId102" Target="https://doi.org/10.23662/FORS-DS-688-2" TargetMode="External" /><Relationship Type="http://schemas.openxmlformats.org/officeDocument/2006/relationships/hyperlink" Id="rId134" Target="https://doi.org/10.3917/infle.020.0183" TargetMode="External" /><Relationship Type="http://schemas.openxmlformats.org/officeDocument/2006/relationships/hyperlink" Id="rId183" Target="https://doi.org/10.3917/socio.103.0243" TargetMode="External" /><Relationship Type="http://schemas.openxmlformats.org/officeDocument/2006/relationships/hyperlink" Id="rId82" Target="https://doi.org/10.4000/regulation.20350" TargetMode="External" /><Relationship Type="http://schemas.openxmlformats.org/officeDocument/2006/relationships/hyperlink" Id="rId91" Target="https://doi.org/10.4337/9781782549925.00015" TargetMode="External" /><Relationship Type="http://schemas.openxmlformats.org/officeDocument/2006/relationships/hyperlink" Id="rId123" Target="https://doi.org/10.48573/9EX9-FP54" TargetMode="External" /><Relationship Type="http://schemas.openxmlformats.org/officeDocument/2006/relationships/hyperlink" Id="rId188" Target="https://doi.org/10.48573/PCBM-2280" TargetMode="External" /><Relationship Type="http://schemas.openxmlformats.org/officeDocument/2006/relationships/hyperlink" Id="rId97" Target="https://doi.org/10.5169/seals-515017" TargetMode="External" /><Relationship Type="http://schemas.openxmlformats.org/officeDocument/2006/relationships/hyperlink" Id="rId154" Target="https://hdr.undp.org/content/human-development-report-2021-22" TargetMode="External" /><Relationship Type="http://schemas.openxmlformats.org/officeDocument/2006/relationships/hyperlink" Id="rId106" Target="https://oec.world/en/rankings/eci/hs6/hs96" TargetMode="External" /><Relationship Type="http://schemas.openxmlformats.org/officeDocument/2006/relationships/hyperlink" Id="rId109" Target="https://wid.world/wp-content/uploads/2021/03/WorldInequalityLab_WP2021_08_PoliticalCleavages_AustriaBelgiumNLSwitzerland.pdf" TargetMode="External" /><Relationship Type="http://schemas.openxmlformats.org/officeDocument/2006/relationships/hyperlink" Id="rId118" Target="https://www.avenir-suisse.ch/fr/7-bonnes-raisons-de-privatiser-lenergie/" TargetMode="External" /><Relationship Type="http://schemas.openxmlformats.org/officeDocument/2006/relationships/hyperlink" Id="rId181" Target="https://www.epflpress.org/produit/1421/9782889155279/politique-suisse" TargetMode="External" /><Relationship Type="http://schemas.openxmlformats.org/officeDocument/2006/relationships/hyperlink" Id="rId113" Target="https://www.letemps.ch/economie/gerhard-schwarz-une-suisse-neoliberale-cest-une-fake-news" TargetMode="External" /><Relationship Type="http://schemas.openxmlformats.org/officeDocument/2006/relationships/hyperlink" Id="rId120" Target="https://www.letemps.ch/suisse/la-vague-verte-s-est-brisee-sur-les-recifs-d-une-droite-revancharde" TargetMode="External" /><Relationship Type="http://schemas.openxmlformats.org/officeDocument/2006/relationships/hyperlink" Id="rId160" Target="https://www.oecd-ilibrary.org/economics/oecd-economic-surveys-switzerland-1992_eco_surveys-che-1992-en" TargetMode="External" /><Relationship Type="http://schemas.openxmlformats.org/officeDocument/2006/relationships/hyperlink" Id="rId162" Target="https://www.oecd-ilibrary.org/economics/oecd-economic-surveys-switzerland-2019_7e6fd372-en" TargetMode="External" /><Relationship Type="http://schemas.openxmlformats.org/officeDocument/2006/relationships/hyperlink" Id="rId164"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38" Target="http://gen.lib.rus.ec/book/index.php?md5=672bb6ec977ceddc83c745ffc8db0022" TargetMode="External" /><Relationship Type="http://schemas.openxmlformats.org/officeDocument/2006/relationships/hyperlink" Id="rId178" Target="http://gen.lib.rus.ec/book/index.php?md5=DC2AFED8958B9AE0932FFEFEAB45546C" TargetMode="External" /><Relationship Type="http://schemas.openxmlformats.org/officeDocument/2006/relationships/hyperlink" Id="rId99" Target="http://gen.lib.rus.ec/book/index.php?md5=ee123095cfe9fb8d6bcd03d6579a0705" TargetMode="External" /><Relationship Type="http://schemas.openxmlformats.org/officeDocument/2006/relationships/hyperlink" Id="rId104" Target="https://doi.org/10.1002/j.1662-6370.1997.tb00198.x" TargetMode="External" /><Relationship Type="http://schemas.openxmlformats.org/officeDocument/2006/relationships/hyperlink" Id="rId167" Target="https://doi.org/10.1002/j.1662-6370.2010.tb00433.x" TargetMode="External" /><Relationship Type="http://schemas.openxmlformats.org/officeDocument/2006/relationships/hyperlink" Id="rId142" Target="https://doi.org/10.1017/CBO9780511790720" TargetMode="External" /><Relationship Type="http://schemas.openxmlformats.org/officeDocument/2006/relationships/hyperlink" Id="rId158" Target="https://doi.org/10.1017/S0143814X98000129" TargetMode="External" /><Relationship Type="http://schemas.openxmlformats.org/officeDocument/2006/relationships/hyperlink" Id="rId185" Target="https://doi.org/10.1017/S1755773913000246" TargetMode="External" /><Relationship Type="http://schemas.openxmlformats.org/officeDocument/2006/relationships/hyperlink" Id="rId85" Target="https://doi.org/10.1080/09692290.2021.1913440" TargetMode="External" /><Relationship Type="http://schemas.openxmlformats.org/officeDocument/2006/relationships/hyperlink" Id="rId156" Target="https://doi.org/10.1080/10705510701575396" TargetMode="External" /><Relationship Type="http://schemas.openxmlformats.org/officeDocument/2006/relationships/hyperlink" Id="rId146" Target="https://doi.org/10.1080/1350176032000059053" TargetMode="External" /><Relationship Type="http://schemas.openxmlformats.org/officeDocument/2006/relationships/hyperlink" Id="rId126" Target="https://doi.org/10.1080/13501763.2017.1310279" TargetMode="External" /><Relationship Type="http://schemas.openxmlformats.org/officeDocument/2006/relationships/hyperlink" Id="rId94" Target="https://doi.org/10.1080/13563467.2023.2215701" TargetMode="External" /><Relationship Type="http://schemas.openxmlformats.org/officeDocument/2006/relationships/hyperlink" Id="rId80" Target="https://doi.org/10.1093/acprof:oso/9780198787815.001.0001" TargetMode="External" /><Relationship Type="http://schemas.openxmlformats.org/officeDocument/2006/relationships/hyperlink" Id="rId115" Target="https://doi.org/10.1093/qje/qjab036" TargetMode="External" /><Relationship Type="http://schemas.openxmlformats.org/officeDocument/2006/relationships/hyperlink" Id="rId89" Target="https://doi.org/10.1093/ser/mwn018" TargetMode="External" /><Relationship Type="http://schemas.openxmlformats.org/officeDocument/2006/relationships/hyperlink" Id="rId169" Target="https://doi.org/10.1111/1475-6765.12259" TargetMode="External" /><Relationship Type="http://schemas.openxmlformats.org/officeDocument/2006/relationships/hyperlink" Id="rId190" Target="https://doi.org/10.1111/ajps.12743" TargetMode="External" /><Relationship Type="http://schemas.openxmlformats.org/officeDocument/2006/relationships/hyperlink" Id="rId140" Target="https://doi.org/10.1111/j.1475-6765.2006.00644.x" TargetMode="External" /><Relationship Type="http://schemas.openxmlformats.org/officeDocument/2006/relationships/hyperlink" Id="rId176" Target="https://doi.org/10.1111/spsr.12124" TargetMode="External" /><Relationship Type="http://schemas.openxmlformats.org/officeDocument/2006/relationships/hyperlink" Id="rId111" Target="https://doi.org/10.1177/0010414002250664" TargetMode="External" /><Relationship Type="http://schemas.openxmlformats.org/officeDocument/2006/relationships/hyperlink" Id="rId77" Target="https://doi.org/10.1177/002200947901400402" TargetMode="External" /><Relationship Type="http://schemas.openxmlformats.org/officeDocument/2006/relationships/hyperlink" Id="rId148" Target="https://doi.org/10.2202/1935-6226.1022" TargetMode="External" /><Relationship Type="http://schemas.openxmlformats.org/officeDocument/2006/relationships/hyperlink" Id="rId128" Target="https://doi.org/10.2307/1953494" TargetMode="External" /><Relationship Type="http://schemas.openxmlformats.org/officeDocument/2006/relationships/hyperlink" Id="rId132" Target="https://doi.org/10.2307/1962590" TargetMode="External" /><Relationship Type="http://schemas.openxmlformats.org/officeDocument/2006/relationships/hyperlink" Id="rId130" Target="https://doi.org/10.2307/j.ctv346rbz" TargetMode="External" /><Relationship Type="http://schemas.openxmlformats.org/officeDocument/2006/relationships/hyperlink" Id="rId102" Target="https://doi.org/10.23662/FORS-DS-688-2" TargetMode="External" /><Relationship Type="http://schemas.openxmlformats.org/officeDocument/2006/relationships/hyperlink" Id="rId134" Target="https://doi.org/10.3917/infle.020.0183" TargetMode="External" /><Relationship Type="http://schemas.openxmlformats.org/officeDocument/2006/relationships/hyperlink" Id="rId183" Target="https://doi.org/10.3917/socio.103.0243" TargetMode="External" /><Relationship Type="http://schemas.openxmlformats.org/officeDocument/2006/relationships/hyperlink" Id="rId82" Target="https://doi.org/10.4000/regulation.20350" TargetMode="External" /><Relationship Type="http://schemas.openxmlformats.org/officeDocument/2006/relationships/hyperlink" Id="rId91" Target="https://doi.org/10.4337/9781782549925.00015" TargetMode="External" /><Relationship Type="http://schemas.openxmlformats.org/officeDocument/2006/relationships/hyperlink" Id="rId123" Target="https://doi.org/10.48573/9EX9-FP54" TargetMode="External" /><Relationship Type="http://schemas.openxmlformats.org/officeDocument/2006/relationships/hyperlink" Id="rId188" Target="https://doi.org/10.48573/PCBM-2280" TargetMode="External" /><Relationship Type="http://schemas.openxmlformats.org/officeDocument/2006/relationships/hyperlink" Id="rId97" Target="https://doi.org/10.5169/seals-515017" TargetMode="External" /><Relationship Type="http://schemas.openxmlformats.org/officeDocument/2006/relationships/hyperlink" Id="rId154" Target="https://hdr.undp.org/content/human-development-report-2021-22" TargetMode="External" /><Relationship Type="http://schemas.openxmlformats.org/officeDocument/2006/relationships/hyperlink" Id="rId106" Target="https://oec.world/en/rankings/eci/hs6/hs96" TargetMode="External" /><Relationship Type="http://schemas.openxmlformats.org/officeDocument/2006/relationships/hyperlink" Id="rId109" Target="https://wid.world/wp-content/uploads/2021/03/WorldInequalityLab_WP2021_08_PoliticalCleavages_AustriaBelgiumNLSwitzerland.pdf" TargetMode="External" /><Relationship Type="http://schemas.openxmlformats.org/officeDocument/2006/relationships/hyperlink" Id="rId118" Target="https://www.avenir-suisse.ch/fr/7-bonnes-raisons-de-privatiser-lenergie/" TargetMode="External" /><Relationship Type="http://schemas.openxmlformats.org/officeDocument/2006/relationships/hyperlink" Id="rId181" Target="https://www.epflpress.org/produit/1421/9782889155279/politique-suisse" TargetMode="External" /><Relationship Type="http://schemas.openxmlformats.org/officeDocument/2006/relationships/hyperlink" Id="rId113" Target="https://www.letemps.ch/economie/gerhard-schwarz-une-suisse-neoliberale-cest-une-fake-news" TargetMode="External" /><Relationship Type="http://schemas.openxmlformats.org/officeDocument/2006/relationships/hyperlink" Id="rId120" Target="https://www.letemps.ch/suisse/la-vague-verte-s-est-brisee-sur-les-recifs-d-une-droite-revancharde" TargetMode="External" /><Relationship Type="http://schemas.openxmlformats.org/officeDocument/2006/relationships/hyperlink" Id="rId160" Target="https://www.oecd-ilibrary.org/economics/oecd-economic-surveys-switzerland-1992_eco_surveys-che-1992-en" TargetMode="External" /><Relationship Type="http://schemas.openxmlformats.org/officeDocument/2006/relationships/hyperlink" Id="rId162" Target="https://www.oecd-ilibrary.org/economics/oecd-economic-surveys-switzerland-2019_7e6fd372-en" TargetMode="External" /><Relationship Type="http://schemas.openxmlformats.org/officeDocument/2006/relationships/hyperlink" Id="rId164"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2023-11-30T16:23:16Z</dcterms:created>
  <dcterms:modified xsi:type="dcterms:W3CDTF">2023-11-30T16:23:16Z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