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4"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23" w:name="research-question-and-plan"/>
    <w:p>
      <w:pPr>
        <w:pStyle w:val="Heading2"/>
      </w:pPr>
      <w:r>
        <w:t xml:space="preserve">1.2 Research question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p>
      <w:pPr>
        <w:pStyle w:val="BodyText"/>
      </w:pPr>
      <w:r>
        <w:t xml:space="preserve">The next section presents the theoretical framework and concepts used in this essay and assesses the evolution of Switzerland’s political stability in the last decades. Then, the second section presents regression results of long-term voting outcomes for the main Swiss parties using the VoxIt cumulative dataset. Finally, the third section presents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23"/>
    <w:bookmarkEnd w:id="24"/>
    <w:bookmarkStart w:id="42" w:name="X15e5a5357cc6f012ed48dc9bf213cfc202c1e9e"/>
    <w:p>
      <w:pPr>
        <w:pStyle w:val="Heading1"/>
      </w:pPr>
      <w:r>
        <w:t xml:space="preserve">2. Theoretical framwork and political stability in Switzerland</w:t>
      </w:r>
    </w:p>
    <w:bookmarkStart w:id="25" w:name="X15fb4c6464421d92727d7cd025f86b0b72315f7"/>
    <w:p>
      <w:pPr>
        <w:pStyle w:val="Heading2"/>
      </w:pPr>
      <w:r>
        <w:t xml:space="preserve">2.1 Social blocs, political equilibrium and systemic crisis: concept definitions</w:t>
      </w:r>
    </w:p>
    <w:p>
      <w:pPr>
        <w:pStyle w:val="FirstParagraph"/>
      </w:pPr>
      <w:r>
        <w:t xml:space="preserve">The empirical work conducted here and in the following sections are extensively based on the neorealist approach developed by Amable and Palombarini</w:t>
      </w:r>
      <w:r>
        <w:t xml:space="preserve"> </w:t>
      </w:r>
      <w:r>
        <w:t xml:space="preserve">(2005, 2008)</w:t>
      </w:r>
      <w:r>
        <w:t xml:space="preserve">. 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5"/>
    <w:bookmarkStart w:id="35" w:name="X16a4aab65200b6c944f2903e71fef15201f880e"/>
    <w:p>
      <w:pPr>
        <w:pStyle w:val="Heading2"/>
      </w:pPr>
      <w:r>
        <w:t xml:space="preserve">2.2 Political stability in Switzerland: 1981-2016</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6"/>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30" w:name="fig-trust1"/>
          <w:p>
            <w:pPr>
              <w:jc w:val="center"/>
            </w:pPr>
            <w:r>
              <w:drawing>
                <wp:inline>
                  <wp:extent cx="4620126" cy="3696101"/>
                  <wp:effectExtent b="0" l="0" r="0" t="0"/>
                  <wp:docPr descr="" title="" id="28" name="Picture"/>
                  <a:graphic>
                    <a:graphicData uri="http://schemas.openxmlformats.org/drawingml/2006/picture">
                      <pic:pic>
                        <pic:nvPicPr>
                          <pic:cNvPr descr="part1_files/figure-docx/fig-trust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Share of people who report having confidence in the national government</w:t>
            </w:r>
          </w:p>
          <w:bookmarkEnd w:id="30"/>
        </w:tc>
      </w:tr>
    </w:tbl>
    <w:p>
      <w:pPr>
        <w:pStyle w:val="BodyText"/>
      </w:pPr>
      <w:hyperlink w:anchor="fig-trust1">
        <w:r>
          <w:rPr>
            <w:rStyle w:val="Hyperlink"/>
          </w:rPr>
          <w:t xml:space="preserve">Figure 2.1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2.1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4" w:name="fig-trust2"/>
          <w:p>
            <w:pPr>
              <w:jc w:val="center"/>
            </w:pPr>
            <w:r>
              <w:drawing>
                <wp:inline>
                  <wp:extent cx="4620126" cy="3696101"/>
                  <wp:effectExtent b="0" l="0" r="0" t="0"/>
                  <wp:docPr descr="" title="" id="32" name="Picture"/>
                  <a:graphic>
                    <a:graphicData uri="http://schemas.openxmlformats.org/drawingml/2006/picture">
                      <pic:pic>
                        <pic:nvPicPr>
                          <pic:cNvPr descr="part1_files/figure-docx/fig-trust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Share of Swiss respondent trusting the government: 1981-2016</w:t>
            </w:r>
          </w:p>
          <w:bookmarkEnd w:id="34"/>
        </w:tc>
      </w:tr>
    </w:tbl>
    <w:p>
      <w:pPr>
        <w:pStyle w:val="BodyText"/>
      </w:pPr>
      <w:hyperlink w:anchor="fig-trust2">
        <w:r>
          <w:rPr>
            <w:rStyle w:val="Hyperlink"/>
          </w:rPr>
          <w:t xml:space="preserve">Figure 2.2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2.2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2.2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2.2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bookmarkEnd w:id="35"/>
    <w:bookmarkStart w:id="41" w:name="X1146a52625e55c0ef43c9b0f3ea23ed6b1775f5"/>
    <w:p>
      <w:pPr>
        <w:pStyle w:val="Heading2"/>
      </w:pPr>
      <w:r>
        <w:t xml:space="preserve">2.3 Social blocs, socio-economic factors and voting outcomes in Switzerland</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Hybrid Swiss Model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often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Strength: 1918-2019</w:t>
            </w:r>
          </w:p>
          <w:bookmarkEnd w:id="39"/>
        </w:tc>
      </w:tr>
    </w:tbl>
    <w:p>
      <w:pPr>
        <w:pStyle w:val="BodyText"/>
      </w:pPr>
      <w:r>
        <w:t xml:space="preserve">In fact, all the Swiss traditional main parties, the Swiss Socialist Party (SSP) The Radical-Liberals (PLR) and the PDC, are in decline since the post-war period (see</w:t>
      </w:r>
      <w:r>
        <w:t xml:space="preserve"> </w:t>
      </w:r>
      <w:hyperlink w:anchor="fig-partystrength">
        <w:r>
          <w:rPr>
            <w:rStyle w:val="Hyperlink"/>
          </w:rPr>
          <w:t xml:space="preserve">Figure 2.3</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r>
        <w:rPr>
          <w:rStyle w:val="FootnoteReference"/>
        </w:rPr>
        <w:footnoteReference w:id="40"/>
      </w:r>
      <w:r>
        <w:t xml:space="preserve">.</w:t>
      </w:r>
    </w:p>
    <w:p>
      <w:pPr>
        <w:pStyle w:val="BodyText"/>
      </w:pPr>
      <w:r>
        <w:t xml:space="preserve">What is the social basis of the Swiss left, center-right and radical-right in the last decades? How are the support for the main Swiss social blocs influenced by socio-economic characteristics? The objective of this chapter is to explore the composition of the main Swiss social blocs in terms of socio-economic characteristics and assess their evolution in the last decades.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fresh and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while the right kept the support of the wealthiest. Piketty called the former bloc the</w:t>
      </w:r>
      <w:r>
        <w:t xml:space="preserve"> </w:t>
      </w:r>
      <w:r>
        <w:t xml:space="preserve">“</w:t>
      </w:r>
      <w:r>
        <w:t xml:space="preserve">brahmin left</w:t>
      </w:r>
      <w:r>
        <w:t xml:space="preserve">”</w:t>
      </w:r>
      <w:r>
        <w:t xml:space="preserve"> </w:t>
      </w:r>
      <w:r>
        <w:t xml:space="preserve">and the latter the</w:t>
      </w:r>
      <w:r>
        <w:t xml:space="preserve"> </w:t>
      </w:r>
      <w:r>
        <w:t xml:space="preserve">“</w:t>
      </w:r>
      <w: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which cuts across the traditional class conflict that Piketty calls the</w:t>
      </w:r>
      <w:r>
        <w:t xml:space="preserve"> </w:t>
      </w:r>
      <w:r>
        <w:t xml:space="preserve">“</w:t>
      </w:r>
      <w:r>
        <w:t xml:space="preserve">nativists-internationalists</w:t>
      </w:r>
      <w:r>
        <w:t xml:space="preserve">”</w:t>
      </w:r>
      <w:r>
        <w:t xml:space="preserve"> </w:t>
      </w:r>
      <w:r>
        <w:t xml:space="preserve">divide.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w:t>
      </w:r>
      <w:r>
        <w:t xml:space="preserve"> </w:t>
      </w: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In this context of multi-elite party system and multidimensional political divides, Switzerland is an interesting case study. A widespread idea claims that the class-based cleavage always played relatively a minor role in Switzerland. On the one hand, class conflict was always cut across a wide variety of other divides: religious, linguistic or regional. The religious divide between Protestants and Catholics, which was historically the most structuring conflict,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rural Catholics who opposed the centralization and modernization of the Swiss Confederation, and the victorious Radicals who were mainly Protestants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Swiss society and unite all its elements thanks to a higher goal: the modernization and centralization of the Swiss state. The</w:t>
      </w:r>
      <w:r>
        <w:t xml:space="preserve"> </w:t>
      </w:r>
      <w:r>
        <w:t xml:space="preserve">“</w:t>
      </w:r>
      <w:r>
        <w:t xml:space="preserve">Radical kaleidoscope</w:t>
      </w:r>
      <w:r>
        <w:t xml:space="preserve">”</w:t>
      </w:r>
      <w:r>
        <w:t xml:space="preserve"> </w:t>
      </w:r>
      <w:r>
        <w:t xml:space="preserve">was constituted by the working class through the Grütli Union and by an elite divided over the role of the Swiss state. The democrats were advocate of a more centralized and interventionist Swiss state than the liberal and</w:t>
      </w:r>
      <w:r>
        <w:t xml:space="preserve"> </w:t>
      </w:r>
      <w:r>
        <w:t xml:space="preserve">“</w:t>
      </w:r>
      <w:r>
        <w:t xml:space="preserve">manchesterian</w:t>
      </w:r>
      <w:r>
        <w:t xml:space="preserve">”</w:t>
      </w:r>
      <w:r>
        <w:t xml:space="preserve"> </w:t>
      </w:r>
      <w:r>
        <w:t xml:space="preserve">Radicals, who were more federalist and in favor of laissez-faire. As industrialization, proletarianization and unionization intensified in the late 19th, part of the working class and of the democrat branch joined or founded socialist organizations. In 1888, Albert Steck, a former Radical, founded the Swiss socialist party. The creation of the latter and of the Radical-democratic party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w:t>
      </w:r>
    </w:p>
    <w:bookmarkEnd w:id="41"/>
    <w:bookmarkEnd w:id="42"/>
    <w:bookmarkStart w:id="124" w:name="references"/>
    <w:p>
      <w:pPr>
        <w:pStyle w:val="Heading1"/>
      </w:pPr>
      <w:r>
        <w:t xml:space="preserve">References</w:t>
      </w:r>
    </w:p>
    <w:bookmarkStart w:id="123" w:name="refs"/>
    <w:bookmarkStart w:id="43"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3"/>
    <w:bookmarkStart w:id="45"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4">
        <w:r>
          <w:rPr>
            <w:rStyle w:val="Hyperlink"/>
          </w:rPr>
          <w:t xml:space="preserve">https://doi.org/10.1093/acprof:oso/9780198787815.001.0001</w:t>
        </w:r>
      </w:hyperlink>
      <w:r>
        <w:t xml:space="preserve">.</w:t>
      </w:r>
    </w:p>
    <w:bookmarkEnd w:id="45"/>
    <w:bookmarkStart w:id="47"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6">
        <w:r>
          <w:rPr>
            <w:rStyle w:val="Hyperlink"/>
          </w:rPr>
          <w:t xml:space="preserve">https://doi.org/10.4000/regulation.20350</w:t>
        </w:r>
      </w:hyperlink>
      <w:r>
        <w:t xml:space="preserve">.</w:t>
      </w:r>
    </w:p>
    <w:bookmarkEnd w:id="47"/>
    <w:bookmarkStart w:id="4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48"/>
    <w:bookmarkStart w:id="4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49"/>
    <w:bookmarkStart w:id="5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50">
        <w:r>
          <w:rPr>
            <w:rStyle w:val="Hyperlink"/>
          </w:rPr>
          <w:t xml:space="preserve">https://doi.org/10.1093/ser/mwn018</w:t>
        </w:r>
      </w:hyperlink>
      <w:r>
        <w:t xml:space="preserve">.</w:t>
      </w:r>
    </w:p>
    <w:bookmarkEnd w:id="51"/>
    <w:bookmarkStart w:id="52"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2"/>
    <w:bookmarkStart w:id="54"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53">
        <w:r>
          <w:rPr>
            <w:rStyle w:val="Hyperlink"/>
          </w:rPr>
          <w:t xml:space="preserve">https://doi.org/10.1080/13563467.2023.2215701</w:t>
        </w:r>
      </w:hyperlink>
      <w:r>
        <w:t xml:space="preserve">.</w:t>
      </w:r>
    </w:p>
    <w:bookmarkEnd w:id="54"/>
    <w:bookmarkStart w:id="55"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55"/>
    <w:bookmarkStart w:id="5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56">
        <w:r>
          <w:rPr>
            <w:rStyle w:val="Hyperlink"/>
          </w:rPr>
          <w:t xml:space="preserve">https://doi.org/10.5169/seals-515017</w:t>
        </w:r>
      </w:hyperlink>
      <w:r>
        <w:t xml:space="preserve">.</w:t>
      </w:r>
    </w:p>
    <w:bookmarkEnd w:id="57"/>
    <w:bookmarkStart w:id="59"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58">
        <w:r>
          <w:rPr>
            <w:rStyle w:val="Hyperlink"/>
          </w:rPr>
          <w:t xml:space="preserve">http://gen.lib.rus.ec/book/index.php?md5=ee123095cfe9fb8d6bcd03d6579a0705</w:t>
        </w:r>
      </w:hyperlink>
      <w:r>
        <w:t xml:space="preserve">.</w:t>
      </w:r>
    </w:p>
    <w:bookmarkEnd w:id="59"/>
    <w:bookmarkStart w:id="6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60"/>
    <w:bookmarkStart w:id="62"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61">
        <w:r>
          <w:rPr>
            <w:rStyle w:val="Hyperlink"/>
          </w:rPr>
          <w:t xml:space="preserve">https://doi.org/10.1002/j.1662-6370.1997.tb00198.x</w:t>
        </w:r>
      </w:hyperlink>
      <w:r>
        <w:t xml:space="preserve">.</w:t>
      </w:r>
    </w:p>
    <w:bookmarkEnd w:id="62"/>
    <w:bookmarkStart w:id="6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63">
        <w:r>
          <w:rPr>
            <w:rStyle w:val="Hyperlink"/>
          </w:rPr>
          <w:t xml:space="preserve">https://oec.world/en/rankings/eci/hs6/hs96</w:t>
        </w:r>
      </w:hyperlink>
      <w:r>
        <w:t xml:space="preserve">.</w:t>
      </w:r>
    </w:p>
    <w:bookmarkEnd w:id="64"/>
    <w:bookmarkStart w:id="6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65"/>
    <w:bookmarkStart w:id="67"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66">
        <w:r>
          <w:rPr>
            <w:rStyle w:val="Hyperlink"/>
          </w:rPr>
          <w:t xml:space="preserve">https://www.letemps.ch/suisse/elections-federales-le-centre-devancerait-le-plr-selon-le-dernier-barometre-ssr</w:t>
        </w:r>
      </w:hyperlink>
      <w:r>
        <w:t xml:space="preserve">.</w:t>
      </w:r>
    </w:p>
    <w:bookmarkEnd w:id="67"/>
    <w:bookmarkStart w:id="69"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68">
        <w:r>
          <w:rPr>
            <w:rStyle w:val="Hyperlink"/>
          </w:rPr>
          <w:t xml:space="preserve">https://doi.org/10.1177/0010414002250664</w:t>
        </w:r>
      </w:hyperlink>
      <w:r>
        <w:t xml:space="preserve">.</w:t>
      </w:r>
    </w:p>
    <w:bookmarkEnd w:id="69"/>
    <w:bookmarkStart w:id="71"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70">
        <w:r>
          <w:rPr>
            <w:rStyle w:val="Hyperlink"/>
          </w:rPr>
          <w:t xml:space="preserve">https://www.letemps.ch/economie/gerhard-schwarz-une-suisse-neoliberale-cest-une-fake-news</w:t>
        </w:r>
      </w:hyperlink>
      <w:r>
        <w:t xml:space="preserve">.</w:t>
      </w:r>
    </w:p>
    <w:bookmarkEnd w:id="71"/>
    <w:bookmarkStart w:id="72"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72"/>
    <w:bookmarkStart w:id="74"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73">
        <w:r>
          <w:rPr>
            <w:rStyle w:val="Hyperlink"/>
          </w:rPr>
          <w:t xml:space="preserve">https://www.avenir-suisse.ch/fr/7-bonnes-raisons-de-privatiser-lenergie/</w:t>
        </w:r>
      </w:hyperlink>
      <w:r>
        <w:t xml:space="preserve">.</w:t>
      </w:r>
    </w:p>
    <w:bookmarkEnd w:id="74"/>
    <w:bookmarkStart w:id="75"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75"/>
    <w:bookmarkStart w:id="76"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76"/>
    <w:bookmarkStart w:id="78"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77">
        <w:r>
          <w:rPr>
            <w:rStyle w:val="Hyperlink"/>
          </w:rPr>
          <w:t xml:space="preserve">https://doi.org/10.1080/13501763.2017.1310279</w:t>
        </w:r>
      </w:hyperlink>
      <w:r>
        <w:t xml:space="preserve">.</w:t>
      </w:r>
    </w:p>
    <w:bookmarkEnd w:id="78"/>
    <w:bookmarkStart w:id="80"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79">
        <w:r>
          <w:rPr>
            <w:rStyle w:val="Hyperlink"/>
          </w:rPr>
          <w:t xml:space="preserve">https://doi.org/10.2307/1953494</w:t>
        </w:r>
      </w:hyperlink>
      <w:r>
        <w:t xml:space="preserve">.</w:t>
      </w:r>
    </w:p>
    <w:bookmarkEnd w:id="80"/>
    <w:bookmarkStart w:id="82"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81">
        <w:r>
          <w:rPr>
            <w:rStyle w:val="Hyperlink"/>
          </w:rPr>
          <w:t xml:space="preserve">https://doi.org/10.2307/j.ctv346rbz</w:t>
        </w:r>
      </w:hyperlink>
      <w:r>
        <w:t xml:space="preserve">.</w:t>
      </w:r>
    </w:p>
    <w:bookmarkEnd w:id="82"/>
    <w:bookmarkStart w:id="84"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83">
        <w:r>
          <w:rPr>
            <w:rStyle w:val="Hyperlink"/>
          </w:rPr>
          <w:t xml:space="preserve">https://doi.org/10.2307/1962590</w:t>
        </w:r>
      </w:hyperlink>
      <w:r>
        <w:t xml:space="preserve">.</w:t>
      </w:r>
    </w:p>
    <w:bookmarkEnd w:id="84"/>
    <w:bookmarkStart w:id="85"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85"/>
    <w:bookmarkStart w:id="87"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86">
        <w:r>
          <w:rPr>
            <w:rStyle w:val="Hyperlink"/>
          </w:rPr>
          <w:t xml:space="preserve">http://gen.lib.rus.ec/book/index.php?md5=672bb6ec977ceddc83c745ffc8db0022</w:t>
        </w:r>
      </w:hyperlink>
      <w:r>
        <w:t xml:space="preserve">.</w:t>
      </w:r>
    </w:p>
    <w:bookmarkEnd w:id="87"/>
    <w:bookmarkStart w:id="89"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88">
        <w:r>
          <w:rPr>
            <w:rStyle w:val="Hyperlink"/>
          </w:rPr>
          <w:t xml:space="preserve">https://doi.org/10.1111/j.1475-6765.2006.00644.x</w:t>
        </w:r>
      </w:hyperlink>
      <w:r>
        <w:t xml:space="preserve">.</w:t>
      </w:r>
    </w:p>
    <w:bookmarkEnd w:id="89"/>
    <w:bookmarkStart w:id="91"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90">
        <w:r>
          <w:rPr>
            <w:rStyle w:val="Hyperlink"/>
          </w:rPr>
          <w:t xml:space="preserve">https://doi.org/10.1017/CBO9780511790720</w:t>
        </w:r>
      </w:hyperlink>
      <w:r>
        <w:t xml:space="preserve">.</w:t>
      </w:r>
    </w:p>
    <w:bookmarkEnd w:id="91"/>
    <w:bookmarkStart w:id="92"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92"/>
    <w:bookmarkStart w:id="94"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93">
        <w:r>
          <w:rPr>
            <w:rStyle w:val="Hyperlink"/>
          </w:rPr>
          <w:t xml:space="preserve">https://doi.org/10.1080/1350176032000059053</w:t>
        </w:r>
      </w:hyperlink>
      <w:r>
        <w:t xml:space="preserve">.</w:t>
      </w:r>
    </w:p>
    <w:bookmarkEnd w:id="94"/>
    <w:bookmarkStart w:id="96"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95">
        <w:r>
          <w:rPr>
            <w:rStyle w:val="Hyperlink"/>
          </w:rPr>
          <w:t xml:space="preserve">https://doi.org/10.2202/1935-6226.1022</w:t>
        </w:r>
      </w:hyperlink>
      <w:r>
        <w:t xml:space="preserve">.</w:t>
      </w:r>
    </w:p>
    <w:bookmarkEnd w:id="96"/>
    <w:bookmarkStart w:id="97"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97"/>
    <w:bookmarkStart w:id="98"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98"/>
    <w:bookmarkStart w:id="99"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99"/>
    <w:bookmarkStart w:id="101"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00">
        <w:r>
          <w:rPr>
            <w:rStyle w:val="Hyperlink"/>
          </w:rPr>
          <w:t xml:space="preserve">https://hdr.undp.org/content/human-development-report-2021-22</w:t>
        </w:r>
      </w:hyperlink>
      <w:r>
        <w:t xml:space="preserve">.</w:t>
      </w:r>
    </w:p>
    <w:bookmarkEnd w:id="101"/>
    <w:bookmarkStart w:id="103"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02">
        <w:r>
          <w:rPr>
            <w:rStyle w:val="Hyperlink"/>
          </w:rPr>
          <w:t xml:space="preserve">https://doi.org/10.1017/S0143814X98000129</w:t>
        </w:r>
      </w:hyperlink>
      <w:r>
        <w:t xml:space="preserve">.</w:t>
      </w:r>
    </w:p>
    <w:bookmarkEnd w:id="103"/>
    <w:bookmarkStart w:id="105"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04">
        <w:r>
          <w:rPr>
            <w:rStyle w:val="Hyperlink"/>
          </w:rPr>
          <w:t xml:space="preserve">https://www.oecd-ilibrary.org/economics/oecd-economic-surveys-switzerland-1992_eco_surveys-che-1992-en</w:t>
        </w:r>
      </w:hyperlink>
      <w:r>
        <w:t xml:space="preserve">.</w:t>
      </w:r>
    </w:p>
    <w:bookmarkEnd w:id="105"/>
    <w:bookmarkStart w:id="107"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06">
        <w:r>
          <w:rPr>
            <w:rStyle w:val="Hyperlink"/>
          </w:rPr>
          <w:t xml:space="preserve">https://www.oecd-ilibrary.org/economics/oecd-economic-surveys-switzerland-2019_7e6fd372-en</w:t>
        </w:r>
      </w:hyperlink>
      <w:r>
        <w:t xml:space="preserve">.</w:t>
      </w:r>
    </w:p>
    <w:bookmarkEnd w:id="107"/>
    <w:bookmarkStart w:id="109"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08">
        <w:r>
          <w:rPr>
            <w:rStyle w:val="Hyperlink"/>
          </w:rPr>
          <w:t xml:space="preserve">https://www.oecd-ilibrary.org/economics/oecd-economic-surveys-switzerland-2022_1fde6924-en</w:t>
        </w:r>
      </w:hyperlink>
      <w:r>
        <w:t xml:space="preserve">.</w:t>
      </w:r>
    </w:p>
    <w:bookmarkEnd w:id="109"/>
    <w:bookmarkStart w:id="110"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10"/>
    <w:bookmarkStart w:id="11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11"/>
    <w:bookmarkStart w:id="11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12"/>
    <w:bookmarkStart w:id="11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13"/>
    <w:bookmarkStart w:id="114" w:name="ref-piketty_capital_2019"/>
    <w:p>
      <w:pPr>
        <w:pStyle w:val="Bibliography"/>
      </w:pPr>
      <w:r>
        <w:t xml:space="preserve">———. 2019.</w:t>
      </w:r>
      <w:r>
        <w:t xml:space="preserve"> </w:t>
      </w:r>
      <w:r>
        <w:rPr>
          <w:iCs/>
          <w:i/>
        </w:rPr>
        <w:t xml:space="preserve">Capital Et Idéologie</w:t>
      </w:r>
      <w:r>
        <w:t xml:space="preserve">. Le Seuil.</w:t>
      </w:r>
    </w:p>
    <w:bookmarkEnd w:id="114"/>
    <w:bookmarkStart w:id="115" w:name="ref-ribeaud_quand_1998"/>
    <w:p>
      <w:pPr>
        <w:pStyle w:val="Bibliography"/>
      </w:pPr>
      <w:r>
        <w:t xml:space="preserve">Ribeaud, José. 1998.</w:t>
      </w:r>
      <w:r>
        <w:t xml:space="preserve"> </w:t>
      </w:r>
      <w:r>
        <w:rPr>
          <w:iCs/>
          <w:i/>
        </w:rPr>
        <w:t xml:space="preserve">Quand La Suisse Disparaîtra</w:t>
      </w:r>
      <w:r>
        <w:t xml:space="preserve">. Vevey: L’Aire.</w:t>
      </w:r>
    </w:p>
    <w:bookmarkEnd w:id="115"/>
    <w:bookmarkStart w:id="117"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16">
        <w:r>
          <w:rPr>
            <w:rStyle w:val="Hyperlink"/>
          </w:rPr>
          <w:t xml:space="preserve">https://www.epflpress.org/produit/1421/9782889155279/politique-suisse</w:t>
        </w:r>
      </w:hyperlink>
      <w:r>
        <w:t xml:space="preserve">.</w:t>
      </w:r>
    </w:p>
    <w:bookmarkEnd w:id="117"/>
    <w:bookmarkStart w:id="119"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18">
        <w:r>
          <w:rPr>
            <w:rStyle w:val="Hyperlink"/>
          </w:rPr>
          <w:t xml:space="preserve">https://doi.org/10.1017/S1755773913000246</w:t>
        </w:r>
      </w:hyperlink>
      <w:r>
        <w:t xml:space="preserve">.</w:t>
      </w:r>
    </w:p>
    <w:bookmarkEnd w:id="119"/>
    <w:bookmarkStart w:id="120"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20"/>
    <w:bookmarkStart w:id="122"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21">
        <w:r>
          <w:rPr>
            <w:rStyle w:val="Hyperlink"/>
          </w:rPr>
          <w:t xml:space="preserve">https://doi.org/10.1111/ajps.12743</w:t>
        </w:r>
      </w:hyperlink>
      <w:r>
        <w:t xml:space="preserve">.</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6">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40">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86" Target="http://gen.lib.rus.ec/book/index.php?md5=672bb6ec977ceddc83c745ffc8db0022" TargetMode="External" /><Relationship Type="http://schemas.openxmlformats.org/officeDocument/2006/relationships/hyperlink" Id="rId58" Target="http://gen.lib.rus.ec/book/index.php?md5=ee123095cfe9fb8d6bcd03d6579a0705" TargetMode="External" /><Relationship Type="http://schemas.openxmlformats.org/officeDocument/2006/relationships/hyperlink" Id="rId61" Target="https://doi.org/10.1002/j.1662-6370.1997.tb00198.x" TargetMode="External" /><Relationship Type="http://schemas.openxmlformats.org/officeDocument/2006/relationships/hyperlink" Id="rId90" Target="https://doi.org/10.1017/CBO9780511790720" TargetMode="External" /><Relationship Type="http://schemas.openxmlformats.org/officeDocument/2006/relationships/hyperlink" Id="rId102" Target="https://doi.org/10.1017/S0143814X98000129" TargetMode="External" /><Relationship Type="http://schemas.openxmlformats.org/officeDocument/2006/relationships/hyperlink" Id="rId118" Target="https://doi.org/10.1017/S1755773913000246" TargetMode="External" /><Relationship Type="http://schemas.openxmlformats.org/officeDocument/2006/relationships/hyperlink" Id="rId93" Target="https://doi.org/10.1080/1350176032000059053" TargetMode="External" /><Relationship Type="http://schemas.openxmlformats.org/officeDocument/2006/relationships/hyperlink" Id="rId77" Target="https://doi.org/10.1080/13501763.2017.1310279" TargetMode="External" /><Relationship Type="http://schemas.openxmlformats.org/officeDocument/2006/relationships/hyperlink" Id="rId53" Target="https://doi.org/10.1080/13563467.2023.2215701" TargetMode="External" /><Relationship Type="http://schemas.openxmlformats.org/officeDocument/2006/relationships/hyperlink" Id="rId44" Target="https://doi.org/10.1093/acprof:oso/9780198787815.001.0001" TargetMode="External" /><Relationship Type="http://schemas.openxmlformats.org/officeDocument/2006/relationships/hyperlink" Id="rId50" Target="https://doi.org/10.1093/ser/mwn018" TargetMode="External" /><Relationship Type="http://schemas.openxmlformats.org/officeDocument/2006/relationships/hyperlink" Id="rId121" Target="https://doi.org/10.1111/ajps.12743" TargetMode="External" /><Relationship Type="http://schemas.openxmlformats.org/officeDocument/2006/relationships/hyperlink" Id="rId88" Target="https://doi.org/10.1111/j.1475-6765.2006.00644.x" TargetMode="External" /><Relationship Type="http://schemas.openxmlformats.org/officeDocument/2006/relationships/hyperlink" Id="rId68" Target="https://doi.org/10.1177/0010414002250664" TargetMode="External" /><Relationship Type="http://schemas.openxmlformats.org/officeDocument/2006/relationships/hyperlink" Id="rId95" Target="https://doi.org/10.2202/1935-6226.1022" TargetMode="External" /><Relationship Type="http://schemas.openxmlformats.org/officeDocument/2006/relationships/hyperlink" Id="rId79" Target="https://doi.org/10.2307/1953494" TargetMode="External" /><Relationship Type="http://schemas.openxmlformats.org/officeDocument/2006/relationships/hyperlink" Id="rId83" Target="https://doi.org/10.2307/1962590" TargetMode="External" /><Relationship Type="http://schemas.openxmlformats.org/officeDocument/2006/relationships/hyperlink" Id="rId81" Target="https://doi.org/10.2307/j.ctv346rbz" TargetMode="External" /><Relationship Type="http://schemas.openxmlformats.org/officeDocument/2006/relationships/hyperlink" Id="rId46" Target="https://doi.org/10.4000/regulation.20350" TargetMode="External" /><Relationship Type="http://schemas.openxmlformats.org/officeDocument/2006/relationships/hyperlink" Id="rId56" Target="https://doi.org/10.5169/seals-515017" TargetMode="External" /><Relationship Type="http://schemas.openxmlformats.org/officeDocument/2006/relationships/hyperlink" Id="rId100" Target="https://hdr.undp.org/content/human-development-report-2021-22" TargetMode="External" /><Relationship Type="http://schemas.openxmlformats.org/officeDocument/2006/relationships/hyperlink" Id="rId63" Target="https://oec.world/en/rankings/eci/hs6/hs96" TargetMode="External" /><Relationship Type="http://schemas.openxmlformats.org/officeDocument/2006/relationships/hyperlink" Id="rId73" Target="https://www.avenir-suisse.ch/fr/7-bonnes-raisons-de-privatiser-lenergie/" TargetMode="External" /><Relationship Type="http://schemas.openxmlformats.org/officeDocument/2006/relationships/hyperlink" Id="rId116" Target="https://www.epflpress.org/produit/1421/9782889155279/politique-suisse" TargetMode="External" /><Relationship Type="http://schemas.openxmlformats.org/officeDocument/2006/relationships/hyperlink" Id="rId70" Target="https://www.letemps.ch/economie/gerhard-schwarz-une-suisse-neoliberale-cest-une-fake-news" TargetMode="External" /><Relationship Type="http://schemas.openxmlformats.org/officeDocument/2006/relationships/hyperlink" Id="rId66" Target="https://www.letemps.ch/suisse/elections-federales-le-centre-devancerait-le-plr-selon-le-dernier-barometre-ssr" TargetMode="External" /><Relationship Type="http://schemas.openxmlformats.org/officeDocument/2006/relationships/hyperlink" Id="rId104" Target="https://www.oecd-ilibrary.org/economics/oecd-economic-surveys-switzerland-1992_eco_surveys-che-1992-en" TargetMode="External" /><Relationship Type="http://schemas.openxmlformats.org/officeDocument/2006/relationships/hyperlink" Id="rId106" Target="https://www.oecd-ilibrary.org/economics/oecd-economic-surveys-switzerland-2019_7e6fd372-en" TargetMode="External" /><Relationship Type="http://schemas.openxmlformats.org/officeDocument/2006/relationships/hyperlink" Id="rId108"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86" Target="http://gen.lib.rus.ec/book/index.php?md5=672bb6ec977ceddc83c745ffc8db0022" TargetMode="External" /><Relationship Type="http://schemas.openxmlformats.org/officeDocument/2006/relationships/hyperlink" Id="rId58" Target="http://gen.lib.rus.ec/book/index.php?md5=ee123095cfe9fb8d6bcd03d6579a0705" TargetMode="External" /><Relationship Type="http://schemas.openxmlformats.org/officeDocument/2006/relationships/hyperlink" Id="rId61" Target="https://doi.org/10.1002/j.1662-6370.1997.tb00198.x" TargetMode="External" /><Relationship Type="http://schemas.openxmlformats.org/officeDocument/2006/relationships/hyperlink" Id="rId90" Target="https://doi.org/10.1017/CBO9780511790720" TargetMode="External" /><Relationship Type="http://schemas.openxmlformats.org/officeDocument/2006/relationships/hyperlink" Id="rId102" Target="https://doi.org/10.1017/S0143814X98000129" TargetMode="External" /><Relationship Type="http://schemas.openxmlformats.org/officeDocument/2006/relationships/hyperlink" Id="rId118" Target="https://doi.org/10.1017/S1755773913000246" TargetMode="External" /><Relationship Type="http://schemas.openxmlformats.org/officeDocument/2006/relationships/hyperlink" Id="rId93" Target="https://doi.org/10.1080/1350176032000059053" TargetMode="External" /><Relationship Type="http://schemas.openxmlformats.org/officeDocument/2006/relationships/hyperlink" Id="rId77" Target="https://doi.org/10.1080/13501763.2017.1310279" TargetMode="External" /><Relationship Type="http://schemas.openxmlformats.org/officeDocument/2006/relationships/hyperlink" Id="rId53" Target="https://doi.org/10.1080/13563467.2023.2215701" TargetMode="External" /><Relationship Type="http://schemas.openxmlformats.org/officeDocument/2006/relationships/hyperlink" Id="rId44" Target="https://doi.org/10.1093/acprof:oso/9780198787815.001.0001" TargetMode="External" /><Relationship Type="http://schemas.openxmlformats.org/officeDocument/2006/relationships/hyperlink" Id="rId50" Target="https://doi.org/10.1093/ser/mwn018" TargetMode="External" /><Relationship Type="http://schemas.openxmlformats.org/officeDocument/2006/relationships/hyperlink" Id="rId121" Target="https://doi.org/10.1111/ajps.12743" TargetMode="External" /><Relationship Type="http://schemas.openxmlformats.org/officeDocument/2006/relationships/hyperlink" Id="rId88" Target="https://doi.org/10.1111/j.1475-6765.2006.00644.x" TargetMode="External" /><Relationship Type="http://schemas.openxmlformats.org/officeDocument/2006/relationships/hyperlink" Id="rId68" Target="https://doi.org/10.1177/0010414002250664" TargetMode="External" /><Relationship Type="http://schemas.openxmlformats.org/officeDocument/2006/relationships/hyperlink" Id="rId95" Target="https://doi.org/10.2202/1935-6226.1022" TargetMode="External" /><Relationship Type="http://schemas.openxmlformats.org/officeDocument/2006/relationships/hyperlink" Id="rId79" Target="https://doi.org/10.2307/1953494" TargetMode="External" /><Relationship Type="http://schemas.openxmlformats.org/officeDocument/2006/relationships/hyperlink" Id="rId83" Target="https://doi.org/10.2307/1962590" TargetMode="External" /><Relationship Type="http://schemas.openxmlformats.org/officeDocument/2006/relationships/hyperlink" Id="rId81" Target="https://doi.org/10.2307/j.ctv346rbz" TargetMode="External" /><Relationship Type="http://schemas.openxmlformats.org/officeDocument/2006/relationships/hyperlink" Id="rId46" Target="https://doi.org/10.4000/regulation.20350" TargetMode="External" /><Relationship Type="http://schemas.openxmlformats.org/officeDocument/2006/relationships/hyperlink" Id="rId56" Target="https://doi.org/10.5169/seals-515017" TargetMode="External" /><Relationship Type="http://schemas.openxmlformats.org/officeDocument/2006/relationships/hyperlink" Id="rId100" Target="https://hdr.undp.org/content/human-development-report-2021-22" TargetMode="External" /><Relationship Type="http://schemas.openxmlformats.org/officeDocument/2006/relationships/hyperlink" Id="rId63" Target="https://oec.world/en/rankings/eci/hs6/hs96" TargetMode="External" /><Relationship Type="http://schemas.openxmlformats.org/officeDocument/2006/relationships/hyperlink" Id="rId73" Target="https://www.avenir-suisse.ch/fr/7-bonnes-raisons-de-privatiser-lenergie/" TargetMode="External" /><Relationship Type="http://schemas.openxmlformats.org/officeDocument/2006/relationships/hyperlink" Id="rId116" Target="https://www.epflpress.org/produit/1421/9782889155279/politique-suisse" TargetMode="External" /><Relationship Type="http://schemas.openxmlformats.org/officeDocument/2006/relationships/hyperlink" Id="rId70" Target="https://www.letemps.ch/economie/gerhard-schwarz-une-suisse-neoliberale-cest-une-fake-news" TargetMode="External" /><Relationship Type="http://schemas.openxmlformats.org/officeDocument/2006/relationships/hyperlink" Id="rId66" Target="https://www.letemps.ch/suisse/elections-federales-le-centre-devancerait-le-plr-selon-le-dernier-barometre-ssr" TargetMode="External" /><Relationship Type="http://schemas.openxmlformats.org/officeDocument/2006/relationships/hyperlink" Id="rId104" Target="https://www.oecd-ilibrary.org/economics/oecd-economic-surveys-switzerland-1992_eco_surveys-che-1992-en" TargetMode="External" /><Relationship Type="http://schemas.openxmlformats.org/officeDocument/2006/relationships/hyperlink" Id="rId106" Target="https://www.oecd-ilibrary.org/economics/oecd-economic-surveys-switzerland-2019_7e6fd372-en" TargetMode="External" /><Relationship Type="http://schemas.openxmlformats.org/officeDocument/2006/relationships/hyperlink" Id="rId108"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2023-10-27T19:54:33Z</dcterms:created>
  <dcterms:modified xsi:type="dcterms:W3CDTF">2023-10-27T19:54:33Z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