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33"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direct democracy and its multiple veto points, the country underwent important institutional, economic, as well as political change in the last decades. The Swiss model of capitalism is also difficult to classify in the varieties of capitalism (VoC) framework.</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(Andre 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In fact, small domestic markets, international competitive pressure and the structural weakness of small states make the latter likely to develop some forms of</w:t>
      </w:r>
      <w:r>
        <w:t xml:space="preserve"> </w:t>
      </w:r>
      <w:r>
        <w:t xml:space="preserve">“</w:t>
      </w:r>
      <w:r>
        <w:t xml:space="preserve">democratic corporatism</w:t>
      </w:r>
      <w:r>
        <w:t xml:space="preserve">”</w:t>
      </w:r>
      <w:r>
        <w:t xml:space="preserve">.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large internationalized public sectors.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(André 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nonetheless far from complete and was met with some resistance.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thank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the first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my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w:t>
      </w:r>
    </w:p>
    <w:p>
      <w:pPr>
        <w:pStyle w:val="BodyText"/>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in the last decades? Is this social base stable enough to complete this transformation? 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approach of institutional change, neorealism, developed by Amable and Palombarini</w:t>
      </w:r>
      <w:r>
        <w:t xml:space="preserve"> </w:t>
      </w:r>
      <w:r>
        <w:t xml:space="preserve">(2005; 2008)</w:t>
      </w:r>
      <w:r>
        <w:t xml:space="preserve">. 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 In fact, since a whole analysis of the Swiss case from a neorealist approach by far outflanks the scope of a master thesis, the latter will be limited to (1) identifying the periods of political stability and crises of the Swiss model; (2) conduct an empirical analysis of the links between socio-economic factors and voting outcomes and (3) perform an identification of the main Swiss social blocs and their evolution since the 1970s.</w:t>
      </w:r>
    </w:p>
    <w:bookmarkEnd w:id="22"/>
    <w:bookmarkStart w:id="32" w:name="X059d07fdfd255c563ab08032d2bfc2afa51eff3"/>
    <w:p>
      <w:pPr>
        <w:pStyle w:val="Heading2"/>
      </w:pPr>
      <w:r>
        <w:t xml:space="preserve">1.2 Political stability and crises in Switzerland</w:t>
      </w:r>
    </w:p>
    <w:p>
      <w:pPr>
        <w:pStyle w:val="FirstParagraph"/>
      </w:pPr>
      <w:r>
        <w:t xml:space="preserve">The first step towards a neorealist analysis of Switzerland is to assess the country’s socio-political stability. Relatively to Italy and France, which underwent deep periods of political crisis in the last decades, Switzerland’s political stability is rather remarkable.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3"/>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7" w:name="fig-trust1"/>
          <w:p>
            <w:pPr>
              <w:jc w:val="center"/>
            </w:pPr>
            <w:r>
              <w:drawing>
                <wp:inline>
                  <wp:extent cx="4620126" cy="3696101"/>
                  <wp:effectExtent b="0" l="0" r="0" t="0"/>
                  <wp:docPr descr="" title="" id="25" name="Picture"/>
                  <a:graphic>
                    <a:graphicData uri="http://schemas.openxmlformats.org/drawingml/2006/picture">
                      <pic:pic>
                        <pic:nvPicPr>
                          <pic:cNvPr descr="intro_files/figure-docx/fig-trust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7"/>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p>
    <w:p>
      <w:pPr>
        <w:pStyle w:val="BodyText"/>
      </w:pPr>
      <w:r>
        <w:t xml:space="preserve">The origins of the Italian crisis goes back to 1992 after the break-up of the dominant social bloc (DBS). The latter, constituted by an alliance between small and large firms, the public sector, and classes dependent on transfers and rent (the employees of the large industries being excluded from the DBS) was made possible and sustained by the growth of the public debt which temporarily satisfied the heterogeneous demand of the DBS, but collapsed due to internal contradictions and public debt reduction policy. Various strategies conducted by Italian politicians tried to consolidate a new DBS, but with mixed results</w:t>
      </w:r>
      <w:r>
        <w:t xml:space="preserve"> </w:t>
      </w:r>
      <w:r>
        <w:t xml:space="preserve">(Palombarini 2001; Bruno Amable, Guillaud, and Palombarini 2012)</w:t>
      </w:r>
      <w:r>
        <w:t xml:space="preserve">.</w:t>
      </w:r>
    </w:p>
    <w:p>
      <w:pPr>
        <w:pStyle w:val="BodyText"/>
      </w:pPr>
      <w:r>
        <w:t xml:space="preserve">In France, the crisis started with the instability of the traditional left and right blocs, which were subject to internal contradictions. European integration divided the left bloc in half, while right-wing political strategies were unable to satisfy both its popular and bourgeois elements. The crisis was partially resolved with the successful strategy of Macron to gather both the bourgeois groups of the left and right blocs in a new DBS, the</w:t>
      </w:r>
      <w:r>
        <w:t xml:space="preserve"> </w:t>
      </w:r>
      <w:r>
        <w:rPr>
          <w:iCs/>
          <w:i/>
        </w:rPr>
        <w:t xml:space="preserve">bourgeois bloc</w:t>
      </w:r>
      <w:r>
        <w:t xml:space="preserve">, which is nonetheless unstable and fragile because of its restricted size</w:t>
      </w:r>
      <w:r>
        <w:t xml:space="preserve"> </w:t>
      </w:r>
      <w:r>
        <w:t xml:space="preserve">(Bruno Amable and Palombarini 2018)</w:t>
      </w:r>
      <w:r>
        <w:t xml:space="preserve">.</w:t>
      </w:r>
    </w:p>
    <w:p>
      <w:pPr>
        <w:pStyle w:val="BodyText"/>
      </w:pPr>
      <w:r>
        <w:t xml:space="preserve">However, other data sources show a more contrasted history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1.1</w:t>
        </w:r>
      </w:hyperlink>
      <w:r>
        <w:t xml:space="preserve"> </w:t>
      </w:r>
      <w:r>
        <w:t xml:space="preserve">can thus be made to have a precise focus on Switzerland:</w:t>
      </w:r>
    </w:p>
    <w:tbl>
      <w:tblPr>
        <w:tblStyle w:val="Table"/>
        <w:tblW w:type="pct" w:w="5000"/>
        <w:tblLook w:firstRow="0" w:lastRow="0" w:firstColumn="0" w:lastColumn="0" w:noHBand="0" w:noVBand="0" w:val="0000"/>
        <w:jc w:val="start"/>
      </w:tblPr>
      <w:tblGrid>
        <w:gridCol w:w="7920"/>
      </w:tblGrid>
      <w:tr>
        <w:tc>
          <w:tcPr/>
          <w:bookmarkStart w:id="31" w:name="fig-trust2"/>
          <w:p>
            <w:pPr>
              <w:jc w:val="center"/>
            </w:pPr>
            <w:r>
              <w:drawing>
                <wp:inline>
                  <wp:extent cx="4620126" cy="3696101"/>
                  <wp:effectExtent b="0" l="0" r="0" t="0"/>
                  <wp:docPr descr="" title="" id="29" name="Picture"/>
                  <a:graphic>
                    <a:graphicData uri="http://schemas.openxmlformats.org/drawingml/2006/picture">
                      <pic:pic>
                        <pic:nvPicPr>
                          <pic:cNvPr descr="intro_files/figure-docx/fig-trust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w:t>
            </w:r>
          </w:p>
          <w:bookmarkEnd w:id="31"/>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depicts also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 lost confidence in almost all political institutions and organization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The Eizenstat rapport (1997) and the Bergier commission (1996) destabilized further the coutry by revealing the sinister role of the Swiss government and banks during World War II</w:t>
      </w:r>
      <w:r>
        <w:t xml:space="preserve"> </w:t>
      </w:r>
      <w:r>
        <w:t xml:space="preserve">(Ribeaud 1998; Boschetti 2007)</w:t>
      </w:r>
      <w:r>
        <w:t xml:space="preserve">.</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Swiss Socialist Party (SSP) and the traditional right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neoliberal transformation of the HSM was also followed by important political change, that some authors interpreted as various forms of latent political crises. The Swiss political scene is still marked by the rise of the Swiss People Party (SVP), one of the most successful far-right populist parties in Europe. The electoral success of the SVP is associated with the destabilization of the traditional right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 In fact, all the Swiss traditional main parties, the Swiss Socialist Party (SSP) The Liberals (PLR) and the Christian Democratic People’s Party of Switzerland (PDC), are in decline since the post-war period. On the right, the crisis can be seen through the increase in party merges and party re-configurations. In 2008, the Bourgeois Democratic Party (PBD) was created after a scission from the SVP. One year later, the Radical-Democratic party merged with the liberals to create the FDP. The PBD, whose creation disturbed the composition of the reputed unchangeable federal council, then merged with the PDC to create</w:t>
      </w:r>
      <w:r>
        <w:t xml:space="preserve"> </w:t>
      </w:r>
      <w:r>
        <w:rPr>
          <w:iCs/>
          <w:i/>
        </w:rPr>
        <w:t xml:space="preserve">Le Centre</w:t>
      </w:r>
      <w:r>
        <w:t xml:space="preserve"> </w:t>
      </w:r>
      <w:r>
        <w:t xml:space="preserve">in 2021. The latter could led to major political change in the 2023 federal elections since the polls predict that this party could surpass the PLR in vote share and thus take another seat in the federal council, at the expense of the PLR, which created the Swiss political system and used to dominate Swiss politics in the 19th and 20th century</w:t>
      </w:r>
      <w:r>
        <w:t xml:space="preserve"> </w:t>
      </w:r>
      <w:r>
        <w:t xml:space="preserve">(</w:t>
      </w:r>
      <w:r>
        <w:t xml:space="preserve">“Elections fédérales: le Centre devancerait le</w:t>
      </w:r>
      <w:r>
        <w:t xml:space="preserve"> </w:t>
      </w:r>
      <w:r>
        <w:t xml:space="preserve">PLR</w:t>
      </w:r>
      <w:r>
        <w:t xml:space="preserve">, selon le dernier baromètre de la</w:t>
      </w:r>
      <w:r>
        <w:t xml:space="preserve"> </w:t>
      </w:r>
      <w:r>
        <w:t xml:space="preserve">SSR</w:t>
      </w:r>
      <w:r>
        <w:t xml:space="preserve"> </w:t>
      </w:r>
      <w:r>
        <w:t xml:space="preserve">- Le Temps”</w:t>
      </w:r>
      <w:r>
        <w:t xml:space="preserve"> </w:t>
      </w:r>
      <w:r>
        <w:t xml:space="preserve">2023)</w:t>
      </w:r>
      <w:r>
        <w:t xml:space="preserve">.</w:t>
      </w:r>
    </w:p>
    <w:bookmarkEnd w:id="32"/>
    <w:bookmarkEnd w:id="33"/>
    <w:bookmarkStart w:id="74" w:name="references"/>
    <w:p>
      <w:pPr>
        <w:pStyle w:val="Heading1"/>
      </w:pPr>
      <w:r>
        <w:t xml:space="preserve">References</w:t>
      </w:r>
    </w:p>
    <w:bookmarkStart w:id="73" w:name="refs"/>
    <w:bookmarkStart w:id="35" w:name="ref-amable_neorealist_2008"/>
    <w:p>
      <w:pPr>
        <w:pStyle w:val="Bibliography"/>
      </w:pPr>
      <w:r>
        <w:t xml:space="preserve">Amable, B., and S. Palombarini.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34">
        <w:r>
          <w:rPr>
            <w:rStyle w:val="Hyperlink"/>
          </w:rPr>
          <w:t xml:space="preserve">https://doi.org/10.1093/ser/mwn018</w:t>
        </w:r>
      </w:hyperlink>
      <w:r>
        <w:t xml:space="preserve">.</w:t>
      </w:r>
    </w:p>
    <w:bookmarkEnd w:id="35"/>
    <w:bookmarkStart w:id="36"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36"/>
    <w:bookmarkStart w:id="37"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37"/>
    <w:bookmarkStart w:id="38"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38"/>
    <w:bookmarkStart w:id="40"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39">
        <w:r>
          <w:rPr>
            <w:rStyle w:val="Hyperlink"/>
          </w:rPr>
          <w:t xml:space="preserve">https://doi.org/10.5169/seals-515017</w:t>
        </w:r>
      </w:hyperlink>
      <w:r>
        <w:t xml:space="preserve">.</w:t>
      </w:r>
    </w:p>
    <w:bookmarkEnd w:id="40"/>
    <w:bookmarkStart w:id="41"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41"/>
    <w:bookmarkStart w:id="42"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1–113.</w:t>
      </w:r>
    </w:p>
    <w:bookmarkEnd w:id="42"/>
    <w:bookmarkStart w:id="44"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43">
        <w:r>
          <w:rPr>
            <w:rStyle w:val="Hyperlink"/>
          </w:rPr>
          <w:t xml:space="preserve">https://oec.world/en/rankings/eci/hs6/hs96</w:t>
        </w:r>
      </w:hyperlink>
      <w:r>
        <w:t xml:space="preserve">.</w:t>
      </w:r>
    </w:p>
    <w:bookmarkEnd w:id="44"/>
    <w:bookmarkStart w:id="45"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45"/>
    <w:bookmarkStart w:id="47" w:name="ref-noauthor_elections_2023"/>
    <w:p>
      <w:pPr>
        <w:pStyle w:val="Bibliography"/>
      </w:pPr>
      <w:r>
        <w:t xml:space="preserve">“Elections fédérales: le Centre devancerait le</w:t>
      </w:r>
      <w:r>
        <w:t xml:space="preserve"> </w:t>
      </w:r>
      <w:r>
        <w:t xml:space="preserve">PLR</w:t>
      </w:r>
      <w:r>
        <w:t xml:space="preserve">, selon le dernier baromètre de la</w:t>
      </w:r>
      <w:r>
        <w:t xml:space="preserve"> </w:t>
      </w:r>
      <w:r>
        <w:t xml:space="preserve">SSR</w:t>
      </w:r>
      <w:r>
        <w:t xml:space="preserve"> </w:t>
      </w:r>
      <w:r>
        <w:t xml:space="preserve">- Le Temps.”</w:t>
      </w:r>
      <w:r>
        <w:t xml:space="preserve"> </w:t>
      </w:r>
      <w:r>
        <w:t xml:space="preserve">2023, September.</w:t>
      </w:r>
      <w:r>
        <w:t xml:space="preserve"> </w:t>
      </w:r>
      <w:hyperlink r:id="rId46">
        <w:r>
          <w:rPr>
            <w:rStyle w:val="Hyperlink"/>
          </w:rPr>
          <w:t xml:space="preserve">https://www.letemps.ch/suisse/elections-federales-le-centre-devancerait-le-plr-selon-le-dernier-barometre-ssr</w:t>
        </w:r>
      </w:hyperlink>
      <w:r>
        <w:t xml:space="preserve">.</w:t>
      </w:r>
    </w:p>
    <w:bookmarkEnd w:id="47"/>
    <w:bookmarkStart w:id="49"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48">
        <w:r>
          <w:rPr>
            <w:rStyle w:val="Hyperlink"/>
          </w:rPr>
          <w:t xml:space="preserve">https://www.letemps.ch/economie/gerhard-schwarz-une-suisse-neoliberale-cest-une-fake-news</w:t>
        </w:r>
      </w:hyperlink>
      <w:r>
        <w:t xml:space="preserve">.</w:t>
      </w:r>
    </w:p>
    <w:bookmarkEnd w:id="49"/>
    <w:bookmarkStart w:id="51"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50">
        <w:r>
          <w:rPr>
            <w:rStyle w:val="Hyperlink"/>
          </w:rPr>
          <w:t xml:space="preserve">https://www.avenir-suisse.ch/fr/7-bonnes-raisons-de-privatiser-lenergie/</w:t>
        </w:r>
      </w:hyperlink>
      <w:r>
        <w:t xml:space="preserve">.</w:t>
      </w:r>
    </w:p>
    <w:bookmarkEnd w:id="51"/>
    <w:bookmarkStart w:id="52"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52"/>
    <w:bookmarkStart w:id="53"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53"/>
    <w:bookmarkStart w:id="54"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54"/>
    <w:bookmarkStart w:id="55"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55"/>
    <w:bookmarkStart w:id="57"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56">
        <w:r>
          <w:rPr>
            <w:rStyle w:val="Hyperlink"/>
          </w:rPr>
          <w:t xml:space="preserve">https://doi.org/10.1080/1350176032000059053</w:t>
        </w:r>
      </w:hyperlink>
      <w:r>
        <w:t xml:space="preserve">.</w:t>
      </w:r>
    </w:p>
    <w:bookmarkEnd w:id="57"/>
    <w:bookmarkStart w:id="59"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58">
        <w:r>
          <w:rPr>
            <w:rStyle w:val="Hyperlink"/>
          </w:rPr>
          <w:t xml:space="preserve">https://doi.org/10.2202/1935-6226.1022</w:t>
        </w:r>
      </w:hyperlink>
      <w:r>
        <w:t xml:space="preserve">.</w:t>
      </w:r>
    </w:p>
    <w:bookmarkEnd w:id="59"/>
    <w:bookmarkStart w:id="60"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60"/>
    <w:bookmarkStart w:id="62"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61">
        <w:r>
          <w:rPr>
            <w:rStyle w:val="Hyperlink"/>
          </w:rPr>
          <w:t xml:space="preserve">https://hdr.undp.org/content/human-development-report-2021-22</w:t>
        </w:r>
      </w:hyperlink>
      <w:r>
        <w:t xml:space="preserve">.</w:t>
      </w:r>
    </w:p>
    <w:bookmarkEnd w:id="62"/>
    <w:bookmarkStart w:id="64"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63">
        <w:r>
          <w:rPr>
            <w:rStyle w:val="Hyperlink"/>
          </w:rPr>
          <w:t xml:space="preserve">https://doi.org/10.1017/S0143814X98000129</w:t>
        </w:r>
      </w:hyperlink>
      <w:r>
        <w:t xml:space="preserve">.</w:t>
      </w:r>
    </w:p>
    <w:bookmarkEnd w:id="64"/>
    <w:bookmarkStart w:id="66" w:name="ref-oecd_oecd_2019"/>
    <w:p>
      <w:pPr>
        <w:pStyle w:val="Bibliography"/>
      </w:pPr>
      <w:r>
        <w:t xml:space="preserve">OECD.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65">
        <w:r>
          <w:rPr>
            <w:rStyle w:val="Hyperlink"/>
          </w:rPr>
          <w:t xml:space="preserve">https://www.oecd-ilibrary.org/economics/oecd-economic-surveys-switzerland-2019_7e6fd372-en</w:t>
        </w:r>
      </w:hyperlink>
      <w:r>
        <w:t xml:space="preserve">.</w:t>
      </w:r>
    </w:p>
    <w:bookmarkEnd w:id="66"/>
    <w:bookmarkStart w:id="68"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67">
        <w:r>
          <w:rPr>
            <w:rStyle w:val="Hyperlink"/>
          </w:rPr>
          <w:t xml:space="preserve">https://www.oecd-ilibrary.org/economics/oecd-economic-surveys-switzerland-2022_1fde6924-en</w:t>
        </w:r>
      </w:hyperlink>
      <w:r>
        <w:t xml:space="preserve">.</w:t>
      </w:r>
    </w:p>
    <w:bookmarkEnd w:id="68"/>
    <w:bookmarkStart w:id="69"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69"/>
    <w:bookmarkStart w:id="70"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70"/>
    <w:bookmarkStart w:id="71" w:name="ref-ribeaud_quand_1998"/>
    <w:p>
      <w:pPr>
        <w:pStyle w:val="Bibliography"/>
      </w:pPr>
      <w:r>
        <w:t xml:space="preserve">Ribeaud, José. 1998.</w:t>
      </w:r>
      <w:r>
        <w:t xml:space="preserve"> </w:t>
      </w:r>
      <w:r>
        <w:rPr>
          <w:iCs/>
          <w:i/>
        </w:rPr>
        <w:t xml:space="preserve">Quand La Suisse Disparaîtra</w:t>
      </w:r>
      <w:r>
        <w:t xml:space="preserve">. Vevey: L’Aire.</w:t>
      </w:r>
    </w:p>
    <w:bookmarkEnd w:id="71"/>
    <w:bookmarkStart w:id="72"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 w:id="23">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63" Target="https://doi.org/10.1017/S0143814X98000129" TargetMode="External" /><Relationship Type="http://schemas.openxmlformats.org/officeDocument/2006/relationships/hyperlink" Id="rId56" Target="https://doi.org/10.1080/1350176032000059053" TargetMode="External" /><Relationship Type="http://schemas.openxmlformats.org/officeDocument/2006/relationships/hyperlink" Id="rId34" Target="https://doi.org/10.1093/ser/mwn018" TargetMode="External" /><Relationship Type="http://schemas.openxmlformats.org/officeDocument/2006/relationships/hyperlink" Id="rId58" Target="https://doi.org/10.2202/1935-6226.1022" TargetMode="External" /><Relationship Type="http://schemas.openxmlformats.org/officeDocument/2006/relationships/hyperlink" Id="rId39" Target="https://doi.org/10.5169/seals-515017" TargetMode="External" /><Relationship Type="http://schemas.openxmlformats.org/officeDocument/2006/relationships/hyperlink" Id="rId61" Target="https://hdr.undp.org/content/human-development-report-2021-22" TargetMode="External" /><Relationship Type="http://schemas.openxmlformats.org/officeDocument/2006/relationships/hyperlink" Id="rId43" Target="https://oec.world/en/rankings/eci/hs6/hs96" TargetMode="External" /><Relationship Type="http://schemas.openxmlformats.org/officeDocument/2006/relationships/hyperlink" Id="rId50" Target="https://www.avenir-suisse.ch/fr/7-bonnes-raisons-de-privatiser-lenergie/" TargetMode="External" /><Relationship Type="http://schemas.openxmlformats.org/officeDocument/2006/relationships/hyperlink" Id="rId48" Target="https://www.letemps.ch/economie/gerhard-schwarz-une-suisse-neoliberale-cest-une-fake-news" TargetMode="External" /><Relationship Type="http://schemas.openxmlformats.org/officeDocument/2006/relationships/hyperlink" Id="rId46" Target="https://www.letemps.ch/suisse/elections-federales-le-centre-devancerait-le-plr-selon-le-dernier-barometre-ssr" TargetMode="External" /><Relationship Type="http://schemas.openxmlformats.org/officeDocument/2006/relationships/hyperlink" Id="rId65" Target="https://www.oecd-ilibrary.org/economics/oecd-economic-surveys-switzerland-2019_7e6fd372-en" TargetMode="External" /><Relationship Type="http://schemas.openxmlformats.org/officeDocument/2006/relationships/hyperlink" Id="rId67"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17/S0143814X98000129" TargetMode="External" /><Relationship Type="http://schemas.openxmlformats.org/officeDocument/2006/relationships/hyperlink" Id="rId56" Target="https://doi.org/10.1080/1350176032000059053" TargetMode="External" /><Relationship Type="http://schemas.openxmlformats.org/officeDocument/2006/relationships/hyperlink" Id="rId34" Target="https://doi.org/10.1093/ser/mwn018" TargetMode="External" /><Relationship Type="http://schemas.openxmlformats.org/officeDocument/2006/relationships/hyperlink" Id="rId58" Target="https://doi.org/10.2202/1935-6226.1022" TargetMode="External" /><Relationship Type="http://schemas.openxmlformats.org/officeDocument/2006/relationships/hyperlink" Id="rId39" Target="https://doi.org/10.5169/seals-515017" TargetMode="External" /><Relationship Type="http://schemas.openxmlformats.org/officeDocument/2006/relationships/hyperlink" Id="rId61" Target="https://hdr.undp.org/content/human-development-report-2021-22" TargetMode="External" /><Relationship Type="http://schemas.openxmlformats.org/officeDocument/2006/relationships/hyperlink" Id="rId43" Target="https://oec.world/en/rankings/eci/hs6/hs96" TargetMode="External" /><Relationship Type="http://schemas.openxmlformats.org/officeDocument/2006/relationships/hyperlink" Id="rId50" Target="https://www.avenir-suisse.ch/fr/7-bonnes-raisons-de-privatiser-lenergie/" TargetMode="External" /><Relationship Type="http://schemas.openxmlformats.org/officeDocument/2006/relationships/hyperlink" Id="rId48" Target="https://www.letemps.ch/economie/gerhard-schwarz-une-suisse-neoliberale-cest-une-fake-news" TargetMode="External" /><Relationship Type="http://schemas.openxmlformats.org/officeDocument/2006/relationships/hyperlink" Id="rId46" Target="https://www.letemps.ch/suisse/elections-federales-le-centre-devancerait-le-plr-selon-le-dernier-barometre-ssr" TargetMode="External" /><Relationship Type="http://schemas.openxmlformats.org/officeDocument/2006/relationships/hyperlink" Id="rId65" Target="https://www.oecd-ilibrary.org/economics/oecd-economic-surveys-switzerland-2019_7e6fd372-en" TargetMode="External" /><Relationship Type="http://schemas.openxmlformats.org/officeDocument/2006/relationships/hyperlink" Id="rId67"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2023-10-16T11:18:19Z</dcterms:created>
  <dcterms:modified xsi:type="dcterms:W3CDTF">2023-10-16T11:18:19Z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