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2" w:name="introduction"/>
    <w:p>
      <w:pPr>
        <w:pStyle w:val="Heading1"/>
      </w:pPr>
      <w:r>
        <w:t xml:space="preserve">1. Introduction</w:t>
      </w:r>
    </w:p>
    <w:p>
      <w:pPr>
        <w:pStyle w:val="FirstParagraph"/>
      </w:pPr>
      <w:r>
        <w:t xml:space="preserve">Switzerland represents an interesting case study for the analysis of institutional change. Despite some widespread</w:t>
      </w:r>
      <w:r>
        <w:t xml:space="preserve"> </w:t>
      </w:r>
      <w:r>
        <w:rPr>
          <w:iCs/>
          <w:i/>
        </w:rPr>
        <w:t xml:space="preserve">clichés</w:t>
      </w:r>
      <w:r>
        <w:t xml:space="preserve">, such as the supposed slowness and rigidity of the Swiss political system, the country experienced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typically ranked Switzerland among the coordinated market economies (CMEs). Despite the structural weakness of the Swiss federal state, the low density of labor union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characterized by self-regulation by private actors with minimal legal framework, protection and</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The reforms went from competitive policies such as the</w:t>
      </w:r>
      <w:r>
        <w:t xml:space="preserve"> </w:t>
      </w:r>
      <w:r>
        <w:rPr>
          <w:iCs/>
          <w:i/>
        </w:rPr>
        <w:t xml:space="preserve">Swiss Cartel Act</w:t>
      </w:r>
      <w:r>
        <w:t xml:space="preserve"> </w:t>
      </w:r>
      <w:r>
        <w:t xml:space="preserve">(</w:t>
      </w:r>
      <w:r>
        <w:t xml:space="preserve">“</w:t>
      </w:r>
      <w:r>
        <w:t xml:space="preserve">Carta</w:t>
      </w:r>
      <w:r>
        <w:t xml:space="preserve">”</w:t>
      </w:r>
      <w:r>
        <w:t xml:space="preserve">) of 1995, which aimed at limiting or even suppressing cartels and to strengthen competition, to privatizations like the partial privatization of the PTT (</w:t>
      </w:r>
      <w:r>
        <w:rPr>
          <w:iCs/>
          <w:i/>
        </w:rPr>
        <w:t xml:space="preserve">Poste, téléphone et télégraphe</w:t>
      </w:r>
      <w:r>
        <w:t xml:space="preserve">) in the late 1980s. Regarding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among other reforms, marked the beginning of the convergence of the so-called traditional</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Swiss financial and corporate governance system towards the liberal Anglo-Saxon model</w:t>
      </w:r>
      <w:r>
        <w:t xml:space="preserve"> </w:t>
      </w:r>
      <w:r>
        <w:t xml:space="preserve">(David, Mach, and Schnyder 2015)</w:t>
      </w:r>
      <w:r>
        <w:t xml:space="preserve">.</w:t>
      </w:r>
    </w:p>
    <w:p>
      <w:pPr>
        <w:pStyle w:val="BodyText"/>
      </w:pPr>
      <w:r>
        <w:t xml:space="preserve">The neoliberal transformation of the Swiss socio-economic model is nonetheless far from complete and has met some resistance, according to some observers. For instance, the waves of privatization encountered some resistance in the energy sector since the</w:t>
      </w:r>
      <w:r>
        <w:t xml:space="preserve"> </w:t>
      </w:r>
      <w:r>
        <w:rPr>
          <w:iCs/>
          <w:i/>
        </w:rPr>
        <w:t xml:space="preserve">law on the electricity market</w:t>
      </w:r>
      <w:r>
        <w:t xml:space="preserve"> </w:t>
      </w:r>
      <w:r>
        <w:t xml:space="preserve">was rejected through popular vote in 2002. The future of the Swiss energy sector, which remains largely public, is subject to heated debates given the deterioration of international context since the Covid crisis and the war in Ukraine</w:t>
      </w:r>
      <w:r>
        <w:rPr>
          <w:rStyle w:val="FootnoteReference"/>
        </w:rPr>
        <w:footnoteReference w:id="21"/>
      </w:r>
      <w:r>
        <w:t xml:space="preserve">.</w:t>
      </w:r>
    </w:p>
    <w:p>
      <w:pPr>
        <w:pStyle w:val="BodyText"/>
      </w:pPr>
      <w:r>
        <w:t xml:space="preserve">On the one hand,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co-author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The Swiss political scene is still marked by the rise of the Swiss People Party (SVP), one of the most successful far-right populist parties in Europe. The electoral success of the SVP is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and comprehensive investigation of the political economy of institutional change in Switzerland. Far from the normative approach of mainstream economics, for which structural reforms simply constitute the sole and evident path towards its ideal model of perfect competition purged from rigidities, the methods and theory employed here are extensively based on the political economy approach of institutional change developed by Amable and Palombarini</w:t>
      </w:r>
      <w:r>
        <w:t xml:space="preserve"> </w:t>
      </w:r>
      <w:r>
        <w:t xml:space="preserve">(2005; 2008)</w:t>
      </w:r>
      <w:r>
        <w:t xml:space="preserve">.</w:t>
      </w:r>
    </w:p>
    <w:p>
      <w:pPr>
        <w:pStyle w:val="BodyText"/>
      </w:pPr>
      <w:r>
        <w:t xml:space="preserve">After assessing the political and economic stability of the Swiss socio-economic model in the last decades, an empirical analysis of the structure and evolution of the Swiss social blocs since the 90s will be conducted in two parts. On the one hand, a long-run analysis of voting outcomes depending on socio-economic characteristics is conducted. The objective is to identify the social structure of the support for each main Swiss party and how the latter evolved from the 1980s to the 2020s. This part offers the opportunity to test findings of the literature about the links between socio-demographic characteristics, voting outcomes and political cleavages.</w:t>
      </w:r>
    </w:p>
    <w:bookmarkEnd w:id="22"/>
    <w:bookmarkStart w:id="47" w:name="references"/>
    <w:p>
      <w:pPr>
        <w:pStyle w:val="Heading1"/>
      </w:pPr>
      <w:r>
        <w:t xml:space="preserve">References</w:t>
      </w:r>
    </w:p>
    <w:bookmarkStart w:id="46" w:name="refs"/>
    <w:bookmarkStart w:id="24"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23">
        <w:r>
          <w:rPr>
            <w:rStyle w:val="Hyperlink"/>
          </w:rPr>
          <w:t xml:space="preserve">https://doi.org/10.1093/ser/mwn018</w:t>
        </w:r>
      </w:hyperlink>
      <w:r>
        <w:t xml:space="preserve">.</w:t>
      </w:r>
    </w:p>
    <w:bookmarkEnd w:id="24"/>
    <w:bookmarkStart w:id="25"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25"/>
    <w:bookmarkStart w:id="27"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26">
        <w:r>
          <w:rPr>
            <w:rStyle w:val="Hyperlink"/>
          </w:rPr>
          <w:t xml:space="preserve">https://doi.org/10.5169/seals-515017</w:t>
        </w:r>
      </w:hyperlink>
      <w:r>
        <w:t xml:space="preserve">.</w:t>
      </w:r>
    </w:p>
    <w:bookmarkEnd w:id="27"/>
    <w:bookmarkStart w:id="28"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28"/>
    <w:bookmarkStart w:id="29"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29"/>
    <w:bookmarkStart w:id="31"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30">
        <w:r>
          <w:rPr>
            <w:rStyle w:val="Hyperlink"/>
          </w:rPr>
          <w:t xml:space="preserve">https://www.letemps.ch/economie/gerhard-schwarz-une-suisse-neoliberale-cest-une-fake-news</w:t>
        </w:r>
      </w:hyperlink>
      <w:r>
        <w:t xml:space="preserve">.</w:t>
      </w:r>
    </w:p>
    <w:bookmarkEnd w:id="31"/>
    <w:bookmarkStart w:id="33"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32">
        <w:r>
          <w:rPr>
            <w:rStyle w:val="Hyperlink"/>
          </w:rPr>
          <w:t xml:space="preserve">https://www.avenir-suisse.ch/fr/7-bonnes-raisons-de-privatiser-lenergie/</w:t>
        </w:r>
      </w:hyperlink>
      <w:r>
        <w:t xml:space="preserve">.</w:t>
      </w:r>
    </w:p>
    <w:bookmarkEnd w:id="33"/>
    <w:bookmarkStart w:id="34"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34"/>
    <w:bookmarkStart w:id="35"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35"/>
    <w:bookmarkStart w:id="36"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36"/>
    <w:bookmarkStart w:id="37"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37"/>
    <w:bookmarkStart w:id="39"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38">
        <w:r>
          <w:rPr>
            <w:rStyle w:val="Hyperlink"/>
          </w:rPr>
          <w:t xml:space="preserve">https://doi.org/10.2202/1935-6226.1022</w:t>
        </w:r>
      </w:hyperlink>
      <w:r>
        <w:t xml:space="preserve">.</w:t>
      </w:r>
    </w:p>
    <w:bookmarkEnd w:id="39"/>
    <w:bookmarkStart w:id="40"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40"/>
    <w:bookmarkStart w:id="42"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41">
        <w:r>
          <w:rPr>
            <w:rStyle w:val="Hyperlink"/>
          </w:rPr>
          <w:t xml:space="preserve">https://doi.org/10.1017/S0143814X98000129</w:t>
        </w:r>
      </w:hyperlink>
      <w:r>
        <w:t xml:space="preserve">.</w:t>
      </w:r>
    </w:p>
    <w:bookmarkEnd w:id="42"/>
    <w:bookmarkStart w:id="44" w:name="ref-oecd_oecd_2022"/>
    <w:p>
      <w:pPr>
        <w:pStyle w:val="Bibliography"/>
      </w:pPr>
      <w:r>
        <w:t xml:space="preserve">OECD.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43">
        <w:r>
          <w:rPr>
            <w:rStyle w:val="Hyperlink"/>
          </w:rPr>
          <w:t xml:space="preserve">https://www.oecd-ilibrary.org/economics/oecd-economic-surveys-switzerland-2022_1fde6924-en</w:t>
        </w:r>
      </w:hyperlink>
      <w:r>
        <w:t xml:space="preserve">.</w:t>
      </w:r>
    </w:p>
    <w:bookmarkEnd w:id="44"/>
    <w:bookmarkStart w:id="45"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7/S0143814X98000129" TargetMode="External" /><Relationship Type="http://schemas.openxmlformats.org/officeDocument/2006/relationships/hyperlink" Id="rId23" Target="https://doi.org/10.1093/ser/mwn018" TargetMode="External" /><Relationship Type="http://schemas.openxmlformats.org/officeDocument/2006/relationships/hyperlink" Id="rId38" Target="https://doi.org/10.2202/1935-6226.1022" TargetMode="External" /><Relationship Type="http://schemas.openxmlformats.org/officeDocument/2006/relationships/hyperlink" Id="rId26" Target="https://doi.org/10.5169/seals-515017" TargetMode="External" /><Relationship Type="http://schemas.openxmlformats.org/officeDocument/2006/relationships/hyperlink" Id="rId32" Target="https://www.avenir-suisse.ch/fr/7-bonnes-raisons-de-privatiser-lenergie/" TargetMode="External" /><Relationship Type="http://schemas.openxmlformats.org/officeDocument/2006/relationships/hyperlink" Id="rId30" Target="https://www.letemps.ch/economie/gerhard-schwarz-une-suisse-neoliberale-cest-une-fake-news" TargetMode="External" /><Relationship Type="http://schemas.openxmlformats.org/officeDocument/2006/relationships/hyperlink" Id="rId43"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7/S0143814X98000129" TargetMode="External" /><Relationship Type="http://schemas.openxmlformats.org/officeDocument/2006/relationships/hyperlink" Id="rId23" Target="https://doi.org/10.1093/ser/mwn018" TargetMode="External" /><Relationship Type="http://schemas.openxmlformats.org/officeDocument/2006/relationships/hyperlink" Id="rId38" Target="https://doi.org/10.2202/1935-6226.1022" TargetMode="External" /><Relationship Type="http://schemas.openxmlformats.org/officeDocument/2006/relationships/hyperlink" Id="rId26" Target="https://doi.org/10.5169/seals-515017" TargetMode="External" /><Relationship Type="http://schemas.openxmlformats.org/officeDocument/2006/relationships/hyperlink" Id="rId32" Target="https://www.avenir-suisse.ch/fr/7-bonnes-raisons-de-privatiser-lenergie/" TargetMode="External" /><Relationship Type="http://schemas.openxmlformats.org/officeDocument/2006/relationships/hyperlink" Id="rId30" Target="https://www.letemps.ch/economie/gerhard-schwarz-une-suisse-neoliberale-cest-une-fake-news" TargetMode="External" /><Relationship Type="http://schemas.openxmlformats.org/officeDocument/2006/relationships/hyperlink" Id="rId43"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2023-10-10T15:10:54Z</dcterms:created>
  <dcterms:modified xsi:type="dcterms:W3CDTF">2023-10-10T15:10:54Z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