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33"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w:t>
      </w:r>
      <w:r>
        <w:t xml:space="preserve"> </w:t>
      </w:r>
      <w:r>
        <w:rPr>
          <w:iCs/>
          <w:i/>
        </w:rPr>
        <w:t xml:space="preserve">clichés</w:t>
      </w:r>
      <w:r>
        <w:t xml:space="preserve">, such as the supposed slowness and rigidity of the Swiss political system, the country experienced important institutional, economic, as well as political change in the last decades. The Swiss model of capitalism is also difficult to classify in the varieties of capitalism (VoC) framework.</w:t>
      </w:r>
      <w:r>
        <w:t xml:space="preserve"> </w:t>
      </w:r>
      <w:r>
        <w:t xml:space="preserve">Hall and Soskice (2001)</w:t>
      </w:r>
      <w:r>
        <w:t xml:space="preserve"> </w:t>
      </w:r>
      <w:r>
        <w:t xml:space="preserve">typically ranked Switzerland among the coordinated market economies (CMEs). Despite the structural weakness of the Swiss federal state, the low density of labor union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characterized by self-regulation by private actors with minimal legal framework, protection and</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In fact, small domestic markets, international competitive pressure and the structural weakness of small states make the latter likely to develop some forms of</w:t>
      </w:r>
      <w:r>
        <w:t xml:space="preserve"> </w:t>
      </w:r>
      <w:r>
        <w:t xml:space="preserve">“</w:t>
      </w:r>
      <w:r>
        <w:t xml:space="preserve">democratic corporatism</w:t>
      </w:r>
      <w:r>
        <w:t xml:space="preserve">”</w:t>
      </w:r>
      <w:r>
        <w:t xml:space="preserve">.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The reforms went from competitive policies such as the</w:t>
      </w:r>
      <w:r>
        <w:t xml:space="preserve"> </w:t>
      </w:r>
      <w:r>
        <w:rPr>
          <w:iCs/>
          <w:i/>
        </w:rPr>
        <w:t xml:space="preserve">Swiss Cartel Act</w:t>
      </w:r>
      <w:r>
        <w:t xml:space="preserve"> </w:t>
      </w:r>
      <w:r>
        <w:t xml:space="preserve">(</w:t>
      </w:r>
      <w:r>
        <w:t xml:space="preserve">“</w:t>
      </w:r>
      <w:r>
        <w:t xml:space="preserve">Carta</w:t>
      </w:r>
      <w:r>
        <w:t xml:space="preserve">”</w:t>
      </w:r>
      <w:r>
        <w:t xml:space="preserve">) of 1995, which aimed at limiting or even suppressing cartels and to strengthen competition, to privatizations like the partial privatization of the PTT (</w:t>
      </w:r>
      <w:r>
        <w:rPr>
          <w:iCs/>
          <w:i/>
        </w:rPr>
        <w:t xml:space="preserve">Poste, téléphone et télégraphe</w:t>
      </w:r>
      <w:r>
        <w:t xml:space="preserve">) in the late 1980s. Regarding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among other reforms, marked the beginning of the convergence of the so-called traditional</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Swiss financial and corporate governance system towards the liberal Anglo-Saxon model</w:t>
      </w:r>
      <w:r>
        <w:t xml:space="preserve"> </w:t>
      </w:r>
      <w:r>
        <w:t xml:space="preserve">(David, Mach, and Schnyder 2015)</w:t>
      </w:r>
      <w:r>
        <w:t xml:space="preserve">.</w:t>
      </w:r>
    </w:p>
    <w:p>
      <w:pPr>
        <w:pStyle w:val="BodyText"/>
      </w:pPr>
      <w:r>
        <w:t xml:space="preserve">The neoliberal transformation of the Swiss socio-economic model is nonetheless far from complete and has met some resistance, according to some observers. For instance, the waves of privatization encountered some resistance in the energy sector since the</w:t>
      </w:r>
      <w:r>
        <w:t xml:space="preserve"> </w:t>
      </w:r>
      <w:r>
        <w:rPr>
          <w:iCs/>
          <w:i/>
        </w:rPr>
        <w:t xml:space="preserve">law on the electricity market</w:t>
      </w:r>
      <w:r>
        <w:t xml:space="preserve"> </w:t>
      </w:r>
      <w:r>
        <w:t xml:space="preserve">was rejected through popular vote in 2002. The future of the Swiss energy sector, which remains largely public, is subject to heated debates given the deterioration of international context since the Covid crisis and the war in Ukraine</w:t>
      </w:r>
      <w:r>
        <w:rPr>
          <w:rStyle w:val="FootnoteReference"/>
        </w:rPr>
        <w:footnoteReference w:id="21"/>
      </w:r>
      <w:r>
        <w:t xml:space="preserve">.</w:t>
      </w:r>
    </w:p>
    <w:p>
      <w:pPr>
        <w:pStyle w:val="BodyText"/>
      </w:pPr>
      <w:r>
        <w:t xml:space="preserve">On the one hand, the Swiss advocates of neoliberalism are still unsatisfied with the progress of the reforms and are keen on underlying the remaining rigidities of the Swiss Hybrid Model. In that respect, Gerhard Schwarz, director of the neoliberal think thank</w:t>
      </w:r>
      <w:r>
        <w:t xml:space="preserve"> </w:t>
      </w:r>
      <w:r>
        <w:rPr>
          <w:iCs/>
          <w:i/>
        </w:rPr>
        <w:t xml:space="preserve">Avenir Suisse</w:t>
      </w:r>
      <w:r>
        <w:t xml:space="preserve"> </w:t>
      </w:r>
      <w:r>
        <w:t xml:space="preserve">between 2011 and 2015, and co-author of the so-called</w:t>
      </w:r>
      <w:r>
        <w:t xml:space="preserve"> </w:t>
      </w:r>
      <w:r>
        <w:t xml:space="preserve">“</w:t>
      </w:r>
      <w:r>
        <w:t xml:space="preserve">white books</w:t>
      </w:r>
      <w:r>
        <w:t xml:space="preserve">”</w:t>
      </w:r>
      <w:r>
        <w:t xml:space="preserve">, which were the first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my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Swiss Socialist Party (SSP) and the traditional right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neoliberal transformation of the HSM was also followed by important political change. The Swiss political scene is still marked by the rise of the Swiss People Party (SVP), one of the most successful far-right populist parties in Europe. The electoral success of the SVP is associated with the destabilization of the traditional right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p>
      <w:pPr>
        <w:pStyle w:val="BodyText"/>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in the last decades? Is this social base stable enough to complete this transformation? The aim of this essay is to conduct an analysis which would constitute a first step into a broader and comprehensive investigation of the political economy of institutional change in Switzerland. Far from the normative approach of mainstream economics, for which structural reforms simply constitute the sole and evident path towards its ideal model of perfect competition purged from rigidities, the methods and theory employed here are extensively based on the political economy approach of institutional change, neorealism, developed by Amable and Palombarini</w:t>
      </w:r>
      <w:r>
        <w:t xml:space="preserve"> </w:t>
      </w:r>
      <w:r>
        <w:t xml:space="preserve">(2005; 2008)</w:t>
      </w:r>
      <w:r>
        <w:t xml:space="preserve">. 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 In fact, since a whole analysis of the Swiss case from a neorealist approach by far outflanks the scope of a master thesis, the latter will be limited to (1) identifying the periods of political stability and crises of the Swiss model; (2) conduct an empirical analysis of the links between socio-economic factors and voting outcomes and (3) perform an identification of the main Swiss social blocs and their evolution since the 1970s.</w:t>
      </w:r>
    </w:p>
    <w:bookmarkEnd w:id="22"/>
    <w:bookmarkStart w:id="32" w:name="X059d07fdfd255c563ab08032d2bfc2afa51eff3"/>
    <w:p>
      <w:pPr>
        <w:pStyle w:val="Heading2"/>
      </w:pPr>
      <w:r>
        <w:t xml:space="preserve">1.2 Political stability and crises in Switzerland</w:t>
      </w:r>
    </w:p>
    <w:p>
      <w:pPr>
        <w:pStyle w:val="FirstParagraph"/>
      </w:pPr>
      <w:r>
        <w:t xml:space="preserve">The first step towards a neorealist analysis of Switzerland is to assess the country’s socio-political stability. Relatively to Italy and France, which underwent deep periods of political crisis in the last decades, Switzerland’s political stability is rather remarkable.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3"/>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7" w:name="fig-trust1"/>
          <w:p>
            <w:pPr>
              <w:jc w:val="center"/>
            </w:pPr>
            <w:r>
              <w:drawing>
                <wp:inline>
                  <wp:extent cx="4620126" cy="3696101"/>
                  <wp:effectExtent b="0" l="0" r="0" t="0"/>
                  <wp:docPr descr="" title="" id="25" name="Picture"/>
                  <a:graphic>
                    <a:graphicData uri="http://schemas.openxmlformats.org/drawingml/2006/picture">
                      <pic:pic>
                        <pic:nvPicPr>
                          <pic:cNvPr descr="intro_files/figure-docx/fig-trust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 Data source: OECD</w:t>
            </w:r>
          </w:p>
          <w:bookmarkEnd w:id="27"/>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 The origins of the Italian crisis goes back to 1992, when the the dominant social bloc (DBS) constituted by an alliance between small and large firms, the public sector and classes dependent on transfers (the employees of the large industries being excluded from the DBS) broke-up</w:t>
      </w:r>
      <w:r>
        <w:t xml:space="preserve"> </w:t>
      </w:r>
      <w:r>
        <w:t xml:space="preserve">(Palombarini 2001)</w:t>
      </w:r>
      <w:r>
        <w:t xml:space="preserve">. In France, the crisis corresponds to the instability of the traditional left and right blocs until their final collapse and the rise of a</w:t>
      </w:r>
      <w:r>
        <w:t xml:space="preserve"> </w:t>
      </w:r>
      <w:r>
        <w:rPr>
          <w:iCs/>
          <w:i/>
        </w:rPr>
        <w:t xml:space="preserve">bourgeois bloc</w:t>
      </w:r>
      <w:r>
        <w:t xml:space="preserve"> </w:t>
      </w:r>
      <w:r>
        <w:t xml:space="preserve">in the 2017 elections.</w:t>
      </w:r>
    </w:p>
    <w:tbl>
      <w:tblPr>
        <w:tblStyle w:val="Table"/>
        <w:tblW w:type="pct" w:w="5000"/>
        <w:tblLook w:firstRow="0" w:lastRow="0" w:firstColumn="0" w:lastColumn="0" w:noHBand="0" w:noVBand="0" w:val="0000"/>
        <w:jc w:val="start"/>
      </w:tblPr>
      <w:tblGrid>
        <w:gridCol w:w="7920"/>
      </w:tblGrid>
      <w:tr>
        <w:tc>
          <w:tcPr/>
          <w:bookmarkStart w:id="31" w:name="fig-trust2"/>
          <w:p>
            <w:pPr>
              <w:jc w:val="center"/>
            </w:pPr>
            <w:r>
              <w:drawing>
                <wp:inline>
                  <wp:extent cx="4620126" cy="3696101"/>
                  <wp:effectExtent b="0" l="0" r="0" t="0"/>
                  <wp:docPr descr="" title="" id="29" name="Picture"/>
                  <a:graphic>
                    <a:graphicData uri="http://schemas.openxmlformats.org/drawingml/2006/picture">
                      <pic:pic>
                        <pic:nvPicPr>
                          <pic:cNvPr descr="intro_files/figure-docx/fig-trust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95% error bars. Data source: Voxit</w:t>
            </w:r>
          </w:p>
          <w:bookmarkEnd w:id="31"/>
        </w:tc>
      </w:tr>
    </w:tbl>
    <w:bookmarkEnd w:id="32"/>
    <w:bookmarkEnd w:id="33"/>
    <w:bookmarkStart w:id="65" w:name="references"/>
    <w:p>
      <w:pPr>
        <w:pStyle w:val="Heading1"/>
      </w:pPr>
      <w:r>
        <w:t xml:space="preserve">References</w:t>
      </w:r>
    </w:p>
    <w:bookmarkStart w:id="64" w:name="refs"/>
    <w:bookmarkStart w:id="35" w:name="ref-amable_neorealist_2008"/>
    <w:p>
      <w:pPr>
        <w:pStyle w:val="Bibliography"/>
      </w:pPr>
      <w:r>
        <w:t xml:space="preserve">Amable, B., and S. Palombarini.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34">
        <w:r>
          <w:rPr>
            <w:rStyle w:val="Hyperlink"/>
          </w:rPr>
          <w:t xml:space="preserve">https://doi.org/10.1093/ser/mwn018</w:t>
        </w:r>
      </w:hyperlink>
      <w:r>
        <w:t xml:space="preserve">.</w:t>
      </w:r>
    </w:p>
    <w:bookmarkEnd w:id="35"/>
    <w:bookmarkStart w:id="36"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36"/>
    <w:bookmarkStart w:id="38"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37">
        <w:r>
          <w:rPr>
            <w:rStyle w:val="Hyperlink"/>
          </w:rPr>
          <w:t xml:space="preserve">https://doi.org/10.5169/seals-515017</w:t>
        </w:r>
      </w:hyperlink>
      <w:r>
        <w:t xml:space="preserve">.</w:t>
      </w:r>
    </w:p>
    <w:bookmarkEnd w:id="38"/>
    <w:bookmarkStart w:id="39"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39"/>
    <w:bookmarkStart w:id="41"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40">
        <w:r>
          <w:rPr>
            <w:rStyle w:val="Hyperlink"/>
          </w:rPr>
          <w:t xml:space="preserve">https://oec.world/en/rankings/eci/hs6/hs96</w:t>
        </w:r>
      </w:hyperlink>
      <w:r>
        <w:t xml:space="preserve">.</w:t>
      </w:r>
    </w:p>
    <w:bookmarkEnd w:id="41"/>
    <w:bookmarkStart w:id="42"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42"/>
    <w:bookmarkStart w:id="44"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43">
        <w:r>
          <w:rPr>
            <w:rStyle w:val="Hyperlink"/>
          </w:rPr>
          <w:t xml:space="preserve">https://www.letemps.ch/economie/gerhard-schwarz-une-suisse-neoliberale-cest-une-fake-news</w:t>
        </w:r>
      </w:hyperlink>
      <w:r>
        <w:t xml:space="preserve">.</w:t>
      </w:r>
    </w:p>
    <w:bookmarkEnd w:id="44"/>
    <w:bookmarkStart w:id="46"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45">
        <w:r>
          <w:rPr>
            <w:rStyle w:val="Hyperlink"/>
          </w:rPr>
          <w:t xml:space="preserve">https://www.avenir-suisse.ch/fr/7-bonnes-raisons-de-privatiser-lenergie/</w:t>
        </w:r>
      </w:hyperlink>
      <w:r>
        <w:t xml:space="preserve">.</w:t>
      </w:r>
    </w:p>
    <w:bookmarkEnd w:id="46"/>
    <w:bookmarkStart w:id="47"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47"/>
    <w:bookmarkStart w:id="48"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48"/>
    <w:bookmarkStart w:id="49"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49"/>
    <w:bookmarkStart w:id="50"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50"/>
    <w:bookmarkStart w:id="52"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51">
        <w:r>
          <w:rPr>
            <w:rStyle w:val="Hyperlink"/>
          </w:rPr>
          <w:t xml:space="preserve">https://doi.org/10.2202/1935-6226.1022</w:t>
        </w:r>
      </w:hyperlink>
      <w:r>
        <w:t xml:space="preserve">.</w:t>
      </w:r>
    </w:p>
    <w:bookmarkEnd w:id="52"/>
    <w:bookmarkStart w:id="53"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53"/>
    <w:bookmarkStart w:id="55"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54">
        <w:r>
          <w:rPr>
            <w:rStyle w:val="Hyperlink"/>
          </w:rPr>
          <w:t xml:space="preserve">https://hdr.undp.org/content/human-development-report-2021-22</w:t>
        </w:r>
      </w:hyperlink>
      <w:r>
        <w:t xml:space="preserve">.</w:t>
      </w:r>
    </w:p>
    <w:bookmarkEnd w:id="55"/>
    <w:bookmarkStart w:id="57"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56">
        <w:r>
          <w:rPr>
            <w:rStyle w:val="Hyperlink"/>
          </w:rPr>
          <w:t xml:space="preserve">https://doi.org/10.1017/S0143814X98000129</w:t>
        </w:r>
      </w:hyperlink>
      <w:r>
        <w:t xml:space="preserve">.</w:t>
      </w:r>
    </w:p>
    <w:bookmarkEnd w:id="57"/>
    <w:bookmarkStart w:id="59" w:name="ref-oecd_oecd_2019"/>
    <w:p>
      <w:pPr>
        <w:pStyle w:val="Bibliography"/>
      </w:pPr>
      <w:r>
        <w:t xml:space="preserve">OECD.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58">
        <w:r>
          <w:rPr>
            <w:rStyle w:val="Hyperlink"/>
          </w:rPr>
          <w:t xml:space="preserve">https://www.oecd-ilibrary.org/economics/oecd-economic-surveys-switzerland-2019_7e6fd372-en</w:t>
        </w:r>
      </w:hyperlink>
      <w:r>
        <w:t xml:space="preserve">.</w:t>
      </w:r>
    </w:p>
    <w:bookmarkEnd w:id="59"/>
    <w:bookmarkStart w:id="61"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60">
        <w:r>
          <w:rPr>
            <w:rStyle w:val="Hyperlink"/>
          </w:rPr>
          <w:t xml:space="preserve">https://www.oecd-ilibrary.org/economics/oecd-economic-surveys-switzerland-2022_1fde6924-en</w:t>
        </w:r>
      </w:hyperlink>
      <w:r>
        <w:t xml:space="preserve">.</w:t>
      </w:r>
    </w:p>
    <w:bookmarkEnd w:id="61"/>
    <w:bookmarkStart w:id="62"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62"/>
    <w:bookmarkStart w:id="63"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 w:id="23">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56" Target="https://doi.org/10.1017/S0143814X98000129" TargetMode="External" /><Relationship Type="http://schemas.openxmlformats.org/officeDocument/2006/relationships/hyperlink" Id="rId34" Target="https://doi.org/10.1093/ser/mwn018" TargetMode="External" /><Relationship Type="http://schemas.openxmlformats.org/officeDocument/2006/relationships/hyperlink" Id="rId51" Target="https://doi.org/10.2202/1935-6226.1022" TargetMode="External" /><Relationship Type="http://schemas.openxmlformats.org/officeDocument/2006/relationships/hyperlink" Id="rId37" Target="https://doi.org/10.5169/seals-515017" TargetMode="External" /><Relationship Type="http://schemas.openxmlformats.org/officeDocument/2006/relationships/hyperlink" Id="rId54" Target="https://hdr.undp.org/content/human-development-report-2021-22" TargetMode="External" /><Relationship Type="http://schemas.openxmlformats.org/officeDocument/2006/relationships/hyperlink" Id="rId40" Target="https://oec.world/en/rankings/eci/hs6/hs96" TargetMode="External" /><Relationship Type="http://schemas.openxmlformats.org/officeDocument/2006/relationships/hyperlink" Id="rId45" Target="https://www.avenir-suisse.ch/fr/7-bonnes-raisons-de-privatiser-lenergie/" TargetMode="External" /><Relationship Type="http://schemas.openxmlformats.org/officeDocument/2006/relationships/hyperlink" Id="rId43" Target="https://www.letemps.ch/economie/gerhard-schwarz-une-suisse-neoliberale-cest-une-fake-news" TargetMode="External" /><Relationship Type="http://schemas.openxmlformats.org/officeDocument/2006/relationships/hyperlink" Id="rId58" Target="https://www.oecd-ilibrary.org/economics/oecd-economic-surveys-switzerland-2019_7e6fd372-en" TargetMode="External" /><Relationship Type="http://schemas.openxmlformats.org/officeDocument/2006/relationships/hyperlink" Id="rId60"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17/S0143814X98000129" TargetMode="External" /><Relationship Type="http://schemas.openxmlformats.org/officeDocument/2006/relationships/hyperlink" Id="rId34" Target="https://doi.org/10.1093/ser/mwn018" TargetMode="External" /><Relationship Type="http://schemas.openxmlformats.org/officeDocument/2006/relationships/hyperlink" Id="rId51" Target="https://doi.org/10.2202/1935-6226.1022" TargetMode="External" /><Relationship Type="http://schemas.openxmlformats.org/officeDocument/2006/relationships/hyperlink" Id="rId37" Target="https://doi.org/10.5169/seals-515017" TargetMode="External" /><Relationship Type="http://schemas.openxmlformats.org/officeDocument/2006/relationships/hyperlink" Id="rId54" Target="https://hdr.undp.org/content/human-development-report-2021-22" TargetMode="External" /><Relationship Type="http://schemas.openxmlformats.org/officeDocument/2006/relationships/hyperlink" Id="rId40" Target="https://oec.world/en/rankings/eci/hs6/hs96" TargetMode="External" /><Relationship Type="http://schemas.openxmlformats.org/officeDocument/2006/relationships/hyperlink" Id="rId45" Target="https://www.avenir-suisse.ch/fr/7-bonnes-raisons-de-privatiser-lenergie/" TargetMode="External" /><Relationship Type="http://schemas.openxmlformats.org/officeDocument/2006/relationships/hyperlink" Id="rId43" Target="https://www.letemps.ch/economie/gerhard-schwarz-une-suisse-neoliberale-cest-une-fake-news" TargetMode="External" /><Relationship Type="http://schemas.openxmlformats.org/officeDocument/2006/relationships/hyperlink" Id="rId58" Target="https://www.oecd-ilibrary.org/economics/oecd-economic-surveys-switzerland-2019_7e6fd372-en" TargetMode="External" /><Relationship Type="http://schemas.openxmlformats.org/officeDocument/2006/relationships/hyperlink" Id="rId60"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2023-10-11T17:49:33Z</dcterms:created>
  <dcterms:modified xsi:type="dcterms:W3CDTF">2023-10-11T17:49:33Z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