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4"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23" w:name="research-question-and-plan"/>
    <w:p>
      <w:pPr>
        <w:pStyle w:val="Heading2"/>
      </w:pPr>
      <w:r>
        <w:t xml:space="preserve">1.2 Research question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unsing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p>
      <w:pPr>
        <w:pStyle w:val="BodyText"/>
      </w:pPr>
      <w:r>
        <w:t xml:space="preserve">The next section presents the theoretical framwork and concepts used in this essay and assess the evolution of Switzerland’s political stability in the last decades.</w:t>
      </w:r>
    </w:p>
    <w:bookmarkEnd w:id="23"/>
    <w:bookmarkEnd w:id="24"/>
    <w:bookmarkStart w:id="37" w:name="X15e5a5357cc6f012ed48dc9bf213cfc202c1e9e"/>
    <w:p>
      <w:pPr>
        <w:pStyle w:val="Heading1"/>
      </w:pPr>
      <w:r>
        <w:t xml:space="preserve">2. Theoretical framwork and political stability in Switzerland</w:t>
      </w:r>
    </w:p>
    <w:bookmarkStart w:id="25" w:name="X25462bde44f12ad8ccfd508356d6428544462a7"/>
    <w:p>
      <w:pPr>
        <w:pStyle w:val="Heading2"/>
      </w:pPr>
      <w:r>
        <w:t xml:space="preserve">2.1 Social blocs, political equilibrium and systemic crisis</w:t>
      </w:r>
    </w:p>
    <w:p>
      <w:pPr>
        <w:pStyle w:val="FirstParagraph"/>
      </w:pPr>
      <w:r>
        <w:t xml:space="preserve">The empirical work conducted here and in the following sections are extensively based on the neorealist approach developed by Amable and Palombarini</w:t>
      </w:r>
      <w:r>
        <w:t xml:space="preserve"> </w:t>
      </w:r>
      <w:r>
        <w:t xml:space="preserve">(2005, 2008)</w:t>
      </w:r>
      <w:r>
        <w:t xml:space="preserve">. 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socio-economic groups. The latter are groups which gather agents sharing common social expectation regarding public policies and the desired socio-economic model</w:t>
      </w:r>
      <w:r>
        <w:t xml:space="preserve"> </w:t>
      </w:r>
      <w:r>
        <w:t xml:space="preserve">(Amable 2021)</w:t>
      </w:r>
      <w:r>
        <w:t xml:space="preserve">. Regarding the relationships between socio-economic and socio-political groups, neorealism avoids the pitfalls of both economic determinism and Idealism. On the one hand, socio-demographic characteristics and thus socio-economic groups are captured by socio-political groups: agents with, for instance, low income level have more incentive to be in favour of pro-redistribution policies. However, they may not be in favor of redistribution if they are culturally influenced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5"/>
    <w:bookmarkStart w:id="36" w:name="X578096895545d51b155451be8950b82465b8d48"/>
    <w:p>
      <w:pPr>
        <w:pStyle w:val="Heading2"/>
      </w:pPr>
      <w:r>
        <w:t xml:space="preserve">2.2 Switzerland: Political Equilibrium and the Swiss Bourgeois Bloc</w:t>
      </w:r>
    </w:p>
    <w:p>
      <w:pPr>
        <w:pStyle w:val="FirstParagraph"/>
      </w:pPr>
      <w:r>
        <w:t xml:space="preserve">In fact, relatively to Italy and France, which underwent deep periods of political and systemic crises in the last decades, Switzerland’s political stability stands rather remarkable.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6"/>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30" w:name="fig-trust1"/>
          <w:p>
            <w:pPr>
              <w:jc w:val="center"/>
            </w:pPr>
            <w:r>
              <w:drawing>
                <wp:inline>
                  <wp:extent cx="4620126" cy="3696101"/>
                  <wp:effectExtent b="0" l="0" r="0" t="0"/>
                  <wp:docPr descr="" title="" id="28" name="Picture"/>
                  <a:graphic>
                    <a:graphicData uri="http://schemas.openxmlformats.org/drawingml/2006/picture">
                      <pic:pic>
                        <pic:nvPicPr>
                          <pic:cNvPr descr="part1_files/figure-docx/fig-trust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Share of people who report having confidence in the national government</w:t>
            </w:r>
          </w:p>
          <w:bookmarkEnd w:id="30"/>
        </w:tc>
      </w:tr>
    </w:tbl>
    <w:p>
      <w:pPr>
        <w:pStyle w:val="BodyText"/>
      </w:pPr>
      <w:hyperlink w:anchor="fig-trust1">
        <w:r>
          <w:rPr>
            <w:rStyle w:val="Hyperlink"/>
          </w:rPr>
          <w:t xml:space="preserve">Figure 2.1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were subject to internal contradictions.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history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2.1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4" w:name="fig-trust2"/>
          <w:p>
            <w:pPr>
              <w:jc w:val="center"/>
            </w:pPr>
            <w:r>
              <w:drawing>
                <wp:inline>
                  <wp:extent cx="4620126" cy="3696101"/>
                  <wp:effectExtent b="0" l="0" r="0" t="0"/>
                  <wp:docPr descr="" title="" id="32" name="Picture"/>
                  <a:graphic>
                    <a:graphicData uri="http://schemas.openxmlformats.org/drawingml/2006/picture">
                      <pic:pic>
                        <pic:nvPicPr>
                          <pic:cNvPr descr="part1_files/figure-docx/fig-trust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Share of Swiss respondent trusting the government: 1981-2016</w:t>
            </w:r>
          </w:p>
          <w:bookmarkEnd w:id="34"/>
        </w:tc>
      </w:tr>
    </w:tbl>
    <w:p>
      <w:pPr>
        <w:pStyle w:val="BodyText"/>
      </w:pPr>
      <w:hyperlink w:anchor="fig-trust2">
        <w:r>
          <w:rPr>
            <w:rStyle w:val="Hyperlink"/>
          </w:rPr>
          <w:t xml:space="preserve">Figure 2.2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2.2</w:t>
        </w:r>
      </w:hyperlink>
      <w:r>
        <w:t xml:space="preserve"> </w:t>
      </w:r>
      <w:r>
        <w:t xml:space="preserve">depicts also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 lost confidence in almost all political institutions and organization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The Eizenstat rapport (1997) and the Bergier commission (1996) destabilized further the coutry by revealing the sinister role of the Swiss government and banks during World War II</w:t>
      </w:r>
      <w:r>
        <w:t xml:space="preserve"> </w:t>
      </w:r>
      <w:r>
        <w:t xml:space="preserve">(Ribeaud 1998; Boschetti 2007)</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In fact, all the Swiss traditional main parties, the Swiss Socialist Party (SSP) The Liberals (PLR) and the Christian Democratic People’s Party of Switzerland (PDC), are in decline since the post-war period. On the right, the crisis can be seen through the increase in party merges and party re-configurations. In 2008, the Bourgeois Democratic Party (PBD) was created after a scission from the SVP. One year later, the Radical-Democratic party merged with the liberals to create the FDP. The PBD, whose creation disturbed the composition of the reputed unchangeable federal council, then merged with the PDC to create</w:t>
      </w:r>
      <w:r>
        <w:t xml:space="preserve"> </w:t>
      </w:r>
      <w:r>
        <w:rPr>
          <w:iCs/>
          <w:i/>
        </w:rPr>
        <w:t xml:space="preserve">Le Centre</w:t>
      </w:r>
      <w:r>
        <w:t xml:space="preserve"> </w:t>
      </w:r>
      <w:r>
        <w:t xml:space="preserve">in 2021. The latter could led to major political change in the 2023 federal elections since the polls predict that this party could surpass the PLR in vote share and thus take another seat in the federal council, at the expense of the PLR, which created the Swiss political system and used to dominate Swiss politics in the 19th and 20th century</w:t>
      </w:r>
      <w:r>
        <w:rPr>
          <w:rStyle w:val="FootnoteReference"/>
        </w:rPr>
        <w:footnoteReference w:id="35"/>
      </w:r>
      <w:r>
        <w:t xml:space="preserve">.</w:t>
      </w:r>
    </w:p>
    <w:bookmarkEnd w:id="36"/>
    <w:bookmarkEnd w:id="37"/>
    <w:bookmarkStart w:id="85" w:name="references"/>
    <w:p>
      <w:pPr>
        <w:pStyle w:val="Heading1"/>
      </w:pPr>
      <w:r>
        <w:t xml:space="preserve">References</w:t>
      </w:r>
    </w:p>
    <w:bookmarkStart w:id="84" w:name="refs"/>
    <w:bookmarkStart w:id="38"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38"/>
    <w:bookmarkStart w:id="40"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39">
        <w:r>
          <w:rPr>
            <w:rStyle w:val="Hyperlink"/>
          </w:rPr>
          <w:t xml:space="preserve">https://doi.org/10.1093/acprof:oso/9780198787815.001.0001</w:t>
        </w:r>
      </w:hyperlink>
      <w:r>
        <w:t xml:space="preserve">.</w:t>
      </w:r>
    </w:p>
    <w:bookmarkEnd w:id="40"/>
    <w:bookmarkStart w:id="42"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1">
        <w:r>
          <w:rPr>
            <w:rStyle w:val="Hyperlink"/>
          </w:rPr>
          <w:t xml:space="preserve">https://doi.org/10.4000/regulation.20350</w:t>
        </w:r>
      </w:hyperlink>
      <w:r>
        <w:t xml:space="preserve">.</w:t>
      </w:r>
    </w:p>
    <w:bookmarkEnd w:id="42"/>
    <w:bookmarkStart w:id="43"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43"/>
    <w:bookmarkStart w:id="44"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44"/>
    <w:bookmarkStart w:id="46"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45">
        <w:r>
          <w:rPr>
            <w:rStyle w:val="Hyperlink"/>
          </w:rPr>
          <w:t xml:space="preserve">https://doi.org/10.1093/ser/mwn018</w:t>
        </w:r>
      </w:hyperlink>
      <w:r>
        <w:t xml:space="preserve">.</w:t>
      </w:r>
    </w:p>
    <w:bookmarkEnd w:id="46"/>
    <w:bookmarkStart w:id="47"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47"/>
    <w:bookmarkStart w:id="49"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48">
        <w:r>
          <w:rPr>
            <w:rStyle w:val="Hyperlink"/>
          </w:rPr>
          <w:t xml:space="preserve">https://doi.org/10.1080/13563467.2023.2215701</w:t>
        </w:r>
      </w:hyperlink>
      <w:r>
        <w:t xml:space="preserve">.</w:t>
      </w:r>
    </w:p>
    <w:bookmarkEnd w:id="49"/>
    <w:bookmarkStart w:id="51"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50">
        <w:r>
          <w:rPr>
            <w:rStyle w:val="Hyperlink"/>
          </w:rPr>
          <w:t xml:space="preserve">https://doi.org/10.5169/seals-515017</w:t>
        </w:r>
      </w:hyperlink>
      <w:r>
        <w:t xml:space="preserve">.</w:t>
      </w:r>
    </w:p>
    <w:bookmarkEnd w:id="51"/>
    <w:bookmarkStart w:id="52"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52"/>
    <w:bookmarkStart w:id="5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1–113.</w:t>
      </w:r>
    </w:p>
    <w:bookmarkEnd w:id="53"/>
    <w:bookmarkStart w:id="5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54">
        <w:r>
          <w:rPr>
            <w:rStyle w:val="Hyperlink"/>
          </w:rPr>
          <w:t xml:space="preserve">https://oec.world/en/rankings/eci/hs6/hs96</w:t>
        </w:r>
      </w:hyperlink>
      <w:r>
        <w:t xml:space="preserve">.</w:t>
      </w:r>
    </w:p>
    <w:bookmarkEnd w:id="55"/>
    <w:bookmarkStart w:id="5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56"/>
    <w:bookmarkStart w:id="58"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57">
        <w:r>
          <w:rPr>
            <w:rStyle w:val="Hyperlink"/>
          </w:rPr>
          <w:t xml:space="preserve">https://www.letemps.ch/suisse/elections-federales-le-centre-devancerait-le-plr-selon-le-dernier-barometre-ssr</w:t>
        </w:r>
      </w:hyperlink>
      <w:r>
        <w:t xml:space="preserve">.</w:t>
      </w:r>
    </w:p>
    <w:bookmarkEnd w:id="58"/>
    <w:bookmarkStart w:id="6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59">
        <w:r>
          <w:rPr>
            <w:rStyle w:val="Hyperlink"/>
          </w:rPr>
          <w:t xml:space="preserve">https://www.letemps.ch/economie/gerhard-schwarz-une-suisse-neoliberale-cest-une-fake-news</w:t>
        </w:r>
      </w:hyperlink>
      <w:r>
        <w:t xml:space="preserve">.</w:t>
      </w:r>
    </w:p>
    <w:bookmarkEnd w:id="60"/>
    <w:bookmarkStart w:id="62"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61">
        <w:r>
          <w:rPr>
            <w:rStyle w:val="Hyperlink"/>
          </w:rPr>
          <w:t xml:space="preserve">https://www.avenir-suisse.ch/fr/7-bonnes-raisons-de-privatiser-lenergie/</w:t>
        </w:r>
      </w:hyperlink>
      <w:r>
        <w:t xml:space="preserve">.</w:t>
      </w:r>
    </w:p>
    <w:bookmarkEnd w:id="62"/>
    <w:bookmarkStart w:id="63"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63"/>
    <w:bookmarkStart w:id="64"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64"/>
    <w:bookmarkStart w:id="65"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65"/>
    <w:bookmarkStart w:id="66"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66"/>
    <w:bookmarkStart w:id="6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67">
        <w:r>
          <w:rPr>
            <w:rStyle w:val="Hyperlink"/>
          </w:rPr>
          <w:t xml:space="preserve">https://doi.org/10.1080/1350176032000059053</w:t>
        </w:r>
      </w:hyperlink>
      <w:r>
        <w:t xml:space="preserve">.</w:t>
      </w:r>
    </w:p>
    <w:bookmarkEnd w:id="68"/>
    <w:bookmarkStart w:id="70"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69">
        <w:r>
          <w:rPr>
            <w:rStyle w:val="Hyperlink"/>
          </w:rPr>
          <w:t xml:space="preserve">https://doi.org/10.2202/1935-6226.1022</w:t>
        </w:r>
      </w:hyperlink>
      <w:r>
        <w:t xml:space="preserve">.</w:t>
      </w:r>
    </w:p>
    <w:bookmarkEnd w:id="70"/>
    <w:bookmarkStart w:id="71"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71"/>
    <w:bookmarkStart w:id="73"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72">
        <w:r>
          <w:rPr>
            <w:rStyle w:val="Hyperlink"/>
          </w:rPr>
          <w:t xml:space="preserve">https://hdr.undp.org/content/human-development-report-2021-22</w:t>
        </w:r>
      </w:hyperlink>
      <w:r>
        <w:t xml:space="preserve">.</w:t>
      </w:r>
    </w:p>
    <w:bookmarkEnd w:id="73"/>
    <w:bookmarkStart w:id="7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74">
        <w:r>
          <w:rPr>
            <w:rStyle w:val="Hyperlink"/>
          </w:rPr>
          <w:t xml:space="preserve">https://doi.org/10.1017/S0143814X98000129</w:t>
        </w:r>
      </w:hyperlink>
      <w:r>
        <w:t xml:space="preserve">.</w:t>
      </w:r>
    </w:p>
    <w:bookmarkEnd w:id="75"/>
    <w:bookmarkStart w:id="77" w:name="ref-oecd_oecd_2019"/>
    <w:p>
      <w:pPr>
        <w:pStyle w:val="Bibliography"/>
      </w:pPr>
      <w:r>
        <w:t xml:space="preserve">OECD.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76">
        <w:r>
          <w:rPr>
            <w:rStyle w:val="Hyperlink"/>
          </w:rPr>
          <w:t xml:space="preserve">https://www.oecd-ilibrary.org/economics/oecd-economic-surveys-switzerland-2019_7e6fd372-en</w:t>
        </w:r>
      </w:hyperlink>
      <w:r>
        <w:t xml:space="preserve">.</w:t>
      </w:r>
    </w:p>
    <w:bookmarkEnd w:id="77"/>
    <w:bookmarkStart w:id="79"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78">
        <w:r>
          <w:rPr>
            <w:rStyle w:val="Hyperlink"/>
          </w:rPr>
          <w:t xml:space="preserve">https://www.oecd-ilibrary.org/economics/oecd-economic-surveys-switzerland-2022_1fde6924-en</w:t>
        </w:r>
      </w:hyperlink>
      <w:r>
        <w:t xml:space="preserve">.</w:t>
      </w:r>
    </w:p>
    <w:bookmarkEnd w:id="79"/>
    <w:bookmarkStart w:id="80"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80"/>
    <w:bookmarkStart w:id="8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81"/>
    <w:bookmarkStart w:id="82" w:name="ref-ribeaud_quand_1998"/>
    <w:p>
      <w:pPr>
        <w:pStyle w:val="Bibliography"/>
      </w:pPr>
      <w:r>
        <w:t xml:space="preserve">Ribeaud, José. 1998.</w:t>
      </w:r>
      <w:r>
        <w:t xml:space="preserve"> </w:t>
      </w:r>
      <w:r>
        <w:rPr>
          <w:iCs/>
          <w:i/>
        </w:rPr>
        <w:t xml:space="preserve">Quand La Suisse Disparaîtra</w:t>
      </w:r>
      <w:r>
        <w:t xml:space="preserve">. Vevey: L’Aire.</w:t>
      </w:r>
    </w:p>
    <w:bookmarkEnd w:id="82"/>
    <w:bookmarkStart w:id="8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6">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5">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74" Target="https://doi.org/10.1017/S0143814X98000129" TargetMode="External" /><Relationship Type="http://schemas.openxmlformats.org/officeDocument/2006/relationships/hyperlink" Id="rId67" Target="https://doi.org/10.1080/1350176032000059053" TargetMode="External" /><Relationship Type="http://schemas.openxmlformats.org/officeDocument/2006/relationships/hyperlink" Id="rId48" Target="https://doi.org/10.1080/13563467.2023.2215701" TargetMode="External" /><Relationship Type="http://schemas.openxmlformats.org/officeDocument/2006/relationships/hyperlink" Id="rId39" Target="https://doi.org/10.1093/acprof:oso/9780198787815.001.0001" TargetMode="External" /><Relationship Type="http://schemas.openxmlformats.org/officeDocument/2006/relationships/hyperlink" Id="rId45" Target="https://doi.org/10.1093/ser/mwn018" TargetMode="External" /><Relationship Type="http://schemas.openxmlformats.org/officeDocument/2006/relationships/hyperlink" Id="rId69" Target="https://doi.org/10.2202/1935-6226.1022" TargetMode="External" /><Relationship Type="http://schemas.openxmlformats.org/officeDocument/2006/relationships/hyperlink" Id="rId41" Target="https://doi.org/10.4000/regulation.20350" TargetMode="External" /><Relationship Type="http://schemas.openxmlformats.org/officeDocument/2006/relationships/hyperlink" Id="rId50" Target="https://doi.org/10.5169/seals-515017" TargetMode="External" /><Relationship Type="http://schemas.openxmlformats.org/officeDocument/2006/relationships/hyperlink" Id="rId72" Target="https://hdr.undp.org/content/human-development-report-2021-22" TargetMode="External" /><Relationship Type="http://schemas.openxmlformats.org/officeDocument/2006/relationships/hyperlink" Id="rId54" Target="https://oec.world/en/rankings/eci/hs6/hs96" TargetMode="External" /><Relationship Type="http://schemas.openxmlformats.org/officeDocument/2006/relationships/hyperlink" Id="rId61" Target="https://www.avenir-suisse.ch/fr/7-bonnes-raisons-de-privatiser-lenergie/" TargetMode="External" /><Relationship Type="http://schemas.openxmlformats.org/officeDocument/2006/relationships/hyperlink" Id="rId59" Target="https://www.letemps.ch/economie/gerhard-schwarz-une-suisse-neoliberale-cest-une-fake-news" TargetMode="External" /><Relationship Type="http://schemas.openxmlformats.org/officeDocument/2006/relationships/hyperlink" Id="rId57" Target="https://www.letemps.ch/suisse/elections-federales-le-centre-devancerait-le-plr-selon-le-dernier-barometre-ssr" TargetMode="External" /><Relationship Type="http://schemas.openxmlformats.org/officeDocument/2006/relationships/hyperlink" Id="rId76" Target="https://www.oecd-ilibrary.org/economics/oecd-economic-surveys-switzerland-2019_7e6fd372-en" TargetMode="External" /><Relationship Type="http://schemas.openxmlformats.org/officeDocument/2006/relationships/hyperlink" Id="rId78"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7/S0143814X98000129" TargetMode="External" /><Relationship Type="http://schemas.openxmlformats.org/officeDocument/2006/relationships/hyperlink" Id="rId67" Target="https://doi.org/10.1080/1350176032000059053" TargetMode="External" /><Relationship Type="http://schemas.openxmlformats.org/officeDocument/2006/relationships/hyperlink" Id="rId48" Target="https://doi.org/10.1080/13563467.2023.2215701" TargetMode="External" /><Relationship Type="http://schemas.openxmlformats.org/officeDocument/2006/relationships/hyperlink" Id="rId39" Target="https://doi.org/10.1093/acprof:oso/9780198787815.001.0001" TargetMode="External" /><Relationship Type="http://schemas.openxmlformats.org/officeDocument/2006/relationships/hyperlink" Id="rId45" Target="https://doi.org/10.1093/ser/mwn018" TargetMode="External" /><Relationship Type="http://schemas.openxmlformats.org/officeDocument/2006/relationships/hyperlink" Id="rId69" Target="https://doi.org/10.2202/1935-6226.1022" TargetMode="External" /><Relationship Type="http://schemas.openxmlformats.org/officeDocument/2006/relationships/hyperlink" Id="rId41" Target="https://doi.org/10.4000/regulation.20350" TargetMode="External" /><Relationship Type="http://schemas.openxmlformats.org/officeDocument/2006/relationships/hyperlink" Id="rId50" Target="https://doi.org/10.5169/seals-515017" TargetMode="External" /><Relationship Type="http://schemas.openxmlformats.org/officeDocument/2006/relationships/hyperlink" Id="rId72" Target="https://hdr.undp.org/content/human-development-report-2021-22" TargetMode="External" /><Relationship Type="http://schemas.openxmlformats.org/officeDocument/2006/relationships/hyperlink" Id="rId54" Target="https://oec.world/en/rankings/eci/hs6/hs96" TargetMode="External" /><Relationship Type="http://schemas.openxmlformats.org/officeDocument/2006/relationships/hyperlink" Id="rId61" Target="https://www.avenir-suisse.ch/fr/7-bonnes-raisons-de-privatiser-lenergie/" TargetMode="External" /><Relationship Type="http://schemas.openxmlformats.org/officeDocument/2006/relationships/hyperlink" Id="rId59" Target="https://www.letemps.ch/economie/gerhard-schwarz-une-suisse-neoliberale-cest-une-fake-news" TargetMode="External" /><Relationship Type="http://schemas.openxmlformats.org/officeDocument/2006/relationships/hyperlink" Id="rId57" Target="https://www.letemps.ch/suisse/elections-federales-le-centre-devancerait-le-plr-selon-le-dernier-barometre-ssr" TargetMode="External" /><Relationship Type="http://schemas.openxmlformats.org/officeDocument/2006/relationships/hyperlink" Id="rId76" Target="https://www.oecd-ilibrary.org/economics/oecd-economic-surveys-switzerland-2019_7e6fd372-en" TargetMode="External" /><Relationship Type="http://schemas.openxmlformats.org/officeDocument/2006/relationships/hyperlink" Id="rId78"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2023-10-18T12:16:44Z</dcterms:created>
  <dcterms:modified xsi:type="dcterms:W3CDTF">2023-10-18T12:16:44Z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