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24" w:name="introduction"/>
    <w:p>
      <w:pPr>
        <w:pStyle w:val="Heading1"/>
      </w:pPr>
      <w:r>
        <w:t xml:space="preserve">1. Introduction</w:t>
      </w:r>
    </w:p>
    <w:bookmarkStart w:id="21" w:name="introduction-1"/>
    <w:p>
      <w:pPr>
        <w:pStyle w:val="Heading2"/>
      </w:pPr>
      <w:r>
        <w:t xml:space="preserve">1.1 Introduction</w:t>
      </w:r>
    </w:p>
    <w:p>
      <w:pPr>
        <w:pStyle w:val="FirstParagraph"/>
      </w:pPr>
      <w:r>
        <w:t xml:space="preserve">Switzerland represents an interesting case study for the analysis of institutional change. Despite some widespread</w:t>
      </w:r>
      <w:r>
        <w:t xml:space="preserve"> </w:t>
      </w:r>
      <w:r>
        <w:rPr>
          <w:iCs/>
          <w:i/>
        </w:rPr>
        <w:t xml:space="preserve">clichés</w:t>
      </w:r>
      <w:r>
        <w:t xml:space="preserve">, such as the supposed slowness and rigidity of the Swiss political system, the country experienced important institutional, economic, as well as political change in the last decades. The Swiss model of capitalism is also difficult to classify in the typology of capitalism.</w:t>
      </w:r>
      <w:r>
        <w:t xml:space="preserve"> </w:t>
      </w:r>
      <w:r>
        <w:t xml:space="preserve">Hall and Soskice (2001)</w:t>
      </w:r>
      <w:r>
        <w:t xml:space="preserve"> </w:t>
      </w:r>
      <w:r>
        <w:t xml:space="preserve">typically ranked Switzerland among the coordinated market economies (CMEs). The Swiss model was indeed characterized by strong non-market, non-competitive and coordinated mechanisms in corporate governance, the product market or even the welfare state system, just as many non-market coordination mechanisms which were developed in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creation and expansion of the Swiss welfare state after the Second World war</w:t>
      </w:r>
      <w:r>
        <w:t xml:space="preserve"> </w:t>
      </w:r>
      <w:r>
        <w:t xml:space="preserve">(Obinger 1998)</w:t>
      </w:r>
      <w:r>
        <w:t xml:space="preserve">. However, Swiss institutions also showed strong liberal features: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neoliberal wave which submerged Western countries in the 1980s and 1990s, the SHM is under pressure and is gradually mutating into the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such as, for example, the Swiss Cartel Act (</w:t>
      </w:r>
      <w:r>
        <w:t xml:space="preserve">“</w:t>
      </w:r>
      <w:r>
        <w:t xml:space="preserve">Carta</w:t>
      </w:r>
      <w:r>
        <w:t xml:space="preserve">”</w:t>
      </w:r>
      <w:r>
        <w:t xml:space="preserve">) in 1995 or the partial privatization of the PTT (</w:t>
      </w:r>
      <w:r>
        <w:rPr>
          <w:iCs/>
          <w:i/>
        </w:rPr>
        <w:t xml:space="preserve">Poste, téléphone et télégraphe</w:t>
      </w:r>
      <w:r>
        <w:t xml:space="preserve">) in the late 1980s.</w:t>
      </w:r>
    </w:p>
    <w:p>
      <w:pPr>
        <w:pStyle w:val="BodyText"/>
      </w:pPr>
      <w:r>
        <w:t xml:space="preserve">Since the break-up of the Post-war</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in the political scene, by the rise of the Swiss People Party (SVP), one of the most successful far-right populist parties in Europe. The electoral success of the SVP marked a strong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What kind of social base made this neoliberal transformation of the Swiss socio-economic model possible in the last decades? To what extent is this tranformation possible, given the transformation of the Swiss social blocs since the 1990s? The aim of this essay is to conduct an analysis which would constitute a first step into a broader analysis of the political economy of institutional change in Switzerland. More specifically, the goal of the present paper is to provide a synchronic and diachronic analysis of the Swiss social blocs.</w:t>
      </w:r>
    </w:p>
    <w:p>
      <w:pPr>
        <w:pStyle w:val="BodyText"/>
      </w:pPr>
      <w:r>
        <w:t xml:space="preserve">After assessing the political and economic stability of the Swiss socio-economic model in the last decades, an empirical analysis of the structure and evolution of the Swiss social blocs since the 90s will be conducted in two parts. On the one hand, a long-run analysis of voting outcomes depending on socio-economic characteristics is conducted. The objective is to identify the social structure of the support for each main Swiss party and how the latter evolved from the 1980s to the 2020s. This part offers the opportunity to test findings of the literature about the links between socio-demographic characteristics, voting outcomes and political cleavages.</w:t>
      </w:r>
    </w:p>
    <w:p>
      <w:pPr>
        <w:pStyle w:val="BodyText"/>
      </w:pPr>
      <w:r>
        <w:t xml:space="preserve">These transformations are of peculiar interest, especially because Switzerland is famous for its economic performance and political stability.</w:t>
      </w:r>
    </w:p>
    <w:bookmarkEnd w:id="21"/>
    <w:bookmarkStart w:id="22" w:name="X4376a8152a95338ade5781da58f446d2559ad5e"/>
    <w:p>
      <w:pPr>
        <w:pStyle w:val="Heading2"/>
      </w:pPr>
      <w:r>
        <w:t xml:space="preserve">1.2 The growing importance of political cleavages, social conflict and institutional change in political economy</w:t>
      </w:r>
    </w:p>
    <w:p>
      <w:pPr>
        <w:pStyle w:val="FirstParagraph"/>
      </w:pPr>
      <w:r>
        <w:t xml:space="preserve">Part of the recent political economy literature developed a tremendous analysis of the long-run transformations of political cleavages in almost all democratic countries around the globe. Following the now well-known success of inequality studies in economics and social sciences since the work of, naturally,</w:t>
      </w:r>
      <w:r>
        <w:t xml:space="preserve"> </w:t>
      </w:r>
      <w:r>
        <w:t xml:space="preserve">Piketty (2014)</w:t>
      </w:r>
      <w:r>
        <w:t xml:space="preserve"> </w:t>
      </w:r>
      <w:r>
        <w:t xml:space="preserve">but also of</w:t>
      </w:r>
      <w:r>
        <w:t xml:space="preserve"> </w:t>
      </w:r>
      <w:r>
        <w:t xml:space="preserve">Milanović (2016)</w:t>
      </w:r>
      <w:r>
        <w:t xml:space="preserve"> </w:t>
      </w:r>
      <w:r>
        <w:t xml:space="preserve">and others, economists are recently shifting their attention towards social conflict and political cleavages within capitalist economies.</w:t>
      </w:r>
    </w:p>
    <w:p>
      <w:pPr>
        <w:pStyle w:val="BodyText"/>
      </w:pPr>
      <w:r>
        <w:t xml:space="preserve">One possible explanation of this sudden interest could be the following paradox: increasing inequality and neoliberal reforms which took place in the last decades did not pave the way mechanically for growing support for redistribution or left-wing parties. The same paradox could also be stressed for climate change since green parties were not relatively so successful despite the growing emergencies associated with environmental issues. More generally, the extent to which social and environmental issues translate into political conflict is of interest in the current age of</w:t>
      </w:r>
      <w:r>
        <w:t xml:space="preserve"> </w:t>
      </w:r>
      <w:r>
        <w:t xml:space="preserve">“</w:t>
      </w:r>
      <w:r>
        <w:t xml:space="preserve">polycrisis</w:t>
      </w:r>
      <w:r>
        <w:t xml:space="preserve">”</w:t>
      </w:r>
      <w:r>
        <w:t xml:space="preserve">. The multiplication of social and environmental crises puts into question the extent to which they can be resolved through political mediation.</w:t>
      </w:r>
    </w:p>
    <w:p>
      <w:pPr>
        <w:pStyle w:val="BodyText"/>
      </w:pPr>
      <w:r>
        <w:t xml:space="preserve">This sudden interest thus gave birth to an ambitious project mostly conducted by economists under the supervision of Piketty.</w:t>
      </w:r>
      <w:r>
        <w:t xml:space="preserve"> </w:t>
      </w:r>
      <w:r>
        <w:t xml:space="preserve">Gethin, Martinez-Toledano, and Piketty (2021)</w:t>
      </w:r>
      <w:r>
        <w:t xml:space="preserve"> </w:t>
      </w:r>
      <w:r>
        <w:t xml:space="preserve">give a wide and broad analysis of political preferences as functions of socio-economic factors such as income, education, wealth, gender, religion and so on. This kind of project shows that economists are tackling with a subject that political scientists have been studying for decades, at least from</w:t>
      </w:r>
      <w:r>
        <w:t xml:space="preserve"> </w:t>
      </w:r>
      <w:r>
        <w:t xml:space="preserve">Lipset and Rokkan (1967)</w:t>
      </w:r>
      <w:r>
        <w:t xml:space="preserve">.</w:t>
      </w:r>
    </w:p>
    <w:p>
      <w:pPr>
        <w:pStyle w:val="BodyText"/>
      </w:pPr>
      <w:r>
        <w:t xml:space="preserve">The main findings of</w:t>
      </w:r>
      <w:r>
        <w:t xml:space="preserve"> </w:t>
      </w:r>
      <w:r>
        <w:t xml:space="preserve">Gethin, Martinez-Toledano, and Piketty (2021)</w:t>
      </w:r>
      <w:r>
        <w:t xml:space="preserve"> </w:t>
      </w:r>
      <w:r>
        <w:t xml:space="preserve">can be summarized as follow: after the post-war period, political cleavages were structured around a single left-right axis structured around class conflict over economic issues. The support for the left was based on average on low income and education voters whereas the support for the right was correlated positively with income and education. Then, an</w:t>
      </w:r>
      <w:r>
        <w:t xml:space="preserve"> </w:t>
      </w:r>
      <w:r>
        <w:t xml:space="preserve">“</w:t>
      </w:r>
      <w:r>
        <w:t xml:space="preserve">educational shift</w:t>
      </w:r>
      <w:r>
        <w:t xml:space="preserve">”</w:t>
      </w:r>
      <w:r>
        <w:t xml:space="preserve"> </w:t>
      </w:r>
      <w:r>
        <w:t xml:space="preserve">took place in the 1980s and the vote for the left became positively associated with education, leading to a shift from</w:t>
      </w:r>
      <w:r>
        <w:t xml:space="preserve"> </w:t>
      </w:r>
      <w:r>
        <w:t xml:space="preserve">“</w:t>
      </w:r>
      <w:r>
        <w:t xml:space="preserve">class-based</w:t>
      </w:r>
      <w:r>
        <w:t xml:space="preserve">”</w:t>
      </w:r>
      <w:r>
        <w:t xml:space="preserve"> </w:t>
      </w:r>
      <w:r>
        <w:t xml:space="preserve">conflict to a</w:t>
      </w:r>
      <w:r>
        <w:t xml:space="preserve"> </w:t>
      </w:r>
      <w:r>
        <w:t xml:space="preserve">“</w:t>
      </w:r>
      <w:r>
        <w:t xml:space="preserve">multi-party</w:t>
      </w:r>
      <w:r>
        <w:t xml:space="preserve">”</w:t>
      </w:r>
      <w:r>
        <w:t xml:space="preserve"> </w:t>
      </w:r>
      <w:r>
        <w:t xml:space="preserve">structured around class and educational cleavages. The latter is reminiscent of what Inglehart</w:t>
      </w:r>
      <w:r>
        <w:t xml:space="preserve"> </w:t>
      </w:r>
      <w:r>
        <w:t xml:space="preserve">(1971, 1990)</w:t>
      </w:r>
      <w:r>
        <w:t xml:space="preserve"> </w:t>
      </w:r>
      <w:r>
        <w:t xml:space="preserve">called the cleavage around</w:t>
      </w:r>
      <w:r>
        <w:t xml:space="preserve"> </w:t>
      </w:r>
      <w:r>
        <w:t xml:space="preserve">“</w:t>
      </w:r>
      <w:r>
        <w:t xml:space="preserve">Postmaterialist</w:t>
      </w:r>
      <w:r>
        <w:t xml:space="preserve">”</w:t>
      </w:r>
      <w:r>
        <w:t xml:space="preserve"> </w:t>
      </w:r>
      <w:r>
        <w:t xml:space="preserve">values which appeared as a result of growing material security.</w:t>
      </w:r>
    </w:p>
    <w:p>
      <w:pPr>
        <w:pStyle w:val="BodyText"/>
      </w:pPr>
      <w:r>
        <w:t xml:space="preserve">Inequality studies thereby gave birth to a renewed interest for political conflict in economics and political economy. However, this revival of attention among economists is not only the result of the inequality paradox, but also a consequence of the willingness of various economic theories and schools of thought to explain institutional change. In fact, rising inequalities in the last decades was mainly the result of important institutional change, oriented towards so-called neoliberal or structural reforms</w:t>
      </w:r>
      <w:r>
        <w:t xml:space="preserve"> </w:t>
      </w:r>
      <w:r>
        <w:rPr>
          <w:iCs/>
          <w:i/>
        </w:rPr>
        <w:t xml:space="preserve">cit</w:t>
      </w:r>
      <w:r>
        <w:t xml:space="preserve">. For instance, Régulation Theory (RT), originally focused on explaining the crisis of Fordism in the 1970s, developed a theoretical framework aimed at identifying accumulation regimes, their mode of regulation as well as their evolution, crises and successions</w:t>
      </w:r>
      <w:r>
        <w:t xml:space="preserve"> </w:t>
      </w:r>
      <w:r>
        <w:t xml:space="preserve">(Aglietta 1997; Boyer 2015)</w:t>
      </w:r>
      <w:r>
        <w:t xml:space="preserve">. Although the interactions between politics, the economy and institutions were not the original objective of RT, some economists trained and influenced by this school of thought elaborated a theory of institutional which analyzes political, institutional and economic dynamics as a totally. In this regard, the decisive step to this rather new theory of the political economy of institutional change was made Amable and Palombarini</w:t>
      </w:r>
      <w:r>
        <w:t xml:space="preserve"> </w:t>
      </w:r>
      <w:r>
        <w:t xml:space="preserve">(2005; 2008)</w:t>
      </w:r>
      <w:r>
        <w:t xml:space="preserve"> </w:t>
      </w:r>
      <w:r>
        <w:t xml:space="preserve">and their neorealist approach.</w:t>
      </w:r>
    </w:p>
    <w:bookmarkEnd w:id="22"/>
    <w:bookmarkStart w:id="23" w:name="literature-review"/>
    <w:p>
      <w:pPr>
        <w:pStyle w:val="Heading2"/>
      </w:pPr>
      <w:r>
        <w:t xml:space="preserve">1.3 Literature Review</w:t>
      </w:r>
    </w:p>
    <w:bookmarkEnd w:id="23"/>
    <w:bookmarkEnd w:id="24"/>
    <w:bookmarkStart w:id="47" w:name="references"/>
    <w:p>
      <w:pPr>
        <w:pStyle w:val="Heading1"/>
      </w:pPr>
      <w:r>
        <w:t xml:space="preserve">References</w:t>
      </w:r>
    </w:p>
    <w:bookmarkStart w:id="46" w:name="refs"/>
    <w:bookmarkStart w:id="25" w:name="ref-aglietta_regulation_1997"/>
    <w:p>
      <w:pPr>
        <w:pStyle w:val="Bibliography"/>
      </w:pPr>
      <w:r>
        <w:t xml:space="preserve">Aglietta, Michel. 1997.</w:t>
      </w:r>
      <w:r>
        <w:t xml:space="preserve"> </w:t>
      </w:r>
      <w:r>
        <w:rPr>
          <w:iCs/>
          <w:i/>
        </w:rPr>
        <w:t xml:space="preserve">Regulation Et Crises Du Capitalisme</w:t>
      </w:r>
      <w:r>
        <w:t xml:space="preserve">. Paris: Editions Odile Jacob.</w:t>
      </w:r>
    </w:p>
    <w:bookmarkEnd w:id="25"/>
    <w:bookmarkStart w:id="27" w:name="ref-amable_neorealist_2008"/>
    <w:p>
      <w:pPr>
        <w:pStyle w:val="Bibliography"/>
      </w:pPr>
      <w:r>
        <w:t xml:space="preserve">Amable, B., and S. Palombarini.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26">
        <w:r>
          <w:rPr>
            <w:rStyle w:val="Hyperlink"/>
          </w:rPr>
          <w:t xml:space="preserve">https://doi.org/10.1093/ser/mwn018</w:t>
        </w:r>
      </w:hyperlink>
      <w:r>
        <w:t xml:space="preserve">.</w:t>
      </w:r>
    </w:p>
    <w:bookmarkEnd w:id="27"/>
    <w:bookmarkStart w:id="28"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28"/>
    <w:bookmarkStart w:id="30"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29">
        <w:r>
          <w:rPr>
            <w:rStyle w:val="Hyperlink"/>
          </w:rPr>
          <w:t xml:space="preserve">https://doi.org/10.5169/seals-515017</w:t>
        </w:r>
      </w:hyperlink>
      <w:r>
        <w:t xml:space="preserve">.</w:t>
      </w:r>
    </w:p>
    <w:bookmarkEnd w:id="30"/>
    <w:bookmarkStart w:id="31"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31"/>
    <w:bookmarkStart w:id="32" w:name="ref-boyer_economie_2015"/>
    <w:p>
      <w:pPr>
        <w:pStyle w:val="Bibliography"/>
      </w:pPr>
      <w:r>
        <w:t xml:space="preserve">Boyer, Robert. 2015.</w:t>
      </w:r>
      <w:r>
        <w:t xml:space="preserve"> </w:t>
      </w:r>
      <w:r>
        <w:rPr>
          <w:iCs/>
          <w:i/>
        </w:rPr>
        <w:t xml:space="preserve">Économie politique des capitalismes: théorie de la régulation et des crises</w:t>
      </w:r>
      <w:r>
        <w:t xml:space="preserve">. Grands repères. Paris: la Découverte.</w:t>
      </w:r>
    </w:p>
    <w:bookmarkEnd w:id="32"/>
    <w:bookmarkStart w:id="33"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33"/>
    <w:bookmarkStart w:id="34"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34"/>
    <w:bookmarkStart w:id="36"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35">
        <w:r>
          <w:rPr>
            <w:rStyle w:val="Hyperlink"/>
          </w:rPr>
          <w:t xml:space="preserve">https://doi.org/10.2307/1953494</w:t>
        </w:r>
      </w:hyperlink>
      <w:r>
        <w:t xml:space="preserve">.</w:t>
      </w:r>
    </w:p>
    <w:bookmarkEnd w:id="36"/>
    <w:bookmarkStart w:id="38"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37">
        <w:r>
          <w:rPr>
            <w:rStyle w:val="Hyperlink"/>
          </w:rPr>
          <w:t xml:space="preserve">https://doi.org/10.2307/j.ctv346rbz</w:t>
        </w:r>
      </w:hyperlink>
      <w:r>
        <w:t xml:space="preserve">.</w:t>
      </w:r>
    </w:p>
    <w:bookmarkEnd w:id="38"/>
    <w:bookmarkStart w:id="39" w:name="ref-lipset_party_1967"/>
    <w:p>
      <w:pPr>
        <w:pStyle w:val="Bibliography"/>
      </w:pPr>
      <w:r>
        <w:t xml:space="preserve">Lipset, Seymour Martin, and Stein Rokkan. 1967.</w:t>
      </w:r>
      <w:r>
        <w:t xml:space="preserve"> </w:t>
      </w:r>
      <w:r>
        <w:rPr>
          <w:iCs/>
          <w:i/>
        </w:rPr>
        <w:t xml:space="preserve">Party Systems and Voter Alignments: Cross-National Perspectives</w:t>
      </w:r>
      <w:r>
        <w:t xml:space="preserve">. Free Press.</w:t>
      </w:r>
    </w:p>
    <w:bookmarkEnd w:id="39"/>
    <w:bookmarkStart w:id="40"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40"/>
    <w:bookmarkStart w:id="41"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41"/>
    <w:bookmarkStart w:id="43"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42">
        <w:r>
          <w:rPr>
            <w:rStyle w:val="Hyperlink"/>
          </w:rPr>
          <w:t xml:space="preserve">https://doi.org/10.1017/S0143814X98000129</w:t>
        </w:r>
      </w:hyperlink>
      <w:r>
        <w:t xml:space="preserve">.</w:t>
      </w:r>
    </w:p>
    <w:bookmarkEnd w:id="43"/>
    <w:bookmarkStart w:id="44"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44"/>
    <w:bookmarkStart w:id="45"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17/S0143814X98000129" TargetMode="External" /><Relationship Type="http://schemas.openxmlformats.org/officeDocument/2006/relationships/hyperlink" Id="rId26" Target="https://doi.org/10.1093/ser/mwn018" TargetMode="External" /><Relationship Type="http://schemas.openxmlformats.org/officeDocument/2006/relationships/hyperlink" Id="rId35" Target="https://doi.org/10.2307/1953494" TargetMode="External" /><Relationship Type="http://schemas.openxmlformats.org/officeDocument/2006/relationships/hyperlink" Id="rId37" Target="https://doi.org/10.2307/j.ctv346rbz" TargetMode="External" /><Relationship Type="http://schemas.openxmlformats.org/officeDocument/2006/relationships/hyperlink" Id="rId29" Target="https://doi.org/10.5169/seals-515017"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7/S0143814X98000129" TargetMode="External" /><Relationship Type="http://schemas.openxmlformats.org/officeDocument/2006/relationships/hyperlink" Id="rId26" Target="https://doi.org/10.1093/ser/mwn018" TargetMode="External" /><Relationship Type="http://schemas.openxmlformats.org/officeDocument/2006/relationships/hyperlink" Id="rId35" Target="https://doi.org/10.2307/1953494" TargetMode="External" /><Relationship Type="http://schemas.openxmlformats.org/officeDocument/2006/relationships/hyperlink" Id="rId37" Target="https://doi.org/10.2307/j.ctv346rbz" TargetMode="External" /><Relationship Type="http://schemas.openxmlformats.org/officeDocument/2006/relationships/hyperlink" Id="rId29" Target="https://doi.org/10.5169/seals-515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2023-10-09T14:46:42Z</dcterms:created>
  <dcterms:modified xsi:type="dcterms:W3CDTF">2023-10-09T14:46:42Z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