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used to govern alternately since the post-war period.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presents regression results of long-term voting outcomes for the main Swiss parties using the VoxIt cumulative dataset. Then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44" w:name="X1146a52625e55c0ef43c9b0f3ea23ed6b1775f5"/>
    <w:p>
      <w:pPr>
        <w:pStyle w:val="Heading1"/>
      </w:pPr>
      <w:r>
        <w:t xml:space="preserve">2. Social blocs, socio-economic factors and voting outcomes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liberal-right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definition given by Swiss social scientists, the bourgeois bloc refers to a political coalition between the Radical-Democrats, the Catholic-Conservatives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blocs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w:t>
      </w:r>
      <w:r>
        <w:t xml:space="preserve"> </w:t>
      </w:r>
      <w:r>
        <w:t xml:space="preserve">“</w:t>
      </w:r>
      <w:r>
        <w:t xml:space="preserve">bourgeois bloc</w:t>
      </w:r>
      <w:r>
        <w:t xml:space="preserve">”</w:t>
      </w:r>
      <w:r>
        <w:t xml:space="preserve">. Part of the working class and of the democrats (educated elite) joined the emerging socialist-left bloc while the Catholic-Conservatives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SVP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be described as bourgeois in the 1970s.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40"/>
    <w:bookmarkStart w:id="43"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chapter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t xml:space="preserve">“</w:t>
      </w:r>
      <w:r>
        <w:t xml:space="preserve">brahmin right</w:t>
      </w:r>
      <w:r>
        <w:t xml:space="preserve">”</w:t>
      </w:r>
      <w:r>
        <w:t xml:space="preserve">, whereas the right kept the support of the wealthy (</w:t>
      </w:r>
      <w:r>
        <w:t xml:space="preserve">“</w:t>
      </w:r>
      <w:r>
        <w:t xml:space="preserve">merchant right</w:t>
      </w:r>
      <w:r>
        <w:t xml:space="preserve">”</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w:t>
      </w:r>
      <w:r>
        <w:t xml:space="preserve"> </w:t>
      </w:r>
      <w:r>
        <w:t xml:space="preserve">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Testing the relevance of the brahmin left vs merchant right divide,</w:t>
      </w:r>
      <w:r>
        <w:t xml:space="preserve"> </w:t>
      </w:r>
      <w:r>
        <w:t xml:space="preserve">Amable and Darcillon (2022a)</w:t>
      </w:r>
      <w:r>
        <w:t xml:space="preserve"> </w:t>
      </w:r>
      <w:r>
        <w:t xml:space="preserve">offer contrasting results. On the one hand, preference for redistribution decreases with both education and income levels. On the other hand, support for globalization (such as immigration) is not only structured by education level, but also positively associated with income.</w:t>
      </w:r>
      <w:r>
        <w:t xml:space="preserve"> </w:t>
      </w:r>
      <w:r>
        <w:t xml:space="preserve">Amable and Darcillon (2022a)</w:t>
      </w:r>
      <w:r>
        <w:t xml:space="preserve"> </w:t>
      </w:r>
      <w:r>
        <w:t xml:space="preserve">suggest the possibility of a rapprochement between the brahmin left and the merchant right, giving birth to a bourgeois bloc uniting the wealthiest and most educated groups from the left and the right.</w:t>
      </w:r>
      <w:r>
        <w:t xml:space="preserve"> </w:t>
      </w:r>
      <w:r>
        <w:t xml:space="preserve">Amable and Darcillon (2022b)</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relatively a minor role in Switzerland. On the one hand, class conflict was always cut across a wide variety of other divides: religious, linguistic or regional. As a result, Switzerland was a forerunner in the emergence of this</w:t>
      </w:r>
      <w:r>
        <w:t xml:space="preserve"> </w:t>
      </w:r>
      <w:r>
        <w:t xml:space="preserve">“</w:t>
      </w:r>
      <w:r>
        <w:t xml:space="preserve">cultural</w:t>
      </w:r>
      <w:r>
        <w:t xml:space="preserve">”</w:t>
      </w:r>
      <w:r>
        <w:t xml:space="preserve"> </w:t>
      </w:r>
      <w:r>
        <w:t xml:space="preserve">cleavage, but also in the precociousness and strength of the educational shift.</w:t>
      </w:r>
      <w:r>
        <w:t xml:space="preserve"> </w:t>
      </w: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(2022a, 2022b)</w:t>
      </w:r>
      <w:r>
        <w:t xml:space="preserve">:</w:t>
      </w:r>
    </w:p>
    <w:p>
      <w:pPr>
        <w:numPr>
          <w:ilvl w:val="0"/>
          <w:numId w:val="1001"/>
        </w:numPr>
      </w:pPr>
      <w:r>
        <w:rPr>
          <w:iCs/>
          <w:i/>
        </w:rPr>
        <w:t xml:space="preserve">Brahmin left versus merchant right hypothesis</w:t>
      </w:r>
    </w:p>
    <w:p>
      <w:pPr>
        <w:numPr>
          <w:ilvl w:val="0"/>
          <w:numId w:val="1000"/>
        </w:numPr>
      </w:pPr>
      <w:r>
        <w:t xml:space="preserve">The support for the left increases with education but not with income level. The support for right parties increase with income level, but not with education. The support for the far-right decreases with both income and education levels.</w:t>
      </w:r>
    </w:p>
    <w:p>
      <w:pPr>
        <w:numPr>
          <w:ilvl w:val="0"/>
          <w:numId w:val="1001"/>
        </w:numPr>
      </w:pPr>
      <w:r>
        <w:rPr>
          <w:iCs/>
          <w:i/>
        </w:rPr>
        <w:t xml:space="preserve">Bourgeois bloc hypothesis</w:t>
      </w:r>
    </w:p>
    <w:p>
      <w:pPr>
        <w:numPr>
          <w:ilvl w:val="0"/>
          <w:numId w:val="1000"/>
        </w:numPr>
      </w:pPr>
      <w:r>
        <w:t xml:space="preserve">The support for right parties increase with both income and education levels. Popular groups support either the nativist far-right bloc or abstention.</w:t>
      </w:r>
    </w:p>
    <w:bookmarkStart w:id="42" w:name="data-and-empirical-strategy"/>
    <w:p>
      <w:pPr>
        <w:pStyle w:val="Heading3"/>
      </w:pPr>
      <w:r>
        <w:t xml:space="preserve">2.2.1 Data and empirical strategy</w:t>
      </w:r>
    </w:p>
    <w:p>
      <w:pPr>
        <w:pStyle w:val="FirstParagraph"/>
      </w:pPr>
      <w:r>
        <w:t xml:space="preserve">To test the hypotheses above, two types of data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The main dependent variables are binary variables for party support.</w:t>
      </w:r>
    </w:p>
    <w:p>
      <w:pPr>
        <w:pStyle w:val="BodyText"/>
      </w:pPr>
      <w:r>
        <w:t xml:space="preserve">The two main explanatory variables are income and education levels. The income variable needed more recoding since the scale of the variable changed in 1991:</w:t>
      </w:r>
      <w:r>
        <w:t xml:space="preserve"> </w:t>
      </w:r>
      <w:r>
        <w:t xml:space="preserve">“</w:t>
      </w:r>
      <w:r>
        <w:t xml:space="preserve">nivmena</w:t>
      </w:r>
      <w:r>
        <w:t xml:space="preserve">”</w:t>
      </w:r>
      <w:r>
        <w:t xml:space="preserve"> </w:t>
      </w:r>
      <w:r>
        <w:t xml:space="preserve">is a four scale variables on the respondent’s standard of living, while</w:t>
      </w:r>
      <w:r>
        <w:t xml:space="preserve"> </w:t>
      </w:r>
      <w:r>
        <w:t xml:space="preserve">“</w:t>
      </w:r>
      <w:r>
        <w:t xml:space="preserve">revenu</w:t>
      </w:r>
      <w:r>
        <w:t xml:space="preserve">”</w:t>
      </w:r>
      <w:r>
        <w:t xml:space="preserve"> </w:t>
      </w:r>
      <w:r>
        <w:t xml:space="preserve">is a more standard income variable in five categories. In order to have significant and robust results, years are grouped into categories of two. The cumulative dataset offers few variables which a few missing value rates across the years and can be added as control variables: age (recoded into categories), gender and house ownership.</w:t>
      </w:r>
    </w:p>
    <w:bookmarkStart w:id="41" w:name="the-model"/>
    <w:p>
      <w:pPr>
        <w:pStyle w:val="Heading4"/>
      </w:pPr>
      <w:r>
        <w:t xml:space="preserve">2.2.1.1 The model</w:t>
      </w:r>
    </w:p>
    <w:p>
      <w:pPr>
        <w:pStyle w:val="FirstParagraph"/>
      </w:pPr>
      <w:r>
        <w:t xml:space="preserve">The main methodological challenge of these two repeated cross-sectional datasets (RPC) is the clustering structure of the data. On the one hand, the observations (Swiss citizen) are clustered into cantons, which are an important level in Switzerland. On the other hand, the time structure and trend of the data are highly relevant for our research question.</w:t>
      </w:r>
    </w:p>
    <w:p>
      <w:pPr>
        <w:pStyle w:val="BodyText"/>
      </w:pPr>
      <w:r>
        <w:t xml:space="preserve">To face this challenge, multilevel binary probit regressions are run for each Swiss main parties (PRD-PLR, PS, UDC, PDC, Greens). In our case study, multilevel/hierarchical models offer several advantages and relevant properties. On the one hand, they allow to take regions (here Swiss cantons) and time as levels in which observations are nested. Taking cantons as a level is especially relevant for Switzerland, in which every day political life, institutions and party system are highly decentralized, federalist and organized at the cantonal level.</w:t>
      </w:r>
      <w:r>
        <w:t xml:space="preserve"> </w:t>
      </w:r>
      <w:r>
        <w:t xml:space="preserve">Each canton has its own specific institutions and can show very different patterns of party support and party system. For instance, some parties exist solely at the cantonal level, like the</w:t>
      </w:r>
      <w:r>
        <w:t xml:space="preserve"> </w:t>
      </w:r>
      <w:r>
        <w:rPr>
          <w:iCs/>
          <w:i/>
        </w:rPr>
        <w:t xml:space="preserve">Mouvement Citoyen Genevois</w:t>
      </w:r>
      <w:r>
        <w:t xml:space="preserve"> </w:t>
      </w:r>
      <w:r>
        <w:t xml:space="preserve">(</w:t>
      </w:r>
      <w:r>
        <w:rPr>
          <w:iCs/>
          <w:i/>
        </w:rPr>
        <w:t xml:space="preserve">Genevan Citizen Movement</w:t>
      </w:r>
      <w:r>
        <w:t xml:space="preserve">, MCG) or the</w:t>
      </w:r>
      <w:r>
        <w:t xml:space="preserve"> </w:t>
      </w:r>
      <w:r>
        <w:rPr>
          <w:iCs/>
          <w:i/>
        </w:rPr>
        <w:t xml:space="preserve">Lega Ticinesi</w:t>
      </w:r>
      <w:r>
        <w:t xml:space="preserve">. On the other hand, taking into account the multilevel structure of the data allow better inference and, parameters and standard errors estimations</w:t>
      </w:r>
      <w:r>
        <w:t xml:space="preserve"> </w:t>
      </w:r>
      <w:r>
        <w:t xml:space="preserve">(Julian 2001; Steenbergen and Jones 2002)</w:t>
      </w:r>
      <w:r>
        <w:t xml:space="preserve">.</w:t>
      </w:r>
    </w:p>
    <w:p>
      <w:pPr>
        <w:pStyle w:val="BodyText"/>
      </w:pPr>
      <w:r>
        <w:t xml:space="preserve">To analyze the time trend, two approaches are considered. In a classic study which explored the links between income and party support in the US,</w:t>
      </w:r>
      <w:r>
        <w:t xml:space="preserve"> </w:t>
      </w:r>
      <w:r>
        <w:t xml:space="preserve">Gelman et al. (2007)</w:t>
      </w:r>
      <w:r>
        <w:t xml:space="preserve"> </w:t>
      </w:r>
      <w:r>
        <w:t xml:space="preserve">used repeated multilevel modelling for US post-election surveys to uncover the</w:t>
      </w:r>
      <w:r>
        <w:t xml:space="preserve"> </w:t>
      </w:r>
      <w:r>
        <w:t xml:space="preserve">“</w:t>
      </w:r>
      <w:r>
        <w:t xml:space="preserve">rich states, blue states</w:t>
      </w:r>
      <w:r>
        <w:t xml:space="preserve">”</w:t>
      </w:r>
      <w:r>
        <w:t xml:space="preserve"> </w:t>
      </w:r>
      <w:r>
        <w:t xml:space="preserve">paradox, the fact that, at the state level, richer states support the democrats while, at the national (individual) level, richer voters still support the Republican. By Using this</w:t>
      </w:r>
      <w:r>
        <w:t xml:space="preserve"> </w:t>
      </w:r>
      <w:r>
        <w:t xml:space="preserve">“</w:t>
      </w:r>
      <w:r>
        <w:t xml:space="preserve">secret weapon</w:t>
      </w:r>
      <w:r>
        <w:t xml:space="preserve">”</w:t>
      </w:r>
      <w:r>
        <w:t xml:space="preserve">,</w:t>
      </w:r>
      <w:r>
        <w:t xml:space="preserve"> </w:t>
      </w:r>
      <w:r>
        <w:t xml:space="preserve">Gelman et al. (2007)</w:t>
      </w:r>
      <w:r>
        <w:t xml:space="preserve"> </w:t>
      </w:r>
      <w:r>
        <w:t xml:space="preserve">showed that this paradox is the result of varying strength of association between income and party support across states: in poor states, the link between income and support for republican is higher than in rich states. Another possible approach is to consider time as level per se: instead of running separate regressions for each year, time can be modeled directly as a level</w:t>
      </w:r>
      <w:r>
        <w:t xml:space="preserve"> </w:t>
      </w:r>
      <w:r>
        <w:t xml:space="preserve">(Gelman and Hill 2006)</w:t>
      </w:r>
      <w:r>
        <w:t xml:space="preserve">.</w:t>
      </w:r>
    </w:p>
    <w:bookmarkEnd w:id="41"/>
    <w:bookmarkEnd w:id="42"/>
    <w:bookmarkEnd w:id="43"/>
    <w:bookmarkEnd w:id="44"/>
    <w:bookmarkStart w:id="155" w:name="references"/>
    <w:p>
      <w:pPr>
        <w:pStyle w:val="Heading1"/>
      </w:pPr>
      <w:r>
        <w:t xml:space="preserve">References</w:t>
      </w:r>
    </w:p>
    <w:bookmarkStart w:id="154" w:name="refs"/>
    <w:bookmarkStart w:id="4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45">
        <w:r>
          <w:rPr>
            <w:rStyle w:val="Hyperlink"/>
          </w:rPr>
          <w:t xml:space="preserve">https://doi.org/10.1177/002200947901400402</w:t>
        </w:r>
      </w:hyperlink>
      <w:r>
        <w:t xml:space="preserve">.</w:t>
      </w:r>
    </w:p>
    <w:bookmarkEnd w:id="46"/>
    <w:bookmarkStart w:id="4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47"/>
    <w:bookmarkStart w:id="4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48">
        <w:r>
          <w:rPr>
            <w:rStyle w:val="Hyperlink"/>
          </w:rPr>
          <w:t xml:space="preserve">https://doi.org/10.1093/acprof:oso/9780198787815.001.0001</w:t>
        </w:r>
      </w:hyperlink>
      <w:r>
        <w:t xml:space="preserve">.</w:t>
      </w:r>
    </w:p>
    <w:bookmarkEnd w:id="49"/>
    <w:bookmarkStart w:id="5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50">
        <w:r>
          <w:rPr>
            <w:rStyle w:val="Hyperlink"/>
          </w:rPr>
          <w:t xml:space="preserve">https://doi.org/10.4000/regulation.20350</w:t>
        </w:r>
      </w:hyperlink>
      <w:r>
        <w:t xml:space="preserve">.</w:t>
      </w:r>
    </w:p>
    <w:bookmarkEnd w:id="51"/>
    <w:bookmarkStart w:id="52" w:name="ref-amable_brahmin_2022"/>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52"/>
    <w:bookmarkStart w:id="54" w:name="ref-amable_brahmin_2022-1"/>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53">
        <w:r>
          <w:rPr>
            <w:rStyle w:val="Hyperlink"/>
          </w:rPr>
          <w:t xml:space="preserve">https://doi.org/10.1080/09692290.2021.1913440</w:t>
        </w:r>
      </w:hyperlink>
      <w:r>
        <w:t xml:space="preserve">.</w:t>
      </w:r>
    </w:p>
    <w:bookmarkEnd w:id="54"/>
    <w:bookmarkStart w:id="5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55"/>
    <w:bookmarkStart w:id="5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56"/>
    <w:bookmarkStart w:id="5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57">
        <w:r>
          <w:rPr>
            <w:rStyle w:val="Hyperlink"/>
          </w:rPr>
          <w:t xml:space="preserve">https://doi.org/10.1093/ser/mwn018</w:t>
        </w:r>
      </w:hyperlink>
      <w:r>
        <w:t xml:space="preserve">.</w:t>
      </w:r>
    </w:p>
    <w:bookmarkEnd w:id="58"/>
    <w:bookmarkStart w:id="59"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59"/>
    <w:bookmarkStart w:id="61"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60">
        <w:r>
          <w:rPr>
            <w:rStyle w:val="Hyperlink"/>
          </w:rPr>
          <w:t xml:space="preserve">https://doi.org/10.1080/13563467.2023.2215701</w:t>
        </w:r>
      </w:hyperlink>
      <w:r>
        <w:t xml:space="preserve">.</w:t>
      </w:r>
    </w:p>
    <w:bookmarkEnd w:id="61"/>
    <w:bookmarkStart w:id="62"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62"/>
    <w:bookmarkStart w:id="64"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63">
        <w:r>
          <w:rPr>
            <w:rStyle w:val="Hyperlink"/>
          </w:rPr>
          <w:t xml:space="preserve">https://doi.org/10.5169/seals-515017</w:t>
        </w:r>
      </w:hyperlink>
      <w:r>
        <w:t xml:space="preserve">.</w:t>
      </w:r>
    </w:p>
    <w:bookmarkEnd w:id="64"/>
    <w:bookmarkStart w:id="66"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65">
        <w:r>
          <w:rPr>
            <w:rStyle w:val="Hyperlink"/>
          </w:rPr>
          <w:t xml:space="preserve">http://gen.lib.rus.ec/book/index.php?md5=ee123095cfe9fb8d6bcd03d6579a0705</w:t>
        </w:r>
      </w:hyperlink>
      <w:r>
        <w:t xml:space="preserve">.</w:t>
      </w:r>
    </w:p>
    <w:bookmarkEnd w:id="66"/>
    <w:bookmarkStart w:id="67"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67"/>
    <w:bookmarkStart w:id="69"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68">
        <w:r>
          <w:rPr>
            <w:rStyle w:val="Hyperlink"/>
          </w:rPr>
          <w:t xml:space="preserve">https://doi.org/10.23662/FORS-DS-688-2</w:t>
        </w:r>
      </w:hyperlink>
      <w:r>
        <w:t xml:space="preserve">.</w:t>
      </w:r>
    </w:p>
    <w:bookmarkEnd w:id="69"/>
    <w:bookmarkStart w:id="71"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70">
        <w:r>
          <w:rPr>
            <w:rStyle w:val="Hyperlink"/>
          </w:rPr>
          <w:t xml:space="preserve">https://doi.org/10.1002/j.1662-6370.1997.tb00198.x</w:t>
        </w:r>
      </w:hyperlink>
      <w:r>
        <w:t xml:space="preserve">.</w:t>
      </w:r>
    </w:p>
    <w:bookmarkEnd w:id="71"/>
    <w:bookmarkStart w:id="73"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72">
        <w:r>
          <w:rPr>
            <w:rStyle w:val="Hyperlink"/>
          </w:rPr>
          <w:t xml:space="preserve">https://oec.world/en/rankings/eci/hs6/hs96</w:t>
        </w:r>
      </w:hyperlink>
      <w:r>
        <w:t xml:space="preserve">.</w:t>
      </w:r>
    </w:p>
    <w:bookmarkEnd w:id="73"/>
    <w:bookmarkStart w:id="74"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74"/>
    <w:bookmarkStart w:id="76"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75">
        <w:r>
          <w:rPr>
            <w:rStyle w:val="Hyperlink"/>
          </w:rPr>
          <w:t xml:space="preserve">https://wid.world/wp-content/uploads/2021/03/WorldInequalityLab_WP2021_08_PoliticalCleavages_AustriaBelgiumNLSwitzerland.pdf</w:t>
        </w:r>
      </w:hyperlink>
      <w:r>
        <w:t xml:space="preserve">.</w:t>
      </w:r>
    </w:p>
    <w:bookmarkEnd w:id="76"/>
    <w:bookmarkStart w:id="78"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77">
        <w:r>
          <w:rPr>
            <w:rStyle w:val="Hyperlink"/>
          </w:rPr>
          <w:t xml:space="preserve">https://doi.org/10.1177/0010414002250664</w:t>
        </w:r>
      </w:hyperlink>
      <w:r>
        <w:t xml:space="preserve">.</w:t>
      </w:r>
    </w:p>
    <w:bookmarkEnd w:id="78"/>
    <w:bookmarkStart w:id="79" w:name="ref-gelman_data_2006"/>
    <w:p>
      <w:pPr>
        <w:pStyle w:val="Bibliography"/>
      </w:pPr>
      <w:r>
        <w:t xml:space="preserve">Gelman, Andrew, and Jennifer Hill. 2006.</w:t>
      </w:r>
      <w:r>
        <w:t xml:space="preserve"> </w:t>
      </w:r>
      <w:r>
        <w:rPr>
          <w:iCs/>
          <w:i/>
        </w:rPr>
        <w:t xml:space="preserve">Data Analysis Using Regression and Multilevel/Hierarchical Models</w:t>
      </w:r>
      <w:r>
        <w:t xml:space="preserve">. Cambridge University Press.</w:t>
      </w:r>
    </w:p>
    <w:bookmarkEnd w:id="79"/>
    <w:bookmarkStart w:id="80" w:name="ref-gelman_rich_2007"/>
    <w:p>
      <w:pPr>
        <w:pStyle w:val="Bibliography"/>
      </w:pPr>
      <w:r>
        <w:t xml:space="preserve">Gelman, Andrew, Boris Shor, Joseph Bafumi, and David Park. 2007.</w:t>
      </w:r>
      <w:r>
        <w:t xml:space="preserve"> </w:t>
      </w:r>
      <w:r>
        <w:t xml:space="preserve">“Rich State, Poor State, Red State, Blue State: What’s the Matter with Connecticut?”</w:t>
      </w:r>
      <w:r>
        <w:t xml:space="preserve"> </w:t>
      </w:r>
      <w:r>
        <w:rPr>
          <w:iCs/>
          <w:i/>
        </w:rPr>
        <w:t xml:space="preserve">Quarterly Journal of Political Science</w:t>
      </w:r>
      <w:r>
        <w:t xml:space="preserve"> </w:t>
      </w:r>
      <w:r>
        <w:t xml:space="preserve">2: 345–67.</w:t>
      </w:r>
    </w:p>
    <w:bookmarkEnd w:id="80"/>
    <w:bookmarkStart w:id="82"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81">
        <w:r>
          <w:rPr>
            <w:rStyle w:val="Hyperlink"/>
          </w:rPr>
          <w:t xml:space="preserve">https://www.letemps.ch/economie/gerhard-schwarz-une-suisse-neoliberale-cest-une-fake-news</w:t>
        </w:r>
      </w:hyperlink>
      <w:r>
        <w:t xml:space="preserve">.</w:t>
      </w:r>
    </w:p>
    <w:bookmarkEnd w:id="82"/>
    <w:bookmarkStart w:id="84"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83">
        <w:r>
          <w:rPr>
            <w:rStyle w:val="Hyperlink"/>
          </w:rPr>
          <w:t xml:space="preserve">https://doi.org/10.1093/qje/qjab036</w:t>
        </w:r>
      </w:hyperlink>
      <w:r>
        <w:t xml:space="preserve">.</w:t>
      </w:r>
    </w:p>
    <w:bookmarkEnd w:id="84"/>
    <w:bookmarkStart w:id="85"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85"/>
    <w:bookmarkStart w:id="87"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86">
        <w:r>
          <w:rPr>
            <w:rStyle w:val="Hyperlink"/>
          </w:rPr>
          <w:t xml:space="preserve">https://www.avenir-suisse.ch/fr/7-bonnes-raisons-de-privatiser-lenergie/</w:t>
        </w:r>
      </w:hyperlink>
      <w:r>
        <w:t xml:space="preserve">.</w:t>
      </w:r>
    </w:p>
    <w:bookmarkEnd w:id="87"/>
    <w:bookmarkStart w:id="8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88"/>
    <w:bookmarkStart w:id="8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89"/>
    <w:bookmarkStart w:id="9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90">
        <w:r>
          <w:rPr>
            <w:rStyle w:val="Hyperlink"/>
          </w:rPr>
          <w:t xml:space="preserve">https://doi.org/10.1080/13501763.2017.1310279</w:t>
        </w:r>
      </w:hyperlink>
      <w:r>
        <w:t xml:space="preserve">.</w:t>
      </w:r>
    </w:p>
    <w:bookmarkEnd w:id="91"/>
    <w:bookmarkStart w:id="9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92">
        <w:r>
          <w:rPr>
            <w:rStyle w:val="Hyperlink"/>
          </w:rPr>
          <w:t xml:space="preserve">https://doi.org/10.2307/1953494</w:t>
        </w:r>
      </w:hyperlink>
      <w:r>
        <w:t xml:space="preserve">.</w:t>
      </w:r>
    </w:p>
    <w:bookmarkEnd w:id="93"/>
    <w:bookmarkStart w:id="9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94">
        <w:r>
          <w:rPr>
            <w:rStyle w:val="Hyperlink"/>
          </w:rPr>
          <w:t xml:space="preserve">https://doi.org/10.2307/j.ctv346rbz</w:t>
        </w:r>
      </w:hyperlink>
      <w:r>
        <w:t xml:space="preserve">.</w:t>
      </w:r>
    </w:p>
    <w:bookmarkEnd w:id="95"/>
    <w:bookmarkStart w:id="9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96">
        <w:r>
          <w:rPr>
            <w:rStyle w:val="Hyperlink"/>
          </w:rPr>
          <w:t xml:space="preserve">https://doi.org/10.2307/1962590</w:t>
        </w:r>
      </w:hyperlink>
      <w:r>
        <w:t xml:space="preserve">.</w:t>
      </w:r>
    </w:p>
    <w:bookmarkEnd w:id="97"/>
    <w:bookmarkStart w:id="99" w:name="ref-julian_consequences_2001"/>
    <w:p>
      <w:pPr>
        <w:pStyle w:val="Bibliography"/>
      </w:pPr>
      <w:r>
        <w:t xml:space="preserve">Julian, Marc W. 2001.</w:t>
      </w:r>
      <w:r>
        <w:t xml:space="preserve"> </w:t>
      </w:r>
      <w:r>
        <w:t xml:space="preserve">“The Consequences of Ignoring Multilevel Data Structures in Nonhierarchical Covariance Modeling.”</w:t>
      </w:r>
      <w:r>
        <w:t xml:space="preserve"> </w:t>
      </w:r>
      <w:r>
        <w:rPr>
          <w:iCs/>
          <w:i/>
        </w:rPr>
        <w:t xml:space="preserve">Structural Equation Modeling: A Multidisciplinary Journal</w:t>
      </w:r>
      <w:r>
        <w:t xml:space="preserve"> </w:t>
      </w:r>
      <w:r>
        <w:t xml:space="preserve">8 (3): 325–52.</w:t>
      </w:r>
      <w:r>
        <w:t xml:space="preserve"> </w:t>
      </w:r>
      <w:hyperlink r:id="rId98">
        <w:r>
          <w:rPr>
            <w:rStyle w:val="Hyperlink"/>
          </w:rPr>
          <w:t xml:space="preserve">https://doi.org/10.1207/S15328007SEM0803_1</w:t>
        </w:r>
      </w:hyperlink>
      <w:r>
        <w:t xml:space="preserve">.</w:t>
      </w:r>
    </w:p>
    <w:bookmarkEnd w:id="99"/>
    <w:bookmarkStart w:id="100"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00"/>
    <w:bookmarkStart w:id="102"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01">
        <w:r>
          <w:rPr>
            <w:rStyle w:val="Hyperlink"/>
          </w:rPr>
          <w:t xml:space="preserve">http://gen.lib.rus.ec/book/index.php?md5=672bb6ec977ceddc83c745ffc8db0022</w:t>
        </w:r>
      </w:hyperlink>
      <w:r>
        <w:t xml:space="preserve">.</w:t>
      </w:r>
    </w:p>
    <w:bookmarkEnd w:id="102"/>
    <w:bookmarkStart w:id="104"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03">
        <w:r>
          <w:rPr>
            <w:rStyle w:val="Hyperlink"/>
          </w:rPr>
          <w:t xml:space="preserve">https://doi.org/10.1111/j.1475-6765.2006.00644.x</w:t>
        </w:r>
      </w:hyperlink>
      <w:r>
        <w:t xml:space="preserve">.</w:t>
      </w:r>
    </w:p>
    <w:bookmarkEnd w:id="104"/>
    <w:bookmarkStart w:id="106"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05">
        <w:r>
          <w:rPr>
            <w:rStyle w:val="Hyperlink"/>
          </w:rPr>
          <w:t xml:space="preserve">https://doi.org/10.1017/CBO9780511790720</w:t>
        </w:r>
      </w:hyperlink>
      <w:r>
        <w:t xml:space="preserve">.</w:t>
      </w:r>
    </w:p>
    <w:bookmarkEnd w:id="106"/>
    <w:bookmarkStart w:id="107"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07"/>
    <w:bookmarkStart w:id="108"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08"/>
    <w:bookmarkStart w:id="110"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09">
        <w:r>
          <w:rPr>
            <w:rStyle w:val="Hyperlink"/>
          </w:rPr>
          <w:t xml:space="preserve">https://doi.org/10.1080/1350176032000059053</w:t>
        </w:r>
      </w:hyperlink>
      <w:r>
        <w:t xml:space="preserve">.</w:t>
      </w:r>
    </w:p>
    <w:bookmarkEnd w:id="110"/>
    <w:bookmarkStart w:id="112"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11">
        <w:r>
          <w:rPr>
            <w:rStyle w:val="Hyperlink"/>
          </w:rPr>
          <w:t xml:space="preserve">https://doi.org/10.2202/1935-6226.1022</w:t>
        </w:r>
      </w:hyperlink>
      <w:r>
        <w:t xml:space="preserve">.</w:t>
      </w:r>
    </w:p>
    <w:bookmarkEnd w:id="112"/>
    <w:bookmarkStart w:id="113"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13"/>
    <w:bookmarkStart w:id="114"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14"/>
    <w:bookmarkStart w:id="115"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15"/>
    <w:bookmarkStart w:id="116"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16"/>
    <w:bookmarkStart w:id="118"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17">
        <w:r>
          <w:rPr>
            <w:rStyle w:val="Hyperlink"/>
          </w:rPr>
          <w:t xml:space="preserve">https://hdr.undp.org/content/human-development-report-2021-22</w:t>
        </w:r>
      </w:hyperlink>
      <w:r>
        <w:t xml:space="preserve">.</w:t>
      </w:r>
    </w:p>
    <w:bookmarkEnd w:id="118"/>
    <w:bookmarkStart w:id="120"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19">
        <w:r>
          <w:rPr>
            <w:rStyle w:val="Hyperlink"/>
          </w:rPr>
          <w:t xml:space="preserve">https://doi.org/10.1017/S0143814X98000129</w:t>
        </w:r>
      </w:hyperlink>
      <w:r>
        <w:t xml:space="preserve">.</w:t>
      </w:r>
    </w:p>
    <w:bookmarkEnd w:id="120"/>
    <w:bookmarkStart w:id="122"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21">
        <w:r>
          <w:rPr>
            <w:rStyle w:val="Hyperlink"/>
          </w:rPr>
          <w:t xml:space="preserve">https://www.oecd-ilibrary.org/economics/oecd-economic-surveys-switzerland-1992_eco_surveys-che-1992-en</w:t>
        </w:r>
      </w:hyperlink>
      <w:r>
        <w:t xml:space="preserve">.</w:t>
      </w:r>
    </w:p>
    <w:bookmarkEnd w:id="122"/>
    <w:bookmarkStart w:id="124"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23">
        <w:r>
          <w:rPr>
            <w:rStyle w:val="Hyperlink"/>
          </w:rPr>
          <w:t xml:space="preserve">https://www.oecd-ilibrary.org/economics/oecd-economic-surveys-switzerland-2019_7e6fd372-en</w:t>
        </w:r>
      </w:hyperlink>
      <w:r>
        <w:t xml:space="preserve">.</w:t>
      </w:r>
    </w:p>
    <w:bookmarkEnd w:id="124"/>
    <w:bookmarkStart w:id="126"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25">
        <w:r>
          <w:rPr>
            <w:rStyle w:val="Hyperlink"/>
          </w:rPr>
          <w:t xml:space="preserve">https://www.oecd-ilibrary.org/economics/oecd-economic-surveys-switzerland-2022_1fde6924-en</w:t>
        </w:r>
      </w:hyperlink>
      <w:r>
        <w:t xml:space="preserve">.</w:t>
      </w:r>
    </w:p>
    <w:bookmarkEnd w:id="126"/>
    <w:bookmarkStart w:id="127"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27"/>
    <w:bookmarkStart w:id="129"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28">
        <w:r>
          <w:rPr>
            <w:rStyle w:val="Hyperlink"/>
          </w:rPr>
          <w:t xml:space="preserve">https://doi.org/10.1002/j.1662-6370.2010.tb00433.x</w:t>
        </w:r>
      </w:hyperlink>
      <w:r>
        <w:t xml:space="preserve">.</w:t>
      </w:r>
    </w:p>
    <w:bookmarkEnd w:id="129"/>
    <w:bookmarkStart w:id="131"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30">
        <w:r>
          <w:rPr>
            <w:rStyle w:val="Hyperlink"/>
          </w:rPr>
          <w:t xml:space="preserve">https://doi.org/10.1111/1475-6765.12259</w:t>
        </w:r>
      </w:hyperlink>
      <w:r>
        <w:t xml:space="preserve">.</w:t>
      </w:r>
    </w:p>
    <w:bookmarkEnd w:id="131"/>
    <w:bookmarkStart w:id="132"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32"/>
    <w:bookmarkStart w:id="133"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33"/>
    <w:bookmarkStart w:id="134"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34"/>
    <w:bookmarkStart w:id="135" w:name="ref-piketty_capital_2019"/>
    <w:p>
      <w:pPr>
        <w:pStyle w:val="Bibliography"/>
      </w:pPr>
      <w:r>
        <w:t xml:space="preserve">———. 2019.</w:t>
      </w:r>
      <w:r>
        <w:t xml:space="preserve"> </w:t>
      </w:r>
      <w:r>
        <w:rPr>
          <w:iCs/>
          <w:i/>
        </w:rPr>
        <w:t xml:space="preserve">Capital Et Idéologie</w:t>
      </w:r>
      <w:r>
        <w:t xml:space="preserve">. Le Seuil.</w:t>
      </w:r>
    </w:p>
    <w:bookmarkEnd w:id="135"/>
    <w:bookmarkStart w:id="137"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36">
        <w:r>
          <w:rPr>
            <w:rStyle w:val="Hyperlink"/>
          </w:rPr>
          <w:t xml:space="preserve">https://doi.org/10.1111/spsr.12124</w:t>
        </w:r>
      </w:hyperlink>
      <w:r>
        <w:t xml:space="preserve">.</w:t>
      </w:r>
    </w:p>
    <w:bookmarkEnd w:id="137"/>
    <w:bookmarkStart w:id="139"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38">
        <w:r>
          <w:rPr>
            <w:rStyle w:val="Hyperlink"/>
          </w:rPr>
          <w:t xml:space="preserve">http://gen.lib.rus.ec/book/index.php?md5=DC2AFED8958B9AE0932FFEFEAB45546C</w:t>
        </w:r>
      </w:hyperlink>
      <w:r>
        <w:t xml:space="preserve">.</w:t>
      </w:r>
    </w:p>
    <w:bookmarkEnd w:id="139"/>
    <w:bookmarkStart w:id="140" w:name="ref-ribeaud_quand_1998"/>
    <w:p>
      <w:pPr>
        <w:pStyle w:val="Bibliography"/>
      </w:pPr>
      <w:r>
        <w:t xml:space="preserve">Ribeaud, José. 1998.</w:t>
      </w:r>
      <w:r>
        <w:t xml:space="preserve"> </w:t>
      </w:r>
      <w:r>
        <w:rPr>
          <w:iCs/>
          <w:i/>
        </w:rPr>
        <w:t xml:space="preserve">Quand La Suisse Disparaîtra</w:t>
      </w:r>
      <w:r>
        <w:t xml:space="preserve">. Vevey: L’Aire.</w:t>
      </w:r>
    </w:p>
    <w:bookmarkEnd w:id="140"/>
    <w:bookmarkStart w:id="142"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41">
        <w:r>
          <w:rPr>
            <w:rStyle w:val="Hyperlink"/>
          </w:rPr>
          <w:t xml:space="preserve">https://www.epflpress.org/produit/1421/9782889155279/politique-suisse</w:t>
        </w:r>
      </w:hyperlink>
      <w:r>
        <w:t xml:space="preserve">.</w:t>
      </w:r>
    </w:p>
    <w:bookmarkEnd w:id="142"/>
    <w:bookmarkStart w:id="144" w:name="ref-steenbergen_modeling_2002"/>
    <w:p>
      <w:pPr>
        <w:pStyle w:val="Bibliography"/>
      </w:pPr>
      <w:r>
        <w:t xml:space="preserve">Steenbergen, Marco R., and Bradford S. Jones. 2002.</w:t>
      </w:r>
      <w:r>
        <w:t xml:space="preserve"> </w:t>
      </w:r>
      <w:r>
        <w:t xml:space="preserve">“Modeling Multilevel Data Structures.”</w:t>
      </w:r>
      <w:r>
        <w:t xml:space="preserve"> </w:t>
      </w:r>
      <w:r>
        <w:rPr>
          <w:iCs/>
          <w:i/>
        </w:rPr>
        <w:t xml:space="preserve">American Journal of Political Science</w:t>
      </w:r>
      <w:r>
        <w:t xml:space="preserve"> </w:t>
      </w:r>
      <w:r>
        <w:t xml:space="preserve">46 (1): 218–37.</w:t>
      </w:r>
      <w:r>
        <w:t xml:space="preserve"> </w:t>
      </w:r>
      <w:hyperlink r:id="rId143">
        <w:r>
          <w:rPr>
            <w:rStyle w:val="Hyperlink"/>
          </w:rPr>
          <w:t xml:space="preserve">https://doi.org/10.2307/3088424</w:t>
        </w:r>
      </w:hyperlink>
      <w:r>
        <w:t xml:space="preserve">.</w:t>
      </w:r>
    </w:p>
    <w:bookmarkEnd w:id="144"/>
    <w:bookmarkStart w:id="146"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45">
        <w:r>
          <w:rPr>
            <w:rStyle w:val="Hyperlink"/>
          </w:rPr>
          <w:t xml:space="preserve">https://doi.org/10.3917/socio.103.0243</w:t>
        </w:r>
      </w:hyperlink>
      <w:r>
        <w:t xml:space="preserve">.</w:t>
      </w:r>
    </w:p>
    <w:bookmarkEnd w:id="146"/>
    <w:bookmarkStart w:id="148"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47">
        <w:r>
          <w:rPr>
            <w:rStyle w:val="Hyperlink"/>
          </w:rPr>
          <w:t xml:space="preserve">https://doi.org/10.1017/S1755773913000246</w:t>
        </w:r>
      </w:hyperlink>
      <w:r>
        <w:t xml:space="preserve">.</w:t>
      </w:r>
    </w:p>
    <w:bookmarkEnd w:id="148"/>
    <w:bookmarkStart w:id="149"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49"/>
    <w:bookmarkStart w:id="151"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50">
        <w:r>
          <w:rPr>
            <w:rStyle w:val="Hyperlink"/>
          </w:rPr>
          <w:t xml:space="preserve">https://doi.org/10.48573/PCBM-2280</w:t>
        </w:r>
      </w:hyperlink>
      <w:r>
        <w:t xml:space="preserve">.</w:t>
      </w:r>
    </w:p>
    <w:bookmarkEnd w:id="151"/>
    <w:bookmarkStart w:id="153"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52">
        <w:r>
          <w:rPr>
            <w:rStyle w:val="Hyperlink"/>
          </w:rPr>
          <w:t xml:space="preserve">https://doi.org/10.1111/ajps.12743</w:t>
        </w:r>
      </w:hyperlink>
      <w:r>
        <w:t xml:space="preserve">.</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101" Target="http://gen.lib.rus.ec/book/index.php?md5=672bb6ec977ceddc83c745ffc8db0022" TargetMode="External" /><Relationship Type="http://schemas.openxmlformats.org/officeDocument/2006/relationships/hyperlink" Id="rId138" Target="http://gen.lib.rus.ec/book/index.php?md5=DC2AFED8958B9AE0932FFEFEAB45546C" TargetMode="External" /><Relationship Type="http://schemas.openxmlformats.org/officeDocument/2006/relationships/hyperlink" Id="rId65" Target="http://gen.lib.rus.ec/book/index.php?md5=ee123095cfe9fb8d6bcd03d6579a0705" TargetMode="External" /><Relationship Type="http://schemas.openxmlformats.org/officeDocument/2006/relationships/hyperlink" Id="rId70" Target="https://doi.org/10.1002/j.1662-6370.1997.tb00198.x" TargetMode="External" /><Relationship Type="http://schemas.openxmlformats.org/officeDocument/2006/relationships/hyperlink" Id="rId128" Target="https://doi.org/10.1002/j.1662-6370.2010.tb00433.x" TargetMode="External" /><Relationship Type="http://schemas.openxmlformats.org/officeDocument/2006/relationships/hyperlink" Id="rId105" Target="https://doi.org/10.1017/CBO9780511790720" TargetMode="External" /><Relationship Type="http://schemas.openxmlformats.org/officeDocument/2006/relationships/hyperlink" Id="rId119" Target="https://doi.org/10.1017/S0143814X98000129" TargetMode="External" /><Relationship Type="http://schemas.openxmlformats.org/officeDocument/2006/relationships/hyperlink" Id="rId147" Target="https://doi.org/10.1017/S1755773913000246" TargetMode="External" /><Relationship Type="http://schemas.openxmlformats.org/officeDocument/2006/relationships/hyperlink" Id="rId53" Target="https://doi.org/10.1080/09692290.2021.1913440" TargetMode="External" /><Relationship Type="http://schemas.openxmlformats.org/officeDocument/2006/relationships/hyperlink" Id="rId109" Target="https://doi.org/10.1080/1350176032000059053" TargetMode="External" /><Relationship Type="http://schemas.openxmlformats.org/officeDocument/2006/relationships/hyperlink" Id="rId90" Target="https://doi.org/10.1080/13501763.2017.1310279" TargetMode="External" /><Relationship Type="http://schemas.openxmlformats.org/officeDocument/2006/relationships/hyperlink" Id="rId60" Target="https://doi.org/10.1080/13563467.2023.2215701" TargetMode="External" /><Relationship Type="http://schemas.openxmlformats.org/officeDocument/2006/relationships/hyperlink" Id="rId48" Target="https://doi.org/10.1093/acprof:oso/9780198787815.001.0001" TargetMode="External" /><Relationship Type="http://schemas.openxmlformats.org/officeDocument/2006/relationships/hyperlink" Id="rId83" Target="https://doi.org/10.1093/qje/qjab036" TargetMode="External" /><Relationship Type="http://schemas.openxmlformats.org/officeDocument/2006/relationships/hyperlink" Id="rId57" Target="https://doi.org/10.1093/ser/mwn018" TargetMode="External" /><Relationship Type="http://schemas.openxmlformats.org/officeDocument/2006/relationships/hyperlink" Id="rId130" Target="https://doi.org/10.1111/1475-6765.12259" TargetMode="External" /><Relationship Type="http://schemas.openxmlformats.org/officeDocument/2006/relationships/hyperlink" Id="rId152" Target="https://doi.org/10.1111/ajps.12743" TargetMode="External" /><Relationship Type="http://schemas.openxmlformats.org/officeDocument/2006/relationships/hyperlink" Id="rId103" Target="https://doi.org/10.1111/j.1475-6765.2006.00644.x" TargetMode="External" /><Relationship Type="http://schemas.openxmlformats.org/officeDocument/2006/relationships/hyperlink" Id="rId136" Target="https://doi.org/10.1111/spsr.12124" TargetMode="External" /><Relationship Type="http://schemas.openxmlformats.org/officeDocument/2006/relationships/hyperlink" Id="rId77" Target="https://doi.org/10.1177/0010414002250664" TargetMode="External" /><Relationship Type="http://schemas.openxmlformats.org/officeDocument/2006/relationships/hyperlink" Id="rId45" Target="https://doi.org/10.1177/002200947901400402" TargetMode="External" /><Relationship Type="http://schemas.openxmlformats.org/officeDocument/2006/relationships/hyperlink" Id="rId98" Target="https://doi.org/10.1207/S15328007SEM0803_1" TargetMode="External" /><Relationship Type="http://schemas.openxmlformats.org/officeDocument/2006/relationships/hyperlink" Id="rId111" Target="https://doi.org/10.2202/1935-6226.1022" TargetMode="External" /><Relationship Type="http://schemas.openxmlformats.org/officeDocument/2006/relationships/hyperlink" Id="rId92" Target="https://doi.org/10.2307/1953494" TargetMode="External" /><Relationship Type="http://schemas.openxmlformats.org/officeDocument/2006/relationships/hyperlink" Id="rId96" Target="https://doi.org/10.2307/1962590" TargetMode="External" /><Relationship Type="http://schemas.openxmlformats.org/officeDocument/2006/relationships/hyperlink" Id="rId143" Target="https://doi.org/10.2307/3088424" TargetMode="External" /><Relationship Type="http://schemas.openxmlformats.org/officeDocument/2006/relationships/hyperlink" Id="rId94" Target="https://doi.org/10.2307/j.ctv346rbz" TargetMode="External" /><Relationship Type="http://schemas.openxmlformats.org/officeDocument/2006/relationships/hyperlink" Id="rId68" Target="https://doi.org/10.23662/FORS-DS-688-2" TargetMode="External" /><Relationship Type="http://schemas.openxmlformats.org/officeDocument/2006/relationships/hyperlink" Id="rId145" Target="https://doi.org/10.3917/socio.103.0243" TargetMode="External" /><Relationship Type="http://schemas.openxmlformats.org/officeDocument/2006/relationships/hyperlink" Id="rId50" Target="https://doi.org/10.4000/regulation.20350" TargetMode="External" /><Relationship Type="http://schemas.openxmlformats.org/officeDocument/2006/relationships/hyperlink" Id="rId150" Target="https://doi.org/10.48573/PCBM-2280" TargetMode="External" /><Relationship Type="http://schemas.openxmlformats.org/officeDocument/2006/relationships/hyperlink" Id="rId63" Target="https://doi.org/10.5169/seals-515017" TargetMode="External" /><Relationship Type="http://schemas.openxmlformats.org/officeDocument/2006/relationships/hyperlink" Id="rId117" Target="https://hdr.undp.org/content/human-development-report-2021-22" TargetMode="External" /><Relationship Type="http://schemas.openxmlformats.org/officeDocument/2006/relationships/hyperlink" Id="rId72" Target="https://oec.world/en/rankings/eci/hs6/hs96" TargetMode="External" /><Relationship Type="http://schemas.openxmlformats.org/officeDocument/2006/relationships/hyperlink" Id="rId75" Target="https://wid.world/wp-content/uploads/2021/03/WorldInequalityLab_WP2021_08_PoliticalCleavages_AustriaBelgiumNLSwitzerland.pdf" TargetMode="External" /><Relationship Type="http://schemas.openxmlformats.org/officeDocument/2006/relationships/hyperlink" Id="rId86" Target="https://www.avenir-suisse.ch/fr/7-bonnes-raisons-de-privatiser-lenergie/" TargetMode="External" /><Relationship Type="http://schemas.openxmlformats.org/officeDocument/2006/relationships/hyperlink" Id="rId141" Target="https://www.epflpress.org/produit/1421/9782889155279/politique-suisse" TargetMode="External" /><Relationship Type="http://schemas.openxmlformats.org/officeDocument/2006/relationships/hyperlink" Id="rId81" Target="https://www.letemps.ch/economie/gerhard-schwarz-une-suisse-neoliberale-cest-une-fake-news" TargetMode="External" /><Relationship Type="http://schemas.openxmlformats.org/officeDocument/2006/relationships/hyperlink" Id="rId121" Target="https://www.oecd-ilibrary.org/economics/oecd-economic-surveys-switzerland-1992_eco_surveys-che-1992-en" TargetMode="External" /><Relationship Type="http://schemas.openxmlformats.org/officeDocument/2006/relationships/hyperlink" Id="rId123" Target="https://www.oecd-ilibrary.org/economics/oecd-economic-surveys-switzerland-2019_7e6fd372-en" TargetMode="External" /><Relationship Type="http://schemas.openxmlformats.org/officeDocument/2006/relationships/hyperlink" Id="rId125"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01" Target="http://gen.lib.rus.ec/book/index.php?md5=672bb6ec977ceddc83c745ffc8db0022" TargetMode="External" /><Relationship Type="http://schemas.openxmlformats.org/officeDocument/2006/relationships/hyperlink" Id="rId138" Target="http://gen.lib.rus.ec/book/index.php?md5=DC2AFED8958B9AE0932FFEFEAB45546C" TargetMode="External" /><Relationship Type="http://schemas.openxmlformats.org/officeDocument/2006/relationships/hyperlink" Id="rId65" Target="http://gen.lib.rus.ec/book/index.php?md5=ee123095cfe9fb8d6bcd03d6579a0705" TargetMode="External" /><Relationship Type="http://schemas.openxmlformats.org/officeDocument/2006/relationships/hyperlink" Id="rId70" Target="https://doi.org/10.1002/j.1662-6370.1997.tb00198.x" TargetMode="External" /><Relationship Type="http://schemas.openxmlformats.org/officeDocument/2006/relationships/hyperlink" Id="rId128" Target="https://doi.org/10.1002/j.1662-6370.2010.tb00433.x" TargetMode="External" /><Relationship Type="http://schemas.openxmlformats.org/officeDocument/2006/relationships/hyperlink" Id="rId105" Target="https://doi.org/10.1017/CBO9780511790720" TargetMode="External" /><Relationship Type="http://schemas.openxmlformats.org/officeDocument/2006/relationships/hyperlink" Id="rId119" Target="https://doi.org/10.1017/S0143814X98000129" TargetMode="External" /><Relationship Type="http://schemas.openxmlformats.org/officeDocument/2006/relationships/hyperlink" Id="rId147" Target="https://doi.org/10.1017/S1755773913000246" TargetMode="External" /><Relationship Type="http://schemas.openxmlformats.org/officeDocument/2006/relationships/hyperlink" Id="rId53" Target="https://doi.org/10.1080/09692290.2021.1913440" TargetMode="External" /><Relationship Type="http://schemas.openxmlformats.org/officeDocument/2006/relationships/hyperlink" Id="rId109" Target="https://doi.org/10.1080/1350176032000059053" TargetMode="External" /><Relationship Type="http://schemas.openxmlformats.org/officeDocument/2006/relationships/hyperlink" Id="rId90" Target="https://doi.org/10.1080/13501763.2017.1310279" TargetMode="External" /><Relationship Type="http://schemas.openxmlformats.org/officeDocument/2006/relationships/hyperlink" Id="rId60" Target="https://doi.org/10.1080/13563467.2023.2215701" TargetMode="External" /><Relationship Type="http://schemas.openxmlformats.org/officeDocument/2006/relationships/hyperlink" Id="rId48" Target="https://doi.org/10.1093/acprof:oso/9780198787815.001.0001" TargetMode="External" /><Relationship Type="http://schemas.openxmlformats.org/officeDocument/2006/relationships/hyperlink" Id="rId83" Target="https://doi.org/10.1093/qje/qjab036" TargetMode="External" /><Relationship Type="http://schemas.openxmlformats.org/officeDocument/2006/relationships/hyperlink" Id="rId57" Target="https://doi.org/10.1093/ser/mwn018" TargetMode="External" /><Relationship Type="http://schemas.openxmlformats.org/officeDocument/2006/relationships/hyperlink" Id="rId130" Target="https://doi.org/10.1111/1475-6765.12259" TargetMode="External" /><Relationship Type="http://schemas.openxmlformats.org/officeDocument/2006/relationships/hyperlink" Id="rId152" Target="https://doi.org/10.1111/ajps.12743" TargetMode="External" /><Relationship Type="http://schemas.openxmlformats.org/officeDocument/2006/relationships/hyperlink" Id="rId103" Target="https://doi.org/10.1111/j.1475-6765.2006.00644.x" TargetMode="External" /><Relationship Type="http://schemas.openxmlformats.org/officeDocument/2006/relationships/hyperlink" Id="rId136" Target="https://doi.org/10.1111/spsr.12124" TargetMode="External" /><Relationship Type="http://schemas.openxmlformats.org/officeDocument/2006/relationships/hyperlink" Id="rId77" Target="https://doi.org/10.1177/0010414002250664" TargetMode="External" /><Relationship Type="http://schemas.openxmlformats.org/officeDocument/2006/relationships/hyperlink" Id="rId45" Target="https://doi.org/10.1177/002200947901400402" TargetMode="External" /><Relationship Type="http://schemas.openxmlformats.org/officeDocument/2006/relationships/hyperlink" Id="rId98" Target="https://doi.org/10.1207/S15328007SEM0803_1" TargetMode="External" /><Relationship Type="http://schemas.openxmlformats.org/officeDocument/2006/relationships/hyperlink" Id="rId111" Target="https://doi.org/10.2202/1935-6226.1022" TargetMode="External" /><Relationship Type="http://schemas.openxmlformats.org/officeDocument/2006/relationships/hyperlink" Id="rId92" Target="https://doi.org/10.2307/1953494" TargetMode="External" /><Relationship Type="http://schemas.openxmlformats.org/officeDocument/2006/relationships/hyperlink" Id="rId96" Target="https://doi.org/10.2307/1962590" TargetMode="External" /><Relationship Type="http://schemas.openxmlformats.org/officeDocument/2006/relationships/hyperlink" Id="rId143" Target="https://doi.org/10.2307/3088424" TargetMode="External" /><Relationship Type="http://schemas.openxmlformats.org/officeDocument/2006/relationships/hyperlink" Id="rId94" Target="https://doi.org/10.2307/j.ctv346rbz" TargetMode="External" /><Relationship Type="http://schemas.openxmlformats.org/officeDocument/2006/relationships/hyperlink" Id="rId68" Target="https://doi.org/10.23662/FORS-DS-688-2" TargetMode="External" /><Relationship Type="http://schemas.openxmlformats.org/officeDocument/2006/relationships/hyperlink" Id="rId145" Target="https://doi.org/10.3917/socio.103.0243" TargetMode="External" /><Relationship Type="http://schemas.openxmlformats.org/officeDocument/2006/relationships/hyperlink" Id="rId50" Target="https://doi.org/10.4000/regulation.20350" TargetMode="External" /><Relationship Type="http://schemas.openxmlformats.org/officeDocument/2006/relationships/hyperlink" Id="rId150" Target="https://doi.org/10.48573/PCBM-2280" TargetMode="External" /><Relationship Type="http://schemas.openxmlformats.org/officeDocument/2006/relationships/hyperlink" Id="rId63" Target="https://doi.org/10.5169/seals-515017" TargetMode="External" /><Relationship Type="http://schemas.openxmlformats.org/officeDocument/2006/relationships/hyperlink" Id="rId117" Target="https://hdr.undp.org/content/human-development-report-2021-22" TargetMode="External" /><Relationship Type="http://schemas.openxmlformats.org/officeDocument/2006/relationships/hyperlink" Id="rId72" Target="https://oec.world/en/rankings/eci/hs6/hs96" TargetMode="External" /><Relationship Type="http://schemas.openxmlformats.org/officeDocument/2006/relationships/hyperlink" Id="rId75" Target="https://wid.world/wp-content/uploads/2021/03/WorldInequalityLab_WP2021_08_PoliticalCleavages_AustriaBelgiumNLSwitzerland.pdf" TargetMode="External" /><Relationship Type="http://schemas.openxmlformats.org/officeDocument/2006/relationships/hyperlink" Id="rId86" Target="https://www.avenir-suisse.ch/fr/7-bonnes-raisons-de-privatiser-lenergie/" TargetMode="External" /><Relationship Type="http://schemas.openxmlformats.org/officeDocument/2006/relationships/hyperlink" Id="rId141" Target="https://www.epflpress.org/produit/1421/9782889155279/politique-suisse" TargetMode="External" /><Relationship Type="http://schemas.openxmlformats.org/officeDocument/2006/relationships/hyperlink" Id="rId81" Target="https://www.letemps.ch/economie/gerhard-schwarz-une-suisse-neoliberale-cest-une-fake-news" TargetMode="External" /><Relationship Type="http://schemas.openxmlformats.org/officeDocument/2006/relationships/hyperlink" Id="rId121" Target="https://www.oecd-ilibrary.org/economics/oecd-economic-surveys-switzerland-1992_eco_surveys-che-1992-en" TargetMode="External" /><Relationship Type="http://schemas.openxmlformats.org/officeDocument/2006/relationships/hyperlink" Id="rId123" Target="https://www.oecd-ilibrary.org/economics/oecd-economic-surveys-switzerland-2019_7e6fd372-en" TargetMode="External" /><Relationship Type="http://schemas.openxmlformats.org/officeDocument/2006/relationships/hyperlink" Id="rId125"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2023-11-19T16:54:47Z</dcterms:created>
  <dcterms:modified xsi:type="dcterms:W3CDTF">2023-11-19T16:54:47Z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