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33.png" ContentType="image/png"/>
  <Override PartName="/word/media/rId129.png" ContentType="image/png"/>
  <Override PartName="/word/media/rId125.png" ContentType="image/png"/>
  <Override PartName="/word/media/rId138.png" ContentType="image/png"/>
  <Override PartName="/word/media/rId113.png" ContentType="image/png"/>
  <Override PartName="/word/media/rId109.png" ContentType="image/png"/>
  <Override PartName="/word/media/rId105.png" ContentType="image/png"/>
  <Override PartName="/word/media/rId28.png" ContentType="image/png"/>
  <Override PartName="/word/media/rId32.png" ContentType="image/png"/>
  <Override PartName="/word/media/rId63.png" ContentType="image/png"/>
  <Override PartName="/word/media/rId55.png" ContentType="image/png"/>
  <Override PartName="/word/media/rId59.png" ContentType="image/png"/>
  <Override PartName="/word/media/rId45.png" ContentType="image/png"/>
  <Override PartName="/word/media/rId49.png" ContentType="image/png"/>
  <Override PartName="/word/media/rId96.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8" w:name="introduction"/>
    <w:p>
      <w:pPr>
        <w:pStyle w:val="Heading1"/>
      </w:pPr>
      <w:r>
        <w:t xml:space="preserve">1. Introduction</w:t>
      </w:r>
    </w:p>
    <w:bookmarkStart w:id="24"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rPr>
          <w:rStyle w:val="FootnoteReference"/>
        </w:rPr>
        <w:footnoteReference w:id="23"/>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4"/>
    <w:bookmarkStart w:id="37"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5"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of influencing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5"/>
    <w:bookmarkStart w:id="36"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7"/>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1" w:name="fig-trust1"/>
          <w:p>
            <w:pPr>
              <w:pStyle w:val="Compact"/>
              <w:jc w:val="center"/>
            </w:pPr>
            <w:r>
              <w:drawing>
                <wp:inline>
                  <wp:extent cx="4620126" cy="3696101"/>
                  <wp:effectExtent b="0" l="0" r="0" t="0"/>
                  <wp:docPr descr="" title="" id="29" name="Picture"/>
                  <a:graphic>
                    <a:graphicData uri="http://schemas.openxmlformats.org/drawingml/2006/picture">
                      <pic:pic>
                        <pic:nvPicPr>
                          <pic:cNvPr descr="intro_files/figure-docx/fig-trust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1"/>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5" w:name="fig-trust2"/>
          <w:p>
            <w:pPr>
              <w:pStyle w:val="Compact"/>
              <w:jc w:val="center"/>
            </w:pPr>
            <w:r>
              <w:drawing>
                <wp:inline>
                  <wp:extent cx="4620126" cy="3696101"/>
                  <wp:effectExtent b="0" l="0" r="0" t="0"/>
                  <wp:docPr descr="" title="" id="33" name="Picture"/>
                  <a:graphic>
                    <a:graphicData uri="http://schemas.openxmlformats.org/drawingml/2006/picture">
                      <pic:pic>
                        <pic:nvPicPr>
                          <pic:cNvPr descr="intro_files/figure-docx/fig-trust2-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5"/>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6"/>
    <w:bookmarkEnd w:id="37"/>
    <w:bookmarkEnd w:id="38"/>
    <w:bookmarkStart w:id="103" w:name="Xe50ae872f7cbe6c73a06c5181548ddfc4a9759b"/>
    <w:p>
      <w:pPr>
        <w:pStyle w:val="Heading1"/>
      </w:pPr>
      <w:r>
        <w:t xml:space="preserve">2. Social blocs, structural factors and political divides in Switzerland</w:t>
      </w:r>
    </w:p>
    <w:bookmarkStart w:id="43"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9"/>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40"/>
      </w:r>
      <w:r>
        <w:t xml:space="preserve"> </w:t>
      </w:r>
      <w:r>
        <w:t xml:space="preserve">(1820-1879) and Johann Jakob Speiser (1813-1856), were opposed by liberal Radicals such as Alfred Escher</w:t>
      </w:r>
      <w:r>
        <w:rPr>
          <w:rStyle w:val="FootnoteReference"/>
        </w:rPr>
        <w:footnoteReference w:id="41"/>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stressing the main different components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the bourgeois socio-political groups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2"/>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3"/>
    <w:bookmarkStart w:id="69"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4"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4"/>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8"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8" w:name="fig-educ"/>
          <w:p>
            <w:pPr>
              <w:pStyle w:val="Compact"/>
              <w:jc w:val="center"/>
            </w:pPr>
            <w:r>
              <w:drawing>
                <wp:inline>
                  <wp:extent cx="4620126" cy="3696101"/>
                  <wp:effectExtent b="0" l="0" r="0" t="0"/>
                  <wp:docPr descr="" title="" id="46" name="Picture"/>
                  <a:graphic>
                    <a:graphicData uri="http://schemas.openxmlformats.org/drawingml/2006/picture">
                      <pic:pic>
                        <pic:nvPicPr>
                          <pic:cNvPr descr="part1_files/figure-docx/fig-edu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8"/>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2" w:name="fig-inc"/>
          <w:p>
            <w:pPr>
              <w:pStyle w:val="Compact"/>
              <w:jc w:val="center"/>
            </w:pPr>
            <w:r>
              <w:drawing>
                <wp:inline>
                  <wp:extent cx="4620126" cy="3696101"/>
                  <wp:effectExtent b="0" l="0" r="0" t="0"/>
                  <wp:docPr descr="" title="" id="50" name="Picture"/>
                  <a:graphic>
                    <a:graphicData uri="http://schemas.openxmlformats.org/drawingml/2006/picture">
                      <pic:pic>
                        <pic:nvPicPr>
                          <pic:cNvPr descr="part1_files/figure-docx/fig-inc-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2"/>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3"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3"/>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4"/>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8" w:name="fig-ameparties"/>
          <w:p>
            <w:pPr>
              <w:pStyle w:val="Compact"/>
              <w:jc w:val="center"/>
            </w:pPr>
            <w:r>
              <w:drawing>
                <wp:inline>
                  <wp:extent cx="4620126" cy="5544151"/>
                  <wp:effectExtent b="0" l="0" r="0" t="0"/>
                  <wp:docPr descr="" title="" id="56" name="Picture"/>
                  <a:graphic>
                    <a:graphicData uri="http://schemas.openxmlformats.org/drawingml/2006/picture">
                      <pic:pic>
                        <pic:nvPicPr>
                          <pic:cNvPr descr="part1_files/figure-docx/fig-ameparties-1.png" id="57" name="Picture"/>
                          <pic:cNvPicPr>
                            <a:picLocks noChangeArrowheads="1" noChangeAspect="1"/>
                          </pic:cNvPicPr>
                        </pic:nvPicPr>
                        <pic:blipFill>
                          <a:blip r:embed="rId5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8"/>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2" w:name="fig-amepolleaning"/>
          <w:p>
            <w:pPr>
              <w:pStyle w:val="Compact"/>
              <w:jc w:val="center"/>
            </w:pPr>
            <w:r>
              <w:drawing>
                <wp:inline>
                  <wp:extent cx="4620126" cy="3696101"/>
                  <wp:effectExtent b="0" l="0" r="0" t="0"/>
                  <wp:docPr descr="" title="" id="60" name="Picture"/>
                  <a:graphic>
                    <a:graphicData uri="http://schemas.openxmlformats.org/drawingml/2006/picture">
                      <pic:pic>
                        <pic:nvPicPr>
                          <pic:cNvPr descr="part1_files/figure-docx/fig-amepolleaning-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2"/>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6" w:name="fig-ameIP"/>
          <w:p>
            <w:pPr>
              <w:pStyle w:val="Compact"/>
              <w:jc w:val="center"/>
            </w:pPr>
            <w:r>
              <w:drawing>
                <wp:inline>
                  <wp:extent cx="4620126" cy="3696101"/>
                  <wp:effectExtent b="0" l="0" r="0" t="0"/>
                  <wp:docPr descr="" title="" id="64" name="Picture"/>
                  <a:graphic>
                    <a:graphicData uri="http://schemas.openxmlformats.org/drawingml/2006/picture">
                      <pic:pic>
                        <pic:nvPicPr>
                          <pic:cNvPr descr="part1_files/figure-docx/fig-ameIP-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6"/>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7"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7"/>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8"/>
    <w:bookmarkEnd w:id="69"/>
    <w:bookmarkStart w:id="102"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2"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70"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70"/>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71"/>
      </w:r>
      <w:r>
        <w:t xml:space="preserve">.</w:t>
      </w:r>
    </w:p>
    <w:bookmarkEnd w:id="72"/>
    <w:bookmarkStart w:id="101"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2"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 Pietro Boschetti famously called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3"/>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7" w:name="fig-partystrength"/>
          <w:p>
            <w:pPr>
              <w:pStyle w:val="Compact"/>
              <w:jc w:val="center"/>
            </w:pPr>
            <w:r>
              <w:drawing>
                <wp:inline>
                  <wp:extent cx="4620126" cy="3696101"/>
                  <wp:effectExtent b="0" l="0" r="0" t="0"/>
                  <wp:docPr descr="" title="" id="75" name="Picture"/>
                  <a:graphic>
                    <a:graphicData uri="http://schemas.openxmlformats.org/drawingml/2006/picture">
                      <pic:pic>
                        <pic:nvPicPr>
                          <pic:cNvPr descr="part1_files/figure-docx/fig-partystrength-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7"/>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The crisis of the 90s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Swiss People’s party became the first party in terms of vote shares (22,6%), to the detriment of the PRD which fell to the third place, something which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Swiss People’s Party (UDC) was historically the country’s fourth largest party. Its origins dates back to the emergence of various Agrarian parties after the first World War, with the largest ones being founded in Bern in 1918 and Zurich in 1917. Rudolf Minger, the leader of the Bernese Agrarian party, was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(UDC),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In fact,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export-led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defending the farmers, medium and small firms, and small business owners producing for the internal Swiss market who asked for protection and subsidies. These contradictory demands were temporarily compatible during the post-war period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dissociated themselves from the groups attached to the domestic-oriented sectors. This rupture was made explicit by the publication of a series of</w:t>
      </w:r>
      <w:r>
        <w:t xml:space="preserve"> </w:t>
      </w:r>
      <w:r>
        <w:t xml:space="preserve">“</w:t>
      </w:r>
      <w:r>
        <w:t xml:space="preserve">white-books</w:t>
      </w:r>
      <w:r>
        <w:t xml:space="preserve">”</w:t>
      </w:r>
      <w:r>
        <w:t xml:space="preserve"> </w:t>
      </w:r>
      <w:r>
        <w:t xml:space="preserve">by political and economic actors defending the interests of the Swiss multinational corporations. These white books advocated a dismantling of the Swiss Hybrid model by promoting a series of neoliberal reforms. The main policy demands of the white books were to increase competition in the international sector by dismantling Swiss cartels, reform the taxation system, reduce employment protection and social security, and privatize the public sector</w:t>
      </w:r>
      <w:r>
        <w:t xml:space="preserve"> </w:t>
      </w:r>
      <w:r>
        <w:t xml:space="preserve">(Mach 2007)</w:t>
      </w:r>
      <w:r>
        <w:t xml:space="preserve">.</w:t>
      </w:r>
    </w:p>
    <w:bookmarkEnd w:id="78"/>
    <w:bookmarkStart w:id="81" w:name="the-contradictions-of-the-left-bloc"/>
    <w:p>
      <w:pPr>
        <w:pStyle w:val="Heading5"/>
      </w:pPr>
      <w:r>
        <w:t xml:space="preserve">2.3.2.1.2 The contradictions of the left bloc</w:t>
      </w:r>
    </w:p>
    <w:p>
      <w:pPr>
        <w:pStyle w:val="FirstParagraph"/>
      </w:pPr>
      <w:r>
        <w:t xml:space="preserve">In contrast, the 90s were beneficial for the Swiss Socialist party, whose decline is more apparent on the long 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base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79"/>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80"/>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81"/>
    <w:bookmarkEnd w:id="82"/>
    <w:bookmarkStart w:id="84"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3"/>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(EEA)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4"/>
    <w:bookmarkStart w:id="92"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8"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6" name="Picture"/>
                  <a:graphic>
                    <a:graphicData uri="http://schemas.openxmlformats.org/drawingml/2006/picture">
                      <pic:pic>
                        <pic:nvPicPr>
                          <pic:cNvPr descr="cltable.png" id="87" name="Picture"/>
                          <pic:cNvPicPr>
                            <a:picLocks noChangeArrowheads="1" noChangeAspect="1"/>
                          </pic:cNvPicPr>
                        </pic:nvPicPr>
                        <pic:blipFill>
                          <a:blip r:embed="rId85"/>
                          <a:stretch>
                            <a:fillRect/>
                          </a:stretch>
                        </pic:blipFill>
                        <pic:spPr bwMode="auto">
                          <a:xfrm>
                            <a:off x="0" y="0"/>
                            <a:ext cx="5334000" cy="4929391"/>
                          </a:xfrm>
                          <a:prstGeom prst="rect">
                            <a:avLst/>
                          </a:prstGeom>
                          <a:noFill/>
                          <a:ln w="9525">
                            <a:noFill/>
                            <a:headEnd/>
                            <a:tailEnd/>
                          </a:ln>
                        </pic:spPr>
                      </pic:pic>
                    </a:graphicData>
                  </a:graphic>
                </wp:inline>
              </w:drawing>
            </w:r>
          </w:p>
          <w:bookmarkEnd w:id="88"/>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9"/>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91"/>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2"/>
    <w:bookmarkStart w:id="95"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3"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3"/>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4"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4"/>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5"/>
    <w:bookmarkStart w:id="100"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9" w:name="fig-manifesto"/>
          <w:p>
            <w:pPr>
              <w:pStyle w:val="Compact"/>
              <w:jc w:val="center"/>
            </w:pPr>
            <w:r>
              <w:drawing>
                <wp:inline>
                  <wp:extent cx="5334000" cy="3556000"/>
                  <wp:effectExtent b="0" l="0" r="0" t="0"/>
                  <wp:docPr descr="" title="" id="97" name="Picture"/>
                  <a:graphic>
                    <a:graphicData uri="http://schemas.openxmlformats.org/drawingml/2006/picture">
                      <pic:pic>
                        <pic:nvPicPr>
                          <pic:cNvPr descr="part1_files/figure-docx/fig-manifesto-1.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9"/>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100"/>
    <w:bookmarkEnd w:id="101"/>
    <w:bookmarkEnd w:id="102"/>
    <w:bookmarkEnd w:id="103"/>
    <w:bookmarkStart w:id="104"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4"/>
    <w:bookmarkStart w:id="143"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8" w:name="fig-plotdescrparties"/>
          <w:p>
            <w:pPr>
              <w:pStyle w:val="Compact"/>
              <w:jc w:val="center"/>
            </w:pPr>
            <w:r>
              <w:drawing>
                <wp:inline>
                  <wp:extent cx="5334000" cy="2667000"/>
                  <wp:effectExtent b="0" l="0" r="0" t="0"/>
                  <wp:docPr descr="" title="" id="106" name="Picture"/>
                  <a:graphic>
                    <a:graphicData uri="http://schemas.openxmlformats.org/drawingml/2006/picture">
                      <pic:pic>
                        <pic:nvPicPr>
                          <pic:cNvPr descr="conclusion_appendix_files/figure-docx/fig-plotdescrparties-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8"/>
        </w:tc>
      </w:tr>
    </w:tbl>
    <w:tbl>
      <w:tblPr>
        <w:tblStyle w:val="Table"/>
        <w:tblW w:type="pct" w:w="5000"/>
        <w:tblLook w:firstRow="0" w:lastRow="0" w:firstColumn="0" w:lastColumn="0" w:noHBand="0" w:noVBand="0" w:val="0000"/>
        <w:jc w:val="start"/>
        <w:tblLayout w:type="fixed"/>
      </w:tblPr>
      <w:tblGrid>
        <w:gridCol w:w="7920"/>
      </w:tblGrid>
      <w:tr>
        <w:tc>
          <w:tcPr/>
          <w:bookmarkStart w:id="112" w:name="fig-plotdescrleaning"/>
          <w:p>
            <w:pPr>
              <w:pStyle w:val="Compact"/>
              <w:jc w:val="center"/>
            </w:pPr>
            <w:r>
              <w:drawing>
                <wp:inline>
                  <wp:extent cx="4620126" cy="3696101"/>
                  <wp:effectExtent b="0" l="0" r="0" t="0"/>
                  <wp:docPr descr="" title="" id="110" name="Picture"/>
                  <a:graphic>
                    <a:graphicData uri="http://schemas.openxmlformats.org/drawingml/2006/picture">
                      <pic:pic>
                        <pic:nvPicPr>
                          <pic:cNvPr descr="conclusion_appendix_files/figure-docx/fig-plotdescrleaning-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2"/>
        </w:tc>
      </w:tr>
    </w:tbl>
    <w:tbl>
      <w:tblPr>
        <w:tblStyle w:val="Table"/>
        <w:tblW w:type="pct" w:w="5000"/>
        <w:tblLook w:firstRow="0" w:lastRow="0" w:firstColumn="0" w:lastColumn="0" w:noHBand="0" w:noVBand="0" w:val="0000"/>
        <w:jc w:val="start"/>
        <w:tblLayout w:type="fixed"/>
      </w:tblPr>
      <w:tblGrid>
        <w:gridCol w:w="7920"/>
      </w:tblGrid>
      <w:tr>
        <w:tc>
          <w:tcPr/>
          <w:bookmarkStart w:id="116" w:name="fig-plotdescrIP"/>
          <w:p>
            <w:pPr>
              <w:pStyle w:val="Compact"/>
              <w:jc w:val="center"/>
            </w:pPr>
            <w:r>
              <w:drawing>
                <wp:inline>
                  <wp:extent cx="5334000" cy="2667000"/>
                  <wp:effectExtent b="0" l="0" r="0" t="0"/>
                  <wp:docPr descr="" title="" id="114" name="Picture"/>
                  <a:graphic>
                    <a:graphicData uri="http://schemas.openxmlformats.org/drawingml/2006/picture">
                      <pic:pic>
                        <pic:nvPicPr>
                          <pic:cNvPr descr="conclusion_appendix_files/figure-docx/fig-plotdescrIP-1.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4" w:name="tbl-summarylogitIP"/>
          <w:p>
            <w:pPr>
              <w:jc w:val="center"/>
            </w:pPr>
            <w:pPr>
              <w:jc w:val="start"/>
              <w:spacing w:before="200"/>
              <w:pStyle w:val="ImageCaption"/>
            </w:pPr>
            <w:r>
              <w:t xml:space="preserve">Table 4.4: Binary logit regressions: issue position (log-odds). Full table available</w:t>
            </w:r>
            <w:r>
              <w:t xml:space="preserve"> </w:t>
            </w:r>
            <w:hyperlink r:id="rId123">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4"/>
        </w:tc>
      </w:tr>
    </w:tbl>
    <w:tbl>
      <w:tblPr>
        <w:tblStyle w:val="Table"/>
        <w:tblW w:type="pct" w:w="5000"/>
        <w:tblLook w:firstRow="0" w:lastRow="0" w:firstColumn="0" w:lastColumn="0" w:noHBand="0" w:noVBand="0" w:val="0000"/>
        <w:jc w:val="start"/>
        <w:tblLayout w:type="fixed"/>
      </w:tblPr>
      <w:tblGrid>
        <w:gridCol w:w="7920"/>
      </w:tblGrid>
      <w:tr>
        <w:tc>
          <w:tcPr/>
          <w:bookmarkStart w:id="128" w:name="fig-glmerameparties"/>
          <w:p>
            <w:pPr>
              <w:pStyle w:val="Compact"/>
              <w:jc w:val="center"/>
            </w:pPr>
            <w:r>
              <w:drawing>
                <wp:inline>
                  <wp:extent cx="4620126" cy="6468176"/>
                  <wp:effectExtent b="0" l="0" r="0" t="0"/>
                  <wp:docPr descr="" title="" id="126" name="Picture"/>
                  <a:graphic>
                    <a:graphicData uri="http://schemas.openxmlformats.org/drawingml/2006/picture">
                      <pic:pic>
                        <pic:nvPicPr>
                          <pic:cNvPr descr="conclusion_appendix_files/figure-docx/fig-glmerameparties-1.png" id="127" name="Picture"/>
                          <pic:cNvPicPr>
                            <a:picLocks noChangeArrowheads="1" noChangeAspect="1"/>
                          </pic:cNvPicPr>
                        </pic:nvPicPr>
                        <pic:blipFill>
                          <a:blip r:embed="rId125"/>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8"/>
        </w:tc>
      </w:tr>
    </w:tbl>
    <w:tbl>
      <w:tblPr>
        <w:tblStyle w:val="Table"/>
        <w:tblW w:type="pct" w:w="5000"/>
        <w:tblLook w:firstRow="0" w:lastRow="0" w:firstColumn="0" w:lastColumn="0" w:noHBand="0" w:noVBand="0" w:val="0000"/>
        <w:jc w:val="start"/>
        <w:tblLayout w:type="fixed"/>
      </w:tblPr>
      <w:tblGrid>
        <w:gridCol w:w="7920"/>
      </w:tblGrid>
      <w:tr>
        <w:tc>
          <w:tcPr/>
          <w:bookmarkStart w:id="132" w:name="fig-glmerameleaning"/>
          <w:p>
            <w:pPr>
              <w:pStyle w:val="Compact"/>
              <w:jc w:val="center"/>
            </w:pPr>
            <w:r>
              <w:drawing>
                <wp:inline>
                  <wp:extent cx="4620126" cy="3696101"/>
                  <wp:effectExtent b="0" l="0" r="0" t="0"/>
                  <wp:docPr descr="" title="" id="130" name="Picture"/>
                  <a:graphic>
                    <a:graphicData uri="http://schemas.openxmlformats.org/drawingml/2006/picture">
                      <pic:pic>
                        <pic:nvPicPr>
                          <pic:cNvPr descr="conclusion_appendix_files/figure-docx/fig-glmerameleanin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2"/>
        </w:tc>
      </w:tr>
    </w:tbl>
    <w:tbl>
      <w:tblPr>
        <w:tblStyle w:val="Table"/>
        <w:tblW w:type="pct" w:w="5000"/>
        <w:tblLook w:firstRow="0" w:lastRow="0" w:firstColumn="0" w:lastColumn="0" w:noHBand="0" w:noVBand="0" w:val="0000"/>
        <w:jc w:val="start"/>
        <w:tblLayout w:type="fixed"/>
      </w:tblPr>
      <w:tblGrid>
        <w:gridCol w:w="7920"/>
      </w:tblGrid>
      <w:tr>
        <w:tc>
          <w:tcPr/>
          <w:bookmarkStart w:id="136" w:name="fig-glmerameIP"/>
          <w:p>
            <w:pPr>
              <w:pStyle w:val="Compact"/>
              <w:jc w:val="center"/>
            </w:pPr>
            <w:r>
              <w:drawing>
                <wp:inline>
                  <wp:extent cx="4620126" cy="3696101"/>
                  <wp:effectExtent b="0" l="0" r="0" t="0"/>
                  <wp:docPr descr="" title="" id="134" name="Picture"/>
                  <a:graphic>
                    <a:graphicData uri="http://schemas.openxmlformats.org/drawingml/2006/picture">
                      <pic:pic>
                        <pic:nvPicPr>
                          <pic:cNvPr descr="conclusion_appendix_files/figure-docx/fig-glmerameIP-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6"/>
        </w:tc>
      </w:tr>
    </w:tbl>
    <w:tbl>
      <w:tblPr>
        <w:tblStyle w:val="Table"/>
        <w:tblW w:type="pct" w:w="5000"/>
        <w:tblLook w:firstRow="0" w:lastRow="0" w:firstColumn="0" w:lastColumn="0" w:noHBand="0" w:noVBand="0" w:val="0000"/>
        <w:jc w:val="start"/>
        <w:tblLayout w:type="fixed"/>
      </w:tblPr>
      <w:tblGrid>
        <w:gridCol w:w="7920"/>
      </w:tblGrid>
      <w:tr>
        <w:tc>
          <w:tcPr/>
          <w:bookmarkStart w:id="137"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7"/>
        </w:tc>
      </w:tr>
    </w:tbl>
    <w:tbl>
      <w:tblPr>
        <w:tblStyle w:val="Table"/>
        <w:tblW w:type="pct" w:w="5000"/>
        <w:tblLook w:firstRow="0" w:lastRow="0" w:firstColumn="0" w:lastColumn="0" w:noHBand="0" w:noVBand="0" w:val="0000"/>
        <w:jc w:val="start"/>
        <w:tblLayout w:type="fixed"/>
      </w:tblPr>
      <w:tblGrid>
        <w:gridCol w:w="7920"/>
      </w:tblGrid>
      <w:tr>
        <w:tc>
          <w:tcPr/>
          <w:bookmarkStart w:id="141" w:name="fig-lcaindicators"/>
          <w:p>
            <w:pPr>
              <w:pStyle w:val="Compact"/>
              <w:jc w:val="center"/>
            </w:pPr>
            <w:r>
              <w:drawing>
                <wp:inline>
                  <wp:extent cx="5334000" cy="1939636"/>
                  <wp:effectExtent b="0" l="0" r="0" t="0"/>
                  <wp:docPr descr="" title="" id="139" name="Picture"/>
                  <a:graphic>
                    <a:graphicData uri="http://schemas.openxmlformats.org/drawingml/2006/picture">
                      <pic:pic>
                        <pic:nvPicPr>
                          <pic:cNvPr descr="conclusion_appendix_files/figure-docx/fig-lcaindicators-1.png" id="140" name="Picture"/>
                          <pic:cNvPicPr>
                            <a:picLocks noChangeArrowheads="1" noChangeAspect="1"/>
                          </pic:cNvPicPr>
                        </pic:nvPicPr>
                        <pic:blipFill>
                          <a:blip r:embed="rId138"/>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1"/>
        </w:tc>
      </w:tr>
    </w:tbl>
    <w:tbl>
      <w:tblPr>
        <w:tblStyle w:val="Table"/>
        <w:tblW w:type="pct" w:w="5000"/>
        <w:tblLook w:firstRow="0" w:lastRow="0" w:firstColumn="0" w:lastColumn="0" w:noHBand="0" w:noVBand="0" w:val="0000"/>
        <w:jc w:val="start"/>
        <w:tblLayout w:type="fixed"/>
      </w:tblPr>
      <w:tblGrid>
        <w:gridCol w:w="7920"/>
      </w:tblGrid>
      <w:tr>
        <w:tc>
          <w:tcPr/>
          <w:bookmarkStart w:id="142"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2"/>
        </w:tc>
      </w:tr>
    </w:tbl>
    <w:bookmarkEnd w:id="143"/>
    <w:bookmarkStart w:id="311" w:name="references"/>
    <w:p>
      <w:pPr>
        <w:pStyle w:val="Heading1"/>
      </w:pPr>
      <w:r>
        <w:t xml:space="preserve">References</w:t>
      </w:r>
    </w:p>
    <w:bookmarkStart w:id="310"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8">
        <w:r>
          <w:rPr>
            <w:rStyle w:val="Hyperlink"/>
          </w:rPr>
          <w:t xml:space="preserve">https://doi.org/10.1017/S1744137415000211</w:t>
        </w:r>
      </w:hyperlink>
      <w:r>
        <w:t xml:space="preserve">.</w:t>
      </w:r>
    </w:p>
    <w:bookmarkEnd w:id="149"/>
    <w:bookmarkStart w:id="151"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50">
        <w:r>
          <w:rPr>
            <w:rStyle w:val="Hyperlink"/>
          </w:rPr>
          <w:t xml:space="preserve">https://doi.org/10.1093/acprof:oso/9780198787815.001.0001</w:t>
        </w:r>
      </w:hyperlink>
      <w:r>
        <w:t xml:space="preserve">.</w:t>
      </w:r>
    </w:p>
    <w:bookmarkEnd w:id="151"/>
    <w:bookmarkStart w:id="153"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2">
        <w:r>
          <w:rPr>
            <w:rStyle w:val="Hyperlink"/>
          </w:rPr>
          <w:t xml:space="preserve">https://doi.org/10.4000/regulation.20350</w:t>
        </w:r>
      </w:hyperlink>
      <w:r>
        <w:t xml:space="preserve">.</w:t>
      </w:r>
    </w:p>
    <w:bookmarkEnd w:id="153"/>
    <w:bookmarkStart w:id="155"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4">
        <w:r>
          <w:rPr>
            <w:rStyle w:val="Hyperlink"/>
          </w:rPr>
          <w:t xml:space="preserve">https://archive-ouverte.unige.ch/unige:172056</w:t>
        </w:r>
      </w:hyperlink>
      <w:r>
        <w:t xml:space="preserve">.</w:t>
      </w:r>
    </w:p>
    <w:bookmarkEnd w:id="155"/>
    <w:bookmarkStart w:id="156"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6"/>
    <w:bookmarkStart w:id="158"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7">
        <w:r>
          <w:rPr>
            <w:rStyle w:val="Hyperlink"/>
          </w:rPr>
          <w:t xml:space="preserve">https://doi.org/10.1080/09692290.2021.1913440</w:t>
        </w:r>
      </w:hyperlink>
      <w:r>
        <w:t xml:space="preserve">.</w:t>
      </w:r>
    </w:p>
    <w:bookmarkEnd w:id="158"/>
    <w:bookmarkStart w:id="159"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9"/>
    <w:bookmarkStart w:id="160"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60"/>
    <w:bookmarkStart w:id="162"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61">
        <w:r>
          <w:rPr>
            <w:rStyle w:val="Hyperlink"/>
          </w:rPr>
          <w:t xml:space="preserve">https://doi.org/10.1093/ser/mwn018</w:t>
        </w:r>
      </w:hyperlink>
      <w:r>
        <w:t xml:space="preserve">.</w:t>
      </w:r>
    </w:p>
    <w:bookmarkEnd w:id="162"/>
    <w:bookmarkStart w:id="164"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3">
        <w:r>
          <w:rPr>
            <w:rStyle w:val="Hyperlink"/>
          </w:rPr>
          <w:t xml:space="preserve">https://doi.org/10.4337/9781782549925.00015</w:t>
        </w:r>
      </w:hyperlink>
      <w:r>
        <w:t xml:space="preserve">.</w:t>
      </w:r>
    </w:p>
    <w:bookmarkEnd w:id="164"/>
    <w:bookmarkStart w:id="165"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5"/>
    <w:bookmarkStart w:id="166" w:name="ref-amable_ou_2022"/>
    <w:p>
      <w:pPr>
        <w:pStyle w:val="Bibliography"/>
      </w:pPr>
      <w:r>
        <w:t xml:space="preserve">———. 2022.</w:t>
      </w:r>
      <w:r>
        <w:t xml:space="preserve"> </w:t>
      </w:r>
      <w:r>
        <w:rPr>
          <w:iCs/>
          <w:i/>
        </w:rPr>
        <w:t xml:space="preserve">Où Va Le Bloc Bourgeois ?</w:t>
      </w:r>
      <w:r>
        <w:t xml:space="preserve"> Paris: La Dispute.</w:t>
      </w:r>
    </w:p>
    <w:bookmarkEnd w:id="166"/>
    <w:bookmarkStart w:id="168"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7">
        <w:r>
          <w:rPr>
            <w:rStyle w:val="Hyperlink"/>
          </w:rPr>
          <w:t xml:space="preserve">https://doi.org/10.1080/13563467.2023.2215701</w:t>
        </w:r>
      </w:hyperlink>
      <w:r>
        <w:t xml:space="preserve">.</w:t>
      </w:r>
    </w:p>
    <w:bookmarkEnd w:id="168"/>
    <w:bookmarkStart w:id="170"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9">
        <w:r>
          <w:rPr>
            <w:rStyle w:val="Hyperlink"/>
          </w:rPr>
          <w:t xml:space="preserve">https://CRAN.R-project.org/package=marginaleffects</w:t>
        </w:r>
      </w:hyperlink>
      <w:r>
        <w:t xml:space="preserve">.</w:t>
      </w:r>
    </w:p>
    <w:bookmarkEnd w:id="170"/>
    <w:bookmarkStart w:id="171"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1"/>
    <w:bookmarkStart w:id="173"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2">
        <w:r>
          <w:rPr>
            <w:rStyle w:val="Hyperlink"/>
          </w:rPr>
          <w:t xml:space="preserve">https://doi.org/10.5169/seals-515017</w:t>
        </w:r>
      </w:hyperlink>
      <w:r>
        <w:t xml:space="preserve">.</w:t>
      </w:r>
    </w:p>
    <w:bookmarkEnd w:id="173"/>
    <w:bookmarkStart w:id="175"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4">
        <w:r>
          <w:rPr>
            <w:rStyle w:val="Hyperlink"/>
          </w:rPr>
          <w:t xml:space="preserve">http://gen.lib.rus.ec/book/index.php?md5=ee123095cfe9fb8d6bcd03d6579a0705</w:t>
        </w:r>
      </w:hyperlink>
      <w:r>
        <w:t xml:space="preserve">.</w:t>
      </w:r>
    </w:p>
    <w:bookmarkEnd w:id="175"/>
    <w:bookmarkStart w:id="176"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6"/>
    <w:bookmarkStart w:id="178"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7">
        <w:r>
          <w:rPr>
            <w:rStyle w:val="Hyperlink"/>
          </w:rPr>
          <w:t xml:space="preserve">https://doi.org/10.23662/FORS-DS-688-2</w:t>
        </w:r>
      </w:hyperlink>
      <w:r>
        <w:t xml:space="preserve">.</w:t>
      </w:r>
    </w:p>
    <w:bookmarkEnd w:id="178"/>
    <w:bookmarkStart w:id="180"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9">
        <w:r>
          <w:rPr>
            <w:rStyle w:val="Hyperlink"/>
          </w:rPr>
          <w:t xml:space="preserve">https://doi.org/10.1002/j.1662-6370.1997.tb00198.x</w:t>
        </w:r>
      </w:hyperlink>
      <w:r>
        <w:t xml:space="preserve">.</w:t>
      </w:r>
    </w:p>
    <w:bookmarkEnd w:id="180"/>
    <w:bookmarkStart w:id="182"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1">
        <w:r>
          <w:rPr>
            <w:rStyle w:val="Hyperlink"/>
          </w:rPr>
          <w:t xml:space="preserve">https://hls-dhs-dss.ch/articles/003626/2020-01-20/</w:t>
        </w:r>
      </w:hyperlink>
      <w:r>
        <w:t xml:space="preserve">.</w:t>
      </w:r>
    </w:p>
    <w:bookmarkEnd w:id="182"/>
    <w:bookmarkStart w:id="184"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3">
        <w:r>
          <w:rPr>
            <w:rStyle w:val="Hyperlink"/>
          </w:rPr>
          <w:t xml:space="preserve">https://doi.org/10.1080/09538259.2023.2298747</w:t>
        </w:r>
      </w:hyperlink>
      <w:r>
        <w:t xml:space="preserve">.</w:t>
      </w:r>
    </w:p>
    <w:bookmarkEnd w:id="184"/>
    <w:bookmarkStart w:id="186"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5">
        <w:r>
          <w:rPr>
            <w:rStyle w:val="Hyperlink"/>
          </w:rPr>
          <w:t xml:space="preserve">https://doi.org/10.1177/026858091006004002</w:t>
        </w:r>
      </w:hyperlink>
      <w:r>
        <w:t xml:space="preserve">.</w:t>
      </w:r>
    </w:p>
    <w:bookmarkEnd w:id="186"/>
    <w:bookmarkStart w:id="188"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87">
        <w:r>
          <w:rPr>
            <w:rStyle w:val="Hyperlink"/>
          </w:rPr>
          <w:t xml:space="preserve">https://oec.world/en/rankings/eci/hs6/hs96</w:t>
        </w:r>
      </w:hyperlink>
      <w:r>
        <w:t xml:space="preserve">.</w:t>
      </w:r>
    </w:p>
    <w:bookmarkEnd w:id="188"/>
    <w:bookmarkStart w:id="190"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89">
        <w:r>
          <w:rPr>
            <w:rStyle w:val="Hyperlink"/>
          </w:rPr>
          <w:t xml:space="preserve">https://www.econstor.eu/handle/10419/63462</w:t>
        </w:r>
      </w:hyperlink>
      <w:r>
        <w:t xml:space="preserve">.</w:t>
      </w:r>
    </w:p>
    <w:bookmarkEnd w:id="190"/>
    <w:bookmarkStart w:id="191"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1"/>
    <w:bookmarkStart w:id="193"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92">
        <w:r>
          <w:rPr>
            <w:rStyle w:val="Hyperlink"/>
          </w:rPr>
          <w:t xml:space="preserve">https://hls-dhs-dss.ch/articles/017393/2022-01-24/</w:t>
        </w:r>
      </w:hyperlink>
      <w:r>
        <w:t xml:space="preserve">.</w:t>
      </w:r>
    </w:p>
    <w:bookmarkEnd w:id="193"/>
    <w:bookmarkStart w:id="195"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94">
        <w:r>
          <w:rPr>
            <w:rStyle w:val="Hyperlink"/>
          </w:rPr>
          <w:t xml:space="preserve">https://wid.world/wp-content/uploads/2021/03/WorldInequalityLab_WP2021_08_PoliticalCleavages_AustriaBelgiumNLSwitzerland.pdf</w:t>
        </w:r>
      </w:hyperlink>
      <w:r>
        <w:t xml:space="preserve">.</w:t>
      </w:r>
    </w:p>
    <w:bookmarkEnd w:id="195"/>
    <w:bookmarkStart w:id="197"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196">
        <w:r>
          <w:rPr>
            <w:rStyle w:val="Hyperlink"/>
          </w:rPr>
          <w:t xml:space="preserve">https://www.letemps.ch/economie/gerhard-schwarz-une-suisse-neoliberale-cest-une-fake-news</w:t>
        </w:r>
      </w:hyperlink>
      <w:r>
        <w:t xml:space="preserve">.</w:t>
      </w:r>
    </w:p>
    <w:bookmarkEnd w:id="197"/>
    <w:bookmarkStart w:id="199"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198">
        <w:r>
          <w:rPr>
            <w:rStyle w:val="Hyperlink"/>
          </w:rPr>
          <w:t xml:space="preserve">https://doi.org/10.1093/qje/qjab036</w:t>
        </w:r>
      </w:hyperlink>
      <w:r>
        <w:t xml:space="preserve">.</w:t>
      </w:r>
    </w:p>
    <w:bookmarkEnd w:id="199"/>
    <w:bookmarkStart w:id="200"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0"/>
    <w:bookmarkStart w:id="202"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1">
        <w:r>
          <w:rPr>
            <w:rStyle w:val="Hyperlink"/>
          </w:rPr>
          <w:t xml:space="preserve">https://www.avenir-suisse.ch/fr/7-bonnes-raisons-de-privatiser-lenergie/</w:t>
        </w:r>
      </w:hyperlink>
      <w:r>
        <w:t xml:space="preserve">.</w:t>
      </w:r>
    </w:p>
    <w:bookmarkEnd w:id="202"/>
    <w:bookmarkStart w:id="203"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03"/>
    <w:bookmarkStart w:id="205"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04">
        <w:r>
          <w:rPr>
            <w:rStyle w:val="Hyperlink"/>
          </w:rPr>
          <w:t xml:space="preserve">https://doi.org/10.48573/9EX9-FP54</w:t>
        </w:r>
      </w:hyperlink>
      <w:r>
        <w:t xml:space="preserve">.</w:t>
      </w:r>
    </w:p>
    <w:bookmarkEnd w:id="205"/>
    <w:bookmarkStart w:id="206"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06"/>
    <w:bookmarkStart w:id="208"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07">
        <w:r>
          <w:rPr>
            <w:rStyle w:val="Hyperlink"/>
          </w:rPr>
          <w:t xml:space="preserve">https://doi.org/10.1080/13501763.2017.1310279</w:t>
        </w:r>
      </w:hyperlink>
      <w:r>
        <w:t xml:space="preserve">.</w:t>
      </w:r>
    </w:p>
    <w:bookmarkEnd w:id="208"/>
    <w:bookmarkStart w:id="210"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09">
        <w:r>
          <w:rPr>
            <w:rStyle w:val="Hyperlink"/>
          </w:rPr>
          <w:t xml:space="preserve">https://doi.org/10.2307/1953494</w:t>
        </w:r>
      </w:hyperlink>
      <w:r>
        <w:t xml:space="preserve">.</w:t>
      </w:r>
    </w:p>
    <w:bookmarkEnd w:id="210"/>
    <w:bookmarkStart w:id="212"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11">
        <w:r>
          <w:rPr>
            <w:rStyle w:val="Hyperlink"/>
          </w:rPr>
          <w:t xml:space="preserve">https://doi.org/10.2307/j.ctv346rbz</w:t>
        </w:r>
      </w:hyperlink>
      <w:r>
        <w:t xml:space="preserve">.</w:t>
      </w:r>
    </w:p>
    <w:bookmarkEnd w:id="212"/>
    <w:bookmarkStart w:id="213"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13"/>
    <w:bookmarkStart w:id="215"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14">
        <w:r>
          <w:rPr>
            <w:rStyle w:val="Hyperlink"/>
          </w:rPr>
          <w:t xml:space="preserve">https://doi.org/10.2307/1962590</w:t>
        </w:r>
      </w:hyperlink>
      <w:r>
        <w:t xml:space="preserve">.</w:t>
      </w:r>
    </w:p>
    <w:bookmarkEnd w:id="215"/>
    <w:bookmarkStart w:id="217"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16">
        <w:r>
          <w:rPr>
            <w:rStyle w:val="Hyperlink"/>
          </w:rPr>
          <w:t xml:space="preserve">https://doi.org/10.3917/infle.020.0183</w:t>
        </w:r>
      </w:hyperlink>
      <w:r>
        <w:t xml:space="preserve">.</w:t>
      </w:r>
    </w:p>
    <w:bookmarkEnd w:id="217"/>
    <w:bookmarkStart w:id="218"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18"/>
    <w:bookmarkStart w:id="219"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19"/>
    <w:bookmarkStart w:id="221"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20">
        <w:r>
          <w:rPr>
            <w:rStyle w:val="Hyperlink"/>
          </w:rPr>
          <w:t xml:space="preserve">https://doi.org/10.4000/histoirepolitique.7344</w:t>
        </w:r>
      </w:hyperlink>
      <w:r>
        <w:t xml:space="preserve">.</w:t>
      </w:r>
    </w:p>
    <w:bookmarkEnd w:id="221"/>
    <w:bookmarkStart w:id="223"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22">
        <w:r>
          <w:rPr>
            <w:rStyle w:val="Hyperlink"/>
          </w:rPr>
          <w:t xml:space="preserve">http://gen.lib.rus.ec/book/index.php?md5=672bb6ec977ceddc83c745ffc8db0022</w:t>
        </w:r>
      </w:hyperlink>
      <w:r>
        <w:t xml:space="preserve">.</w:t>
      </w:r>
    </w:p>
    <w:bookmarkEnd w:id="223"/>
    <w:bookmarkStart w:id="225"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24">
        <w:r>
          <w:rPr>
            <w:rStyle w:val="Hyperlink"/>
          </w:rPr>
          <w:t xml:space="preserve">https://doi.org/10.1111/j.1475-6765.2006.00644.x</w:t>
        </w:r>
      </w:hyperlink>
      <w:r>
        <w:t xml:space="preserve">.</w:t>
      </w:r>
    </w:p>
    <w:bookmarkEnd w:id="225"/>
    <w:bookmarkStart w:id="227"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26">
        <w:r>
          <w:rPr>
            <w:rStyle w:val="Hyperlink"/>
          </w:rPr>
          <w:t xml:space="preserve">https://doi.org/10.1017/CBO9780511790720</w:t>
        </w:r>
      </w:hyperlink>
      <w:r>
        <w:t xml:space="preserve">.</w:t>
      </w:r>
    </w:p>
    <w:bookmarkEnd w:id="227"/>
    <w:bookmarkStart w:id="228"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28"/>
    <w:bookmarkStart w:id="230"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29">
        <w:r>
          <w:rPr>
            <w:rStyle w:val="Hyperlink"/>
          </w:rPr>
          <w:t xml:space="preserve">https://doi.org/10.2307/1954890</w:t>
        </w:r>
      </w:hyperlink>
      <w:r>
        <w:t xml:space="preserve">.</w:t>
      </w:r>
    </w:p>
    <w:bookmarkEnd w:id="230"/>
    <w:bookmarkStart w:id="231"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31"/>
    <w:bookmarkStart w:id="232"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32"/>
    <w:bookmarkStart w:id="233"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33"/>
    <w:bookmarkStart w:id="234"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34"/>
    <w:bookmarkStart w:id="236"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35">
        <w:r>
          <w:rPr>
            <w:rStyle w:val="Hyperlink"/>
          </w:rPr>
          <w:t xml:space="preserve">https://doi.org/10.1080/1350176032000059053</w:t>
        </w:r>
      </w:hyperlink>
      <w:r>
        <w:t xml:space="preserve">.</w:t>
      </w:r>
    </w:p>
    <w:bookmarkEnd w:id="236"/>
    <w:bookmarkStart w:id="238"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37">
        <w:r>
          <w:rPr>
            <w:rStyle w:val="Hyperlink"/>
          </w:rPr>
          <w:t xml:space="preserve">https://doi.org/10.2202/1935-6226.1022</w:t>
        </w:r>
      </w:hyperlink>
      <w:r>
        <w:t xml:space="preserve">.</w:t>
      </w:r>
    </w:p>
    <w:bookmarkEnd w:id="238"/>
    <w:bookmarkStart w:id="239"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39"/>
    <w:bookmarkStart w:id="241"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40">
        <w:r>
          <w:rPr>
            <w:rStyle w:val="Hyperlink"/>
          </w:rPr>
          <w:t xml:space="preserve">https://archive-ouverte.unige.ch/unige:83364</w:t>
        </w:r>
      </w:hyperlink>
      <w:r>
        <w:t xml:space="preserve">.</w:t>
      </w:r>
    </w:p>
    <w:bookmarkEnd w:id="241"/>
    <w:bookmarkStart w:id="242"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42"/>
    <w:bookmarkStart w:id="243"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43"/>
    <w:bookmarkStart w:id="244"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44"/>
    <w:bookmarkStart w:id="245"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45"/>
    <w:bookmarkStart w:id="247"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46">
        <w:r>
          <w:rPr>
            <w:rStyle w:val="Hyperlink"/>
          </w:rPr>
          <w:t xml:space="preserve">https://hls-dhs-dss.ch/articles/017397/2010-12-22/</w:t>
        </w:r>
      </w:hyperlink>
      <w:r>
        <w:t xml:space="preserve">.</w:t>
      </w:r>
    </w:p>
    <w:bookmarkEnd w:id="247"/>
    <w:bookmarkStart w:id="249"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48">
        <w:r>
          <w:rPr>
            <w:rStyle w:val="Hyperlink"/>
          </w:rPr>
          <w:t xml:space="preserve">https://hdr.undp.org/content/human-development-report-2021-22</w:t>
        </w:r>
      </w:hyperlink>
      <w:r>
        <w:t xml:space="preserve">.</w:t>
      </w:r>
    </w:p>
    <w:bookmarkEnd w:id="249"/>
    <w:bookmarkStart w:id="251"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50">
        <w:r>
          <w:rPr>
            <w:rStyle w:val="Hyperlink"/>
          </w:rPr>
          <w:t xml:space="preserve">https://doi.org/10.1080/10705510701575396</w:t>
        </w:r>
      </w:hyperlink>
      <w:r>
        <w:t xml:space="preserve">.</w:t>
      </w:r>
    </w:p>
    <w:bookmarkEnd w:id="251"/>
    <w:bookmarkStart w:id="253"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52">
        <w:r>
          <w:rPr>
            <w:rStyle w:val="Hyperlink"/>
          </w:rPr>
          <w:t xml:space="preserve">https://doi.org/10.1017/S0143814X98000129</w:t>
        </w:r>
      </w:hyperlink>
      <w:r>
        <w:t xml:space="preserve">.</w:t>
      </w:r>
    </w:p>
    <w:bookmarkEnd w:id="253"/>
    <w:bookmarkStart w:id="255"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54">
        <w:r>
          <w:rPr>
            <w:rStyle w:val="Hyperlink"/>
          </w:rPr>
          <w:t xml:space="preserve">https://www.oecd-ilibrary.org/economics/oecd-economic-surveys-switzerland-1992_eco_surveys-che-1992-en</w:t>
        </w:r>
      </w:hyperlink>
      <w:r>
        <w:t xml:space="preserve">.</w:t>
      </w:r>
    </w:p>
    <w:bookmarkEnd w:id="255"/>
    <w:bookmarkStart w:id="257"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56">
        <w:r>
          <w:rPr>
            <w:rStyle w:val="Hyperlink"/>
          </w:rPr>
          <w:t xml:space="preserve">https://www.oecd-ilibrary.org/economics/oecd-economic-surveys-switzerland-2019_7e6fd372-en</w:t>
        </w:r>
      </w:hyperlink>
      <w:r>
        <w:t xml:space="preserve">.</w:t>
      </w:r>
    </w:p>
    <w:bookmarkEnd w:id="257"/>
    <w:bookmarkStart w:id="259"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58">
        <w:r>
          <w:rPr>
            <w:rStyle w:val="Hyperlink"/>
          </w:rPr>
          <w:t xml:space="preserve">https://www.oecd-ilibrary.org/economics/oecd-economic-surveys-switzerland-2022_1fde6924-en</w:t>
        </w:r>
      </w:hyperlink>
      <w:r>
        <w:t xml:space="preserve">.</w:t>
      </w:r>
    </w:p>
    <w:bookmarkEnd w:id="259"/>
    <w:bookmarkStart w:id="261"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60">
        <w:r>
          <w:rPr>
            <w:rStyle w:val="Hyperlink"/>
          </w:rPr>
          <w:t xml:space="preserve">https://doi.org/10.1057/9780230504592</w:t>
        </w:r>
      </w:hyperlink>
      <w:r>
        <w:t xml:space="preserve">.</w:t>
      </w:r>
    </w:p>
    <w:bookmarkEnd w:id="261"/>
    <w:bookmarkStart w:id="263"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62">
        <w:r>
          <w:rPr>
            <w:rStyle w:val="Hyperlink"/>
          </w:rPr>
          <w:t xml:space="preserve">https://doi.org/10.1177/0192512107088390</w:t>
        </w:r>
      </w:hyperlink>
      <w:r>
        <w:t xml:space="preserve">.</w:t>
      </w:r>
    </w:p>
    <w:bookmarkEnd w:id="263"/>
    <w:bookmarkStart w:id="265"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64">
        <w:r>
          <w:rPr>
            <w:rStyle w:val="Hyperlink"/>
          </w:rPr>
          <w:t xml:space="preserve">https://doi.org/10.1080/14616690701846946</w:t>
        </w:r>
      </w:hyperlink>
      <w:r>
        <w:t xml:space="preserve">.</w:t>
      </w:r>
    </w:p>
    <w:bookmarkEnd w:id="265"/>
    <w:bookmarkStart w:id="266"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66"/>
    <w:bookmarkStart w:id="268"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67">
        <w:r>
          <w:rPr>
            <w:rStyle w:val="Hyperlink"/>
          </w:rPr>
          <w:t xml:space="preserve">https://doi.org/10.1002/j.1662-6370.2010.tb00433.x</w:t>
        </w:r>
      </w:hyperlink>
      <w:r>
        <w:t xml:space="preserve">.</w:t>
      </w:r>
    </w:p>
    <w:bookmarkEnd w:id="268"/>
    <w:bookmarkStart w:id="270"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69">
        <w:r>
          <w:rPr>
            <w:rStyle w:val="Hyperlink"/>
          </w:rPr>
          <w:t xml:space="preserve">https://doi.org/10.1111/1475-6765.12259</w:t>
        </w:r>
      </w:hyperlink>
      <w:r>
        <w:t xml:space="preserve">.</w:t>
      </w:r>
    </w:p>
    <w:bookmarkEnd w:id="270"/>
    <w:bookmarkStart w:id="271"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71"/>
    <w:bookmarkStart w:id="272"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72"/>
    <w:bookmarkStart w:id="273"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73"/>
    <w:bookmarkStart w:id="274"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74"/>
    <w:bookmarkStart w:id="275" w:name="ref-piketty_capital_2019"/>
    <w:p>
      <w:pPr>
        <w:pStyle w:val="Bibliography"/>
      </w:pPr>
      <w:r>
        <w:t xml:space="preserve">———. 2019.</w:t>
      </w:r>
      <w:r>
        <w:t xml:space="preserve"> </w:t>
      </w:r>
      <w:r>
        <w:rPr>
          <w:iCs/>
          <w:i/>
        </w:rPr>
        <w:t xml:space="preserve">Capital Et Idéologie</w:t>
      </w:r>
      <w:r>
        <w:t xml:space="preserve">. Le Seuil.</w:t>
      </w:r>
    </w:p>
    <w:bookmarkEnd w:id="275"/>
    <w:bookmarkStart w:id="276"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76"/>
    <w:bookmarkStart w:id="278"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77">
        <w:r>
          <w:rPr>
            <w:rStyle w:val="Hyperlink"/>
          </w:rPr>
          <w:t xml:space="preserve">https://doi.org/10.1111/spsr.12124</w:t>
        </w:r>
      </w:hyperlink>
      <w:r>
        <w:t xml:space="preserve">.</w:t>
      </w:r>
    </w:p>
    <w:bookmarkEnd w:id="278"/>
    <w:bookmarkStart w:id="280"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79">
        <w:r>
          <w:rPr>
            <w:rStyle w:val="Hyperlink"/>
          </w:rPr>
          <w:t xml:space="preserve">http://gen.lib.rus.ec/book/index.php?md5=DC2AFED8958B9AE0932FFEFEAB45546C</w:t>
        </w:r>
      </w:hyperlink>
      <w:r>
        <w:t xml:space="preserve">.</w:t>
      </w:r>
    </w:p>
    <w:bookmarkEnd w:id="280"/>
    <w:bookmarkStart w:id="282"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81">
        <w:r>
          <w:rPr>
            <w:rStyle w:val="Hyperlink"/>
          </w:rPr>
          <w:t xml:space="preserve">https://doi.org/10.1080/01402382.2014.920981</w:t>
        </w:r>
      </w:hyperlink>
      <w:r>
        <w:t xml:space="preserve">.</w:t>
      </w:r>
    </w:p>
    <w:bookmarkEnd w:id="282"/>
    <w:bookmarkStart w:id="283" w:name="ref-ribeaud_quand_1998"/>
    <w:p>
      <w:pPr>
        <w:pStyle w:val="Bibliography"/>
      </w:pPr>
      <w:r>
        <w:t xml:space="preserve">Ribeaud, José. 1998.</w:t>
      </w:r>
      <w:r>
        <w:t xml:space="preserve"> </w:t>
      </w:r>
      <w:r>
        <w:rPr>
          <w:iCs/>
          <w:i/>
        </w:rPr>
        <w:t xml:space="preserve">Quand La Suisse Disparaîtra</w:t>
      </w:r>
      <w:r>
        <w:t xml:space="preserve">. Vevey: L’Aire.</w:t>
      </w:r>
    </w:p>
    <w:bookmarkEnd w:id="283"/>
    <w:bookmarkStart w:id="285"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84">
        <w:r>
          <w:rPr>
            <w:rStyle w:val="Hyperlink"/>
          </w:rPr>
          <w:t xml:space="preserve">https://www.jstor.org/stable/45344498</w:t>
        </w:r>
      </w:hyperlink>
      <w:r>
        <w:t xml:space="preserve">.</w:t>
      </w:r>
    </w:p>
    <w:bookmarkEnd w:id="285"/>
    <w:bookmarkStart w:id="287"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86">
        <w:r>
          <w:rPr>
            <w:rStyle w:val="Hyperlink"/>
          </w:rPr>
          <w:t xml:space="preserve">https://www.epflpress.org/produit/1421/9782889155279/politique-suisse</w:t>
        </w:r>
      </w:hyperlink>
      <w:r>
        <w:t xml:space="preserve">.</w:t>
      </w:r>
    </w:p>
    <w:bookmarkEnd w:id="287"/>
    <w:bookmarkStart w:id="289"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88">
        <w:r>
          <w:rPr>
            <w:rStyle w:val="Hyperlink"/>
          </w:rPr>
          <w:t xml:space="preserve">https://hls-dhs-dss.ch/articles/017389/2017-03-20/</w:t>
        </w:r>
      </w:hyperlink>
      <w:r>
        <w:t xml:space="preserve">.</w:t>
      </w:r>
    </w:p>
    <w:bookmarkEnd w:id="289"/>
    <w:bookmarkStart w:id="291"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90">
        <w:r>
          <w:rPr>
            <w:rStyle w:val="Hyperlink"/>
          </w:rPr>
          <w:t xml:space="preserve">https://hls-dhs-dss.ch/articles/004635/2020-04-15/</w:t>
        </w:r>
      </w:hyperlink>
      <w:r>
        <w:t xml:space="preserve">.</w:t>
      </w:r>
    </w:p>
    <w:bookmarkEnd w:id="291"/>
    <w:bookmarkStart w:id="293"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292">
        <w:r>
          <w:rPr>
            <w:rStyle w:val="Hyperlink"/>
          </w:rPr>
          <w:t xml:space="preserve">https://doi.org/10.3917/socio.103.0243</w:t>
        </w:r>
      </w:hyperlink>
      <w:r>
        <w:t xml:space="preserve">.</w:t>
      </w:r>
    </w:p>
    <w:bookmarkEnd w:id="293"/>
    <w:bookmarkStart w:id="295"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294">
        <w:r>
          <w:rPr>
            <w:rStyle w:val="Hyperlink"/>
          </w:rPr>
          <w:t xml:space="preserve">https://doi.org/10.1017/S1755773913000246</w:t>
        </w:r>
      </w:hyperlink>
      <w:r>
        <w:t xml:space="preserve">.</w:t>
      </w:r>
    </w:p>
    <w:bookmarkEnd w:id="295"/>
    <w:bookmarkStart w:id="296"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296"/>
    <w:bookmarkStart w:id="298"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297">
        <w:r>
          <w:rPr>
            <w:rStyle w:val="Hyperlink"/>
          </w:rPr>
          <w:t xml:space="preserve">https://doi.org/10.48573/PCBM-2280</w:t>
        </w:r>
      </w:hyperlink>
      <w:r>
        <w:t xml:space="preserve">.</w:t>
      </w:r>
    </w:p>
    <w:bookmarkEnd w:id="298"/>
    <w:bookmarkStart w:id="300"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299">
        <w:r>
          <w:rPr>
            <w:rStyle w:val="Hyperlink"/>
          </w:rPr>
          <w:t xml:space="preserve">https://doi.org/10.2202/1935-6226.1042</w:t>
        </w:r>
      </w:hyperlink>
      <w:r>
        <w:t xml:space="preserve">.</w:t>
      </w:r>
    </w:p>
    <w:bookmarkEnd w:id="300"/>
    <w:bookmarkStart w:id="302"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01">
        <w:r>
          <w:rPr>
            <w:rStyle w:val="Hyperlink"/>
          </w:rPr>
          <w:t xml:space="preserve">https://doi.org/10.1093/pan/mpq025</w:t>
        </w:r>
      </w:hyperlink>
      <w:r>
        <w:t xml:space="preserve">.</w:t>
      </w:r>
    </w:p>
    <w:bookmarkEnd w:id="302"/>
    <w:bookmarkStart w:id="303"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03"/>
    <w:bookmarkStart w:id="305"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04">
        <w:r>
          <w:rPr>
            <w:rStyle w:val="Hyperlink"/>
          </w:rPr>
          <w:t xml:space="preserve">https://doi.org/10.1093/ser/mwaa014</w:t>
        </w:r>
      </w:hyperlink>
      <w:r>
        <w:t xml:space="preserve">.</w:t>
      </w:r>
    </w:p>
    <w:bookmarkEnd w:id="305"/>
    <w:bookmarkStart w:id="307"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06">
        <w:r>
          <w:rPr>
            <w:rStyle w:val="Hyperlink"/>
          </w:rPr>
          <w:t xml:space="preserve">https://archive-ouverte.unige.ch/unige:14538</w:t>
        </w:r>
      </w:hyperlink>
      <w:r>
        <w:t xml:space="preserve">.</w:t>
      </w:r>
    </w:p>
    <w:bookmarkEnd w:id="307"/>
    <w:bookmarkStart w:id="309"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08">
        <w:r>
          <w:rPr>
            <w:rStyle w:val="Hyperlink"/>
          </w:rPr>
          <w:t xml:space="preserve">https://doi.org/10.1111/ajps.12743</w:t>
        </w:r>
      </w:hyperlink>
      <w:r>
        <w:t xml:space="preserve">.</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3">
    <w:p>
      <w:pPr>
        <w:pStyle w:val="FootnoteText"/>
      </w:pPr>
      <w:r>
        <w:rPr>
          <w:rStyle w:val="FootnoteReference"/>
        </w:rPr>
        <w:footnoteRef/>
      </w:r>
      <w:r>
        <w:t xml:space="preserve"> </w:t>
      </w:r>
      <w:r>
        <w:t xml:space="preserve">“Gerhard Schwarz: «Une Suisse néolibérale? C’est une «fake news» - Le Temps”</w:t>
      </w:r>
      <w:r>
        <w:t xml:space="preserve"> </w:t>
      </w:r>
      <w:r>
        <w:t xml:space="preserve">(2019)</w:t>
      </w:r>
      <w:r>
        <w:t xml:space="preserve">, author’s translation</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7">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39">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40">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1">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4">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1">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3">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9">
    <w:p>
      <w:pPr>
        <w:pStyle w:val="FootnoteText"/>
      </w:pPr>
      <w:r>
        <w:rPr>
          <w:rStyle w:val="FootnoteReference"/>
        </w:rPr>
        <w:footnoteRef/>
      </w:r>
      <w:r>
        <w:t xml:space="preserve"> </w:t>
      </w:r>
      <w:r>
        <w:t xml:space="preserve">J.-C. Rennwald (1998)</w:t>
      </w:r>
      <w:r>
        <w:t xml:space="preserve">, p.227, author’s translation</w:t>
      </w:r>
    </w:p>
  </w:footnote>
  <w:footnote w:id="80">
    <w:p>
      <w:pPr>
        <w:pStyle w:val="FootnoteText"/>
      </w:pPr>
      <w:r>
        <w:rPr>
          <w:rStyle w:val="FootnoteReference"/>
        </w:rPr>
        <w:footnoteRef/>
      </w:r>
      <w:r>
        <w:t xml:space="preserve"> </w:t>
      </w:r>
      <w:r>
        <w:t xml:space="preserve">J.-C. Rennwald (1998)</w:t>
      </w:r>
      <w:r>
        <w:t xml:space="preserve">, p.227, author’s translation</w:t>
      </w:r>
    </w:p>
  </w:footnote>
  <w:footnote w:id="83">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9">
    <w:p>
      <w:pPr>
        <w:pStyle w:val="FootnoteText"/>
      </w:pPr>
      <w:r>
        <w:rPr>
          <w:rStyle w:val="FootnoteReference"/>
        </w:rPr>
        <w:footnoteRef/>
      </w:r>
      <w:r>
        <w:t xml:space="preserve"> </w:t>
      </w:r>
      <w:r>
        <w:t xml:space="preserve">The full results of the 12 clusters model can be consulted</w:t>
      </w:r>
      <w:r>
        <w:t xml:space="preserve"> </w:t>
      </w:r>
      <w:hyperlink r:id="rId90">
        <w:r>
          <w:rPr>
            <w:rStyle w:val="Hyperlink"/>
          </w:rPr>
          <w:t xml:space="preserve">here</w:t>
        </w:r>
      </w:hyperlink>
      <w:r>
        <w:t xml:space="preserve"> </w:t>
      </w:r>
      <w:r>
        <w:t xml:space="preserve">(https://jeylal.github.io/selects1999results/)</w:t>
      </w:r>
    </w:p>
  </w:footnote>
  <w:footnote w:id="91">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33" Target="media/rId133.png" /><Relationship Type="http://schemas.openxmlformats.org/officeDocument/2006/relationships/image" Id="rId129" Target="media/rId129.png" /><Relationship Type="http://schemas.openxmlformats.org/officeDocument/2006/relationships/image" Id="rId125" Target="media/rId125.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hyperlink" Id="rId222" Target="http://gen.lib.rus.ec/book/index.php?md5=672bb6ec977ceddc83c745ffc8db0022" TargetMode="External" /><Relationship Type="http://schemas.openxmlformats.org/officeDocument/2006/relationships/hyperlink" Id="rId279"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169" Target="https://CRAN.R-project.org/package=marginaleffects" TargetMode="External" /><Relationship Type="http://schemas.openxmlformats.org/officeDocument/2006/relationships/hyperlink" Id="rId306"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40"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67" Target="https://doi.org/10.1002/j.1662-6370.2010.tb00433.x" TargetMode="External" /><Relationship Type="http://schemas.openxmlformats.org/officeDocument/2006/relationships/hyperlink" Id="rId226" Target="https://doi.org/10.1017/CBO9780511790720" TargetMode="External" /><Relationship Type="http://schemas.openxmlformats.org/officeDocument/2006/relationships/hyperlink" Id="rId252"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294" Target="https://doi.org/10.1017/S1755773913000246" TargetMode="External" /><Relationship Type="http://schemas.openxmlformats.org/officeDocument/2006/relationships/hyperlink" Id="rId260" Target="https://doi.org/10.1057/9780230504592" TargetMode="External" /><Relationship Type="http://schemas.openxmlformats.org/officeDocument/2006/relationships/hyperlink" Id="rId281" Target="https://doi.org/10.1080/01402382.2014.920981" TargetMode="External" /><Relationship Type="http://schemas.openxmlformats.org/officeDocument/2006/relationships/hyperlink" Id="rId183"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50" Target="https://doi.org/10.1080/10705510701575396" TargetMode="External" /><Relationship Type="http://schemas.openxmlformats.org/officeDocument/2006/relationships/hyperlink" Id="rId235" Target="https://doi.org/10.1080/1350176032000059053" TargetMode="External" /><Relationship Type="http://schemas.openxmlformats.org/officeDocument/2006/relationships/hyperlink" Id="rId207" Target="https://doi.org/10.1080/13501763.2017.1310279" TargetMode="External" /><Relationship Type="http://schemas.openxmlformats.org/officeDocument/2006/relationships/hyperlink" Id="rId167" Target="https://doi.org/10.1080/13563467.2023.2215701" TargetMode="External" /><Relationship Type="http://schemas.openxmlformats.org/officeDocument/2006/relationships/hyperlink" Id="rId264" Target="https://doi.org/10.1080/14616690701846946" TargetMode="External" /><Relationship Type="http://schemas.openxmlformats.org/officeDocument/2006/relationships/hyperlink" Id="rId150" Target="https://doi.org/10.1093/acprof:oso/9780198787815.001.0001" TargetMode="External" /><Relationship Type="http://schemas.openxmlformats.org/officeDocument/2006/relationships/hyperlink" Id="rId301" Target="https://doi.org/10.1093/pan/mpq025" TargetMode="External" /><Relationship Type="http://schemas.openxmlformats.org/officeDocument/2006/relationships/hyperlink" Id="rId198" Target="https://doi.org/10.1093/qje/qjab036" TargetMode="External" /><Relationship Type="http://schemas.openxmlformats.org/officeDocument/2006/relationships/hyperlink" Id="rId304"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269" Target="https://doi.org/10.1111/1475-6765.12259" TargetMode="External" /><Relationship Type="http://schemas.openxmlformats.org/officeDocument/2006/relationships/hyperlink" Id="rId308" Target="https://doi.org/10.1111/ajps.12743" TargetMode="External" /><Relationship Type="http://schemas.openxmlformats.org/officeDocument/2006/relationships/hyperlink" Id="rId224" Target="https://doi.org/10.1111/j.1475-6765.2006.00644.x" TargetMode="External" /><Relationship Type="http://schemas.openxmlformats.org/officeDocument/2006/relationships/hyperlink" Id="rId277"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62" Target="https://doi.org/10.1177/0192512107088390" TargetMode="External" /><Relationship Type="http://schemas.openxmlformats.org/officeDocument/2006/relationships/hyperlink" Id="rId185" Target="https://doi.org/10.1177/026858091006004002" TargetMode="External" /><Relationship Type="http://schemas.openxmlformats.org/officeDocument/2006/relationships/hyperlink" Id="rId237" Target="https://doi.org/10.2202/1935-6226.1022" TargetMode="External" /><Relationship Type="http://schemas.openxmlformats.org/officeDocument/2006/relationships/hyperlink" Id="rId299" Target="https://doi.org/10.2202/1935-6226.1042" TargetMode="External" /><Relationship Type="http://schemas.openxmlformats.org/officeDocument/2006/relationships/hyperlink" Id="rId209" Target="https://doi.org/10.2307/1953494" TargetMode="External" /><Relationship Type="http://schemas.openxmlformats.org/officeDocument/2006/relationships/hyperlink" Id="rId229" Target="https://doi.org/10.2307/1954890" TargetMode="External" /><Relationship Type="http://schemas.openxmlformats.org/officeDocument/2006/relationships/hyperlink" Id="rId214" Target="https://doi.org/10.2307/1962590" TargetMode="External" /><Relationship Type="http://schemas.openxmlformats.org/officeDocument/2006/relationships/hyperlink" Id="rId21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16" Target="https://doi.org/10.3917/infle.020.0183" TargetMode="External" /><Relationship Type="http://schemas.openxmlformats.org/officeDocument/2006/relationships/hyperlink" Id="rId292" Target="https://doi.org/10.3917/socio.103.0243" TargetMode="External" /><Relationship Type="http://schemas.openxmlformats.org/officeDocument/2006/relationships/hyperlink" Id="rId220"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3" Target="https://doi.org/10.4337/9781782549925.00015" TargetMode="External" /><Relationship Type="http://schemas.openxmlformats.org/officeDocument/2006/relationships/hyperlink" Id="rId204" Target="https://doi.org/10.48573/9EX9-FP54" TargetMode="External" /><Relationship Type="http://schemas.openxmlformats.org/officeDocument/2006/relationships/hyperlink" Id="rId297" Target="https://doi.org/10.48573/PCBM-2280" TargetMode="External" /><Relationship Type="http://schemas.openxmlformats.org/officeDocument/2006/relationships/hyperlink" Id="rId172" Target="https://doi.org/10.5169/seals-515017" TargetMode="External" /><Relationship Type="http://schemas.openxmlformats.org/officeDocument/2006/relationships/hyperlink" Id="rId248" Target="https://hdr.undp.org/content/human-development-report-2021-22" TargetMode="External" /><Relationship Type="http://schemas.openxmlformats.org/officeDocument/2006/relationships/hyperlink" Id="rId181" Target="https://hls-dhs-dss.ch/articles/003626/2020-01-20/" TargetMode="External" /><Relationship Type="http://schemas.openxmlformats.org/officeDocument/2006/relationships/hyperlink" Id="rId290" Target="https://hls-dhs-dss.ch/articles/004635/2020-04-15/" TargetMode="External" /><Relationship Type="http://schemas.openxmlformats.org/officeDocument/2006/relationships/hyperlink" Id="rId288" Target="https://hls-dhs-dss.ch/articles/017389/2017-03-20/" TargetMode="External" /><Relationship Type="http://schemas.openxmlformats.org/officeDocument/2006/relationships/hyperlink" Id="rId192" Target="https://hls-dhs-dss.ch/articles/017393/2022-01-24/" TargetMode="External" /><Relationship Type="http://schemas.openxmlformats.org/officeDocument/2006/relationships/hyperlink" Id="rId246"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7" Target="https://oec.world/en/rankings/eci/hs6/hs96" TargetMode="External" /><Relationship Type="http://schemas.openxmlformats.org/officeDocument/2006/relationships/hyperlink" Id="rId194" Target="https://wid.world/wp-content/uploads/2021/03/WorldInequalityLab_WP2021_08_PoliticalCleavages_AustriaBelgiumNLSwitzerland.pdf" TargetMode="External" /><Relationship Type="http://schemas.openxmlformats.org/officeDocument/2006/relationships/hyperlink" Id="rId201" Target="https://www.avenir-suisse.ch/fr/7-bonnes-raisons-de-privatiser-lenergie/" TargetMode="External" /><Relationship Type="http://schemas.openxmlformats.org/officeDocument/2006/relationships/hyperlink" Id="rId189" Target="https://www.econstor.eu/handle/10419/63462" TargetMode="External" /><Relationship Type="http://schemas.openxmlformats.org/officeDocument/2006/relationships/hyperlink" Id="rId286" Target="https://www.epflpress.org/produit/1421/9782889155279/politique-suisse" TargetMode="External" /><Relationship Type="http://schemas.openxmlformats.org/officeDocument/2006/relationships/hyperlink" Id="rId284" Target="https://www.jstor.org/stable/45344498" TargetMode="External" /><Relationship Type="http://schemas.openxmlformats.org/officeDocument/2006/relationships/hyperlink" Id="rId196" Target="https://www.letemps.ch/economie/gerhard-schwarz-une-suisse-neoliberale-cest-une-fake-news" TargetMode="External" /><Relationship Type="http://schemas.openxmlformats.org/officeDocument/2006/relationships/hyperlink" Id="rId254" Target="https://www.oecd-ilibrary.org/economics/oecd-economic-surveys-switzerland-1992_eco_surveys-che-1992-en" TargetMode="External" /><Relationship Type="http://schemas.openxmlformats.org/officeDocument/2006/relationships/hyperlink" Id="rId256" Target="https://www.oecd-ilibrary.org/economics/oecd-economic-surveys-switzerland-2019_7e6fd372-en" TargetMode="External" /><Relationship Type="http://schemas.openxmlformats.org/officeDocument/2006/relationships/hyperlink" Id="rId258"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22" Target="http://gen.lib.rus.ec/book/index.php?md5=672bb6ec977ceddc83c745ffc8db0022" TargetMode="External" /><Relationship Type="http://schemas.openxmlformats.org/officeDocument/2006/relationships/hyperlink" Id="rId279"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169" Target="https://CRAN.R-project.org/package=marginaleffects" TargetMode="External" /><Relationship Type="http://schemas.openxmlformats.org/officeDocument/2006/relationships/hyperlink" Id="rId306"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40"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67" Target="https://doi.org/10.1002/j.1662-6370.2010.tb00433.x" TargetMode="External" /><Relationship Type="http://schemas.openxmlformats.org/officeDocument/2006/relationships/hyperlink" Id="rId226" Target="https://doi.org/10.1017/CBO9780511790720" TargetMode="External" /><Relationship Type="http://schemas.openxmlformats.org/officeDocument/2006/relationships/hyperlink" Id="rId252"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294" Target="https://doi.org/10.1017/S1755773913000246" TargetMode="External" /><Relationship Type="http://schemas.openxmlformats.org/officeDocument/2006/relationships/hyperlink" Id="rId260" Target="https://doi.org/10.1057/9780230504592" TargetMode="External" /><Relationship Type="http://schemas.openxmlformats.org/officeDocument/2006/relationships/hyperlink" Id="rId281" Target="https://doi.org/10.1080/01402382.2014.920981" TargetMode="External" /><Relationship Type="http://schemas.openxmlformats.org/officeDocument/2006/relationships/hyperlink" Id="rId183"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50" Target="https://doi.org/10.1080/10705510701575396" TargetMode="External" /><Relationship Type="http://schemas.openxmlformats.org/officeDocument/2006/relationships/hyperlink" Id="rId235" Target="https://doi.org/10.1080/1350176032000059053" TargetMode="External" /><Relationship Type="http://schemas.openxmlformats.org/officeDocument/2006/relationships/hyperlink" Id="rId207" Target="https://doi.org/10.1080/13501763.2017.1310279" TargetMode="External" /><Relationship Type="http://schemas.openxmlformats.org/officeDocument/2006/relationships/hyperlink" Id="rId167" Target="https://doi.org/10.1080/13563467.2023.2215701" TargetMode="External" /><Relationship Type="http://schemas.openxmlformats.org/officeDocument/2006/relationships/hyperlink" Id="rId264" Target="https://doi.org/10.1080/14616690701846946" TargetMode="External" /><Relationship Type="http://schemas.openxmlformats.org/officeDocument/2006/relationships/hyperlink" Id="rId150" Target="https://doi.org/10.1093/acprof:oso/9780198787815.001.0001" TargetMode="External" /><Relationship Type="http://schemas.openxmlformats.org/officeDocument/2006/relationships/hyperlink" Id="rId301" Target="https://doi.org/10.1093/pan/mpq025" TargetMode="External" /><Relationship Type="http://schemas.openxmlformats.org/officeDocument/2006/relationships/hyperlink" Id="rId198" Target="https://doi.org/10.1093/qje/qjab036" TargetMode="External" /><Relationship Type="http://schemas.openxmlformats.org/officeDocument/2006/relationships/hyperlink" Id="rId304"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269" Target="https://doi.org/10.1111/1475-6765.12259" TargetMode="External" /><Relationship Type="http://schemas.openxmlformats.org/officeDocument/2006/relationships/hyperlink" Id="rId308" Target="https://doi.org/10.1111/ajps.12743" TargetMode="External" /><Relationship Type="http://schemas.openxmlformats.org/officeDocument/2006/relationships/hyperlink" Id="rId224" Target="https://doi.org/10.1111/j.1475-6765.2006.00644.x" TargetMode="External" /><Relationship Type="http://schemas.openxmlformats.org/officeDocument/2006/relationships/hyperlink" Id="rId277"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62" Target="https://doi.org/10.1177/0192512107088390" TargetMode="External" /><Relationship Type="http://schemas.openxmlformats.org/officeDocument/2006/relationships/hyperlink" Id="rId185" Target="https://doi.org/10.1177/026858091006004002" TargetMode="External" /><Relationship Type="http://schemas.openxmlformats.org/officeDocument/2006/relationships/hyperlink" Id="rId237" Target="https://doi.org/10.2202/1935-6226.1022" TargetMode="External" /><Relationship Type="http://schemas.openxmlformats.org/officeDocument/2006/relationships/hyperlink" Id="rId299" Target="https://doi.org/10.2202/1935-6226.1042" TargetMode="External" /><Relationship Type="http://schemas.openxmlformats.org/officeDocument/2006/relationships/hyperlink" Id="rId209" Target="https://doi.org/10.2307/1953494" TargetMode="External" /><Relationship Type="http://schemas.openxmlformats.org/officeDocument/2006/relationships/hyperlink" Id="rId229" Target="https://doi.org/10.2307/1954890" TargetMode="External" /><Relationship Type="http://schemas.openxmlformats.org/officeDocument/2006/relationships/hyperlink" Id="rId214" Target="https://doi.org/10.2307/1962590" TargetMode="External" /><Relationship Type="http://schemas.openxmlformats.org/officeDocument/2006/relationships/hyperlink" Id="rId21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16" Target="https://doi.org/10.3917/infle.020.0183" TargetMode="External" /><Relationship Type="http://schemas.openxmlformats.org/officeDocument/2006/relationships/hyperlink" Id="rId292" Target="https://doi.org/10.3917/socio.103.0243" TargetMode="External" /><Relationship Type="http://schemas.openxmlformats.org/officeDocument/2006/relationships/hyperlink" Id="rId220"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3" Target="https://doi.org/10.4337/9781782549925.00015" TargetMode="External" /><Relationship Type="http://schemas.openxmlformats.org/officeDocument/2006/relationships/hyperlink" Id="rId204" Target="https://doi.org/10.48573/9EX9-FP54" TargetMode="External" /><Relationship Type="http://schemas.openxmlformats.org/officeDocument/2006/relationships/hyperlink" Id="rId297" Target="https://doi.org/10.48573/PCBM-2280" TargetMode="External" /><Relationship Type="http://schemas.openxmlformats.org/officeDocument/2006/relationships/hyperlink" Id="rId172" Target="https://doi.org/10.5169/seals-515017" TargetMode="External" /><Relationship Type="http://schemas.openxmlformats.org/officeDocument/2006/relationships/hyperlink" Id="rId248" Target="https://hdr.undp.org/content/human-development-report-2021-22" TargetMode="External" /><Relationship Type="http://schemas.openxmlformats.org/officeDocument/2006/relationships/hyperlink" Id="rId181" Target="https://hls-dhs-dss.ch/articles/003626/2020-01-20/" TargetMode="External" /><Relationship Type="http://schemas.openxmlformats.org/officeDocument/2006/relationships/hyperlink" Id="rId290" Target="https://hls-dhs-dss.ch/articles/004635/2020-04-15/" TargetMode="External" /><Relationship Type="http://schemas.openxmlformats.org/officeDocument/2006/relationships/hyperlink" Id="rId288" Target="https://hls-dhs-dss.ch/articles/017389/2017-03-20/" TargetMode="External" /><Relationship Type="http://schemas.openxmlformats.org/officeDocument/2006/relationships/hyperlink" Id="rId192" Target="https://hls-dhs-dss.ch/articles/017393/2022-01-24/" TargetMode="External" /><Relationship Type="http://schemas.openxmlformats.org/officeDocument/2006/relationships/hyperlink" Id="rId246"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7" Target="https://oec.world/en/rankings/eci/hs6/hs96" TargetMode="External" /><Relationship Type="http://schemas.openxmlformats.org/officeDocument/2006/relationships/hyperlink" Id="rId194" Target="https://wid.world/wp-content/uploads/2021/03/WorldInequalityLab_WP2021_08_PoliticalCleavages_AustriaBelgiumNLSwitzerland.pdf" TargetMode="External" /><Relationship Type="http://schemas.openxmlformats.org/officeDocument/2006/relationships/hyperlink" Id="rId201" Target="https://www.avenir-suisse.ch/fr/7-bonnes-raisons-de-privatiser-lenergie/" TargetMode="External" /><Relationship Type="http://schemas.openxmlformats.org/officeDocument/2006/relationships/hyperlink" Id="rId189" Target="https://www.econstor.eu/handle/10419/63462" TargetMode="External" /><Relationship Type="http://schemas.openxmlformats.org/officeDocument/2006/relationships/hyperlink" Id="rId286" Target="https://www.epflpress.org/produit/1421/9782889155279/politique-suisse" TargetMode="External" /><Relationship Type="http://schemas.openxmlformats.org/officeDocument/2006/relationships/hyperlink" Id="rId284" Target="https://www.jstor.org/stable/45344498" TargetMode="External" /><Relationship Type="http://schemas.openxmlformats.org/officeDocument/2006/relationships/hyperlink" Id="rId196" Target="https://www.letemps.ch/economie/gerhard-schwarz-une-suisse-neoliberale-cest-une-fake-news" TargetMode="External" /><Relationship Type="http://schemas.openxmlformats.org/officeDocument/2006/relationships/hyperlink" Id="rId254" Target="https://www.oecd-ilibrary.org/economics/oecd-economic-surveys-switzerland-1992_eco_surveys-che-1992-en" TargetMode="External" /><Relationship Type="http://schemas.openxmlformats.org/officeDocument/2006/relationships/hyperlink" Id="rId256" Target="https://www.oecd-ilibrary.org/economics/oecd-economic-surveys-switzerland-2019_7e6fd372-en" TargetMode="External" /><Relationship Type="http://schemas.openxmlformats.org/officeDocument/2006/relationships/hyperlink" Id="rId258"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2024-02-20T14:13:13Z</dcterms:created>
  <dcterms:modified xsi:type="dcterms:W3CDTF">2024-02-20T14:13:13Z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