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31.png" ContentType="image/png"/>
  <Override PartName="/word/media/rId127.png" ContentType="image/png"/>
  <Override PartName="/word/media/rId123.png" ContentType="image/png"/>
  <Override PartName="/word/media/rId136.png" ContentType="image/png"/>
  <Override PartName="/word/media/rId111.png" ContentType="image/png"/>
  <Override PartName="/word/media/rId107.png" ContentType="image/png"/>
  <Override PartName="/word/media/rId103.png" ContentType="image/png"/>
  <Override PartName="/word/media/rId27.png" ContentType="image/png"/>
  <Override PartName="/word/media/rId31.png" ContentType="image/png"/>
  <Override PartName="/word/media/rId62.png" ContentType="image/png"/>
  <Override PartName="/word/media/rId54.png" ContentType="image/png"/>
  <Override PartName="/word/media/rId58.png" ContentType="image/png"/>
  <Override PartName="/word/media/rId44.png" ContentType="image/png"/>
  <Override PartName="/word/media/rId48.png" ContentType="image/png"/>
  <Override PartName="/word/media/rId94.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w:t>
      </w:r>
      <w:r>
        <w:t xml:space="preserve"> </w:t>
      </w:r>
      <w:r>
        <w:t xml:space="preserve">Blocs,</w:t>
      </w:r>
      <w:r>
        <w:t xml:space="preserve"> </w:t>
      </w:r>
      <w:r>
        <w:t xml:space="preserve">Institutional</w:t>
      </w:r>
      <w:r>
        <w:t xml:space="preserve"> </w:t>
      </w:r>
      <w:r>
        <w:t xml:space="preserve">Change</w:t>
      </w:r>
      <w:r>
        <w:t xml:space="preserve"> </w:t>
      </w:r>
      <w:r>
        <w:t xml:space="preserve">and</w:t>
      </w:r>
      <w:r>
        <w:t xml:space="preserve"> </w:t>
      </w:r>
      <w:r>
        <w:t xml:space="preserve">Social</w:t>
      </w:r>
      <w:r>
        <w:t xml:space="preserve"> </w:t>
      </w:r>
      <w:r>
        <w:t xml:space="preserve">Conflict</w:t>
      </w:r>
      <w:r>
        <w:t xml:space="preserve"> </w:t>
      </w:r>
      <w:r>
        <w:t xml:space="preserve">in</w:t>
      </w:r>
      <w:r>
        <w:t xml:space="preserve"> </w:t>
      </w:r>
      <w:r>
        <w:t xml:space="preserve">Switzerland</w:t>
      </w:r>
    </w:p>
    <w:p>
      <w:pPr>
        <w:pStyle w:val="Subtitle"/>
      </w:pPr>
      <w:r>
        <w:t xml:space="preserve">A</w:t>
      </w:r>
      <w:r>
        <w:t xml:space="preserve"> </w:t>
      </w:r>
      <w:r>
        <w:t xml:space="preserve">Neorealist</w:t>
      </w:r>
      <w:r>
        <w:t xml:space="preserve"> </w:t>
      </w:r>
      <w:r>
        <w:t xml:space="preserve">Approach</w:t>
      </w:r>
    </w:p>
    <w:p>
      <w:pPr>
        <w:pStyle w:val="Author"/>
      </w:pPr>
      <w:r>
        <w:t xml:space="preserve">Celâl</w:t>
      </w:r>
      <w:r>
        <w:t xml:space="preserve"> </w:t>
      </w:r>
      <w:r>
        <w:t xml:space="preserve">Güney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bookmarkEnd w:id="20"/>
    <w:bookmarkStart w:id="37" w:name="introduction"/>
    <w:p>
      <w:pPr>
        <w:pStyle w:val="Heading1"/>
      </w:pPr>
      <w:r>
        <w:t xml:space="preserve">1. Introduction</w:t>
      </w:r>
    </w:p>
    <w:bookmarkStart w:id="23"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is still debated in the early 2020s, with greater hesitation about the direction to be taken by the Swiss socio-economic model.</w:t>
      </w:r>
    </w:p>
    <w:p>
      <w:pPr>
        <w:pStyle w:val="BodyText"/>
      </w:pPr>
      <w:r>
        <w:t xml:space="preserve">The Swiss model of capitalism is also difficult to classify in the Varieties of Capitalism’s (VoC) framework, and comparative capitalism’s theories have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w:t>
      </w:r>
    </w:p>
    <w:p>
      <w:pPr>
        <w:pStyle w:val="BodyText"/>
      </w:pPr>
      <w:r>
        <w:t xml:space="preserve">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 LME type of capitalism. But theories of comparative capitalism have generally classified the Swiss model among the non-liberal and coordinated market economies</w:t>
      </w:r>
      <w:r>
        <w:t xml:space="preserve"> </w:t>
      </w:r>
      <w:r>
        <w:t xml:space="preserve">(Hall and Soskice 2001)</w:t>
      </w:r>
      <w:r>
        <w:t xml:space="preserve">. However, socio-economic models are not static and they change under the pressure of institutional dynamics and social conflict</w:t>
      </w:r>
      <w:r>
        <w:t xml:space="preserve"> </w:t>
      </w:r>
      <w:r>
        <w:t xml:space="preserve">(Amable 2023)</w:t>
      </w:r>
      <w:r>
        <w:t xml:space="preserve">. Non-liberal European models have especially been altered by structural reforms in the last decades, without converging entirely towards LMEs either. The Swiss CME, like Germany or France, also experienced such dynamics, which put into question the classification and future of the Swiss model.</w:t>
      </w:r>
    </w:p>
    <w:p>
      <w:pPr>
        <w:pStyle w:val="BodyText"/>
      </w:pPr>
      <w:r>
        <w:t xml:space="preserve">In fact, since the global neoliberal turn of the late 20th century, the Swiss model is under pressure and experienced important waves of neoliberal reforms</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During the last decades, the Swiss model thus underwent important process of institutional change which moved it closer to the neoliberal model, without converging totally towards the latter either. This unfinished transformation led</w:t>
      </w:r>
      <w:r>
        <w:t xml:space="preserve"> </w:t>
      </w:r>
      <w:r>
        <w:t xml:space="preserve">Trampusch and Mach (2011)</w:t>
      </w:r>
      <w:r>
        <w:t xml:space="preserve"> </w:t>
      </w:r>
      <w:r>
        <w:t xml:space="preserve">to qualify the Swiss economy as a hybrid model of capitalism. The concept of hybrid model, or of</w:t>
      </w:r>
      <w:r>
        <w:t xml:space="preserve"> </w:t>
      </w:r>
      <w:r>
        <w:t xml:space="preserve">“</w:t>
      </w:r>
      <w:r>
        <w:t xml:space="preserve">hybridisation</w:t>
      </w:r>
      <w:r>
        <w:t xml:space="preserve">”</w:t>
      </w:r>
      <w:r>
        <w:t xml:space="preserve">, is often used to characterize the non-liberal economies which imported neoliberal institutions without complete convergence</w:t>
      </w:r>
      <w:r>
        <w:t xml:space="preserve"> </w:t>
      </w:r>
      <w:r>
        <w:t xml:space="preserve">(Amable 2016)</w:t>
      </w:r>
      <w:r>
        <w:t xml:space="preserve">. For</w:t>
      </w:r>
      <w:r>
        <w:t xml:space="preserve"> </w:t>
      </w:r>
      <w:r>
        <w:t xml:space="preserve">Amable (2023)</w:t>
      </w:r>
      <w:r>
        <w:t xml:space="preserve">, hybridisation can be explained by increasingly differentiated and contradictory demands from social groups, and the different attempt and strategies aimed at conserving their socio-political support.</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t xml:space="preserve"> </w:t>
      </w:r>
      <w:r>
        <w:t xml:space="preserve">(Garessus 2019, author’s translation)</w:t>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3"/>
    <w:bookmarkStart w:id="36" w:name="X74f2340eb3d8fe9810cf1c7da27caa8fb3cb55d"/>
    <w:p>
      <w:pPr>
        <w:pStyle w:val="Heading2"/>
      </w:pPr>
      <w:r>
        <w:t xml:space="preserve">1.2 Research question, theoretical framework and plan</w:t>
      </w:r>
    </w:p>
    <w:p>
      <w:pPr>
        <w:pStyle w:val="FirstParagraph"/>
      </w:pPr>
      <w:r>
        <w:t xml:space="preserve">The extent to which the Swiss hybrid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The motivation behind this research question is to underline the socio-political conditions which drive the stability or transformation of any given socio-economic model. Neoliberal reforms are not the result of an inevitable evolution that imposes itself in a predestined manner on institutional change, and thus put restraints on political choices which will inevitably be constraint to implement the one best way prescribed by neoclassic theory. Rather, they are the result of a political strategy, which needs to rest on a sufficiently viable and sustainable social base.</w:t>
      </w:r>
    </w:p>
    <w:p>
      <w:pPr>
        <w:pStyle w:val="BodyText"/>
      </w:pPr>
      <w:r>
        <w:t xml:space="preserve">A way to answer this research question is thus to explore the relevant Swiss social blocs and assess the extent to which these blocs evolved under the influence of different factors: socio-economic characteristics, institutional dynamics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4"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differentiated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which predominates in mainstream Public Choice theories and in certain Marxist currents.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prioritize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Political strategies thus aggregate socio-political groups into social blocs.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to support a given socio-economic model, the crisis becomes</w:t>
      </w:r>
      <w:r>
        <w:t xml:space="preserve"> </w:t>
      </w:r>
      <w:r>
        <w:rPr>
          <w:iCs/>
          <w:i/>
        </w:rPr>
        <w:t xml:space="preserve">systemic</w:t>
      </w:r>
      <w:r>
        <w:t xml:space="preserve"> </w:t>
      </w:r>
      <w:r>
        <w:t xml:space="preserve">(Amable 2003; Amable and Palombarini 2005, 2008, 2023)</w:t>
      </w:r>
      <w:r>
        <w:t xml:space="preserve">. The concept of political equilibrium does not imply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4"/>
    <w:bookmarkStart w:id="35"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economic and political institutions.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5"/>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 In Lijphart’s framework, the success and stability of the Swiss model compared to France and Italy, which are relatively closer to the majoritarian model, would thus be explained by its political institutions favoring consensus, power-sharing, and compromises.</w:t>
      </w:r>
    </w:p>
    <w:p>
      <w:pPr>
        <w:pStyle w:val="BodyText"/>
      </w:pPr>
      <w:r>
        <w:t xml:space="preserve">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6"/>
      </w:r>
      <w:r>
        <w:t xml:space="preserve">. Switzerland’s success and stability are often associated with the particularities of the country’s political institutions.</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0" w:name="fig-trust1"/>
          <w:p>
            <w:pPr>
              <w:pStyle w:val="Compact"/>
              <w:jc w:val="center"/>
            </w:pPr>
            <w:r>
              <w:drawing>
                <wp:inline>
                  <wp:extent cx="4620126" cy="3696101"/>
                  <wp:effectExtent b="0" l="0" r="0" t="0"/>
                  <wp:docPr descr="" title="" id="28" name="Picture"/>
                  <a:graphic>
                    <a:graphicData uri="http://schemas.openxmlformats.org/drawingml/2006/picture">
                      <pic:pic>
                        <pic:nvPicPr>
                          <pic:cNvPr descr="intro_files/figure-docx/fig-trust1-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0"/>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very low level of trust. The persistence of political mistrust in government in Italy and France are reflections of the persistent political crisis in which these countries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and compete for political power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2014b)</w:t>
      </w:r>
      <w:r>
        <w:t xml:space="preserve">.</w:t>
      </w:r>
    </w:p>
    <w:p>
      <w:pPr>
        <w:pStyle w:val="BodyText"/>
      </w:pPr>
      <w:r>
        <w:t xml:space="preserve">Since the break-up of the DSB in France and Italy, both countries experienced successive political strategies carrying a neoliberal agenda These strategies were first adopted by the right as way out of the political crisis and break-up of the DSB, but they failed due to the economic crisis and the difficulties to build a dominant social alliance which would start from a neoliberal core (executives, self-employed, small entrepreneurs etc) and be extended to other social groups. In France, Sarkozy’s strategy was to attract the support of private sector’s employees alongside the neoliberal core by implementing a reform of the labour market based on flexicurity. In Italy, Berlusconi’s strategy was to conciliate the neoliberal core with precarious classes by promising that neoliberal and supply side reforms would foster employment and growth. These two strategies were however greatly disrupted by the Great Recession, which marked the end of a neoliberal strategy carried by the right and based on a compromise between the neoliberal core and relatively more popular groups. The political strategy carried thereafter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 In Italy, it was the Monti government that sought to create this social alliance which exclude the bulk of popular classes</w:t>
      </w:r>
      <w:r>
        <w:t xml:space="preserve"> </w:t>
      </w:r>
      <w:r>
        <w:t xml:space="preserve">(Amable, Guillaud, and Palombarini 2012; Amable and Palombarini 2014a, 2018)</w:t>
      </w:r>
      <w:r>
        <w:t xml:space="preserve">.</w:t>
      </w:r>
    </w:p>
    <w:p>
      <w:pPr>
        <w:pStyle w:val="BodyText"/>
      </w:pPr>
      <w:r>
        <w:t xml:space="preserve">Going back to Switzerland, other data sources show a more contrasted picture of the country’s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offering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4" w:name="fig-trust2"/>
          <w:p>
            <w:pPr>
              <w:pStyle w:val="Compact"/>
              <w:jc w:val="center"/>
            </w:pPr>
            <w:r>
              <w:drawing>
                <wp:inline>
                  <wp:extent cx="4620126" cy="3696101"/>
                  <wp:effectExtent b="0" l="0" r="0" t="0"/>
                  <wp:docPr descr="" title="" id="32" name="Picture"/>
                  <a:graphic>
                    <a:graphicData uri="http://schemas.openxmlformats.org/drawingml/2006/picture">
                      <pic:pic>
                        <pic:nvPicPr>
                          <pic:cNvPr descr="intro_files/figure-docx/fig-trust2-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4"/>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that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followed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Political observers and journalists like José Ribeaud or Pietro Boschetti generally associate the crisis of the 90s with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But the political crisis of the 90s was also the result of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confirmed its dominance over Swiss politics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party support, political leaning and cleavages using post-voting survey data such as VoxIt has never been done in the literature, one possible reason being that researchers tend to focus more on post-election survey data. Last, this research is the first to conduct an endogenous identification of Swiss socio-political groups through a latent class analysis using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5"/>
    <w:bookmarkEnd w:id="36"/>
    <w:bookmarkEnd w:id="37"/>
    <w:bookmarkStart w:id="101" w:name="Xe50ae872f7cbe6c73a06c5181548ddfc4a9759b"/>
    <w:p>
      <w:pPr>
        <w:pStyle w:val="Heading1"/>
      </w:pPr>
      <w:r>
        <w:t xml:space="preserve">2. Social blocs, structural factors and political divides in Switzerland</w:t>
      </w:r>
    </w:p>
    <w:bookmarkStart w:id="42"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 and then of a liberal 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strongly unitary and centralized state inspired by the French system and imposed by Napoleon. The unpopularity of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who took power in a majority of cantons. That period was characterized by a growing polarization between liberal and progressive groups in proto-industrialized and protestant cantons and those attached to the traditional models of the Catholic conservative cantons</w:t>
      </w:r>
      <w:r>
        <w:t xml:space="preserve"> </w:t>
      </w:r>
      <w:r>
        <w:t xml:space="preserve">(Sciarini 2023, 21–25)</w:t>
      </w:r>
      <w:r>
        <w:t xml:space="preserve">.</w:t>
      </w:r>
    </w:p>
    <w:p>
      <w:pPr>
        <w:pStyle w:val="BodyText"/>
      </w:pPr>
      <w:r>
        <w:t xml:space="preserve">This religious cleavage between Radical Protestant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 conservative coalition opposed to the centralization and modernization of the Swiss Confederation, and the victorious and dominant Radicals who were on average Protestants and bourgeois from urban areas</w:t>
      </w:r>
      <w:r>
        <w:t xml:space="preserve"> </w:t>
      </w:r>
      <w:r>
        <w:t xml:space="preserve">(Sciarini 2023, 27–28)</w:t>
      </w:r>
      <w:r>
        <w:t xml:space="preserve">. However, these two blocs were highly heterogeneous and subject to internal contradictions. It is particularly important to stress the heterogeneity of the Radical bloc, which contrasts with the its almost hegemonic domination over Swiss politics in the second half of the 20th century. For four decades (1848-1891), all seven seats of the federal council were held by Radicals despite growing contradictions within the bloc and an increasing opposition coming from the Catholic conservatives, who only gained their first government seat in 1891.</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8"/>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39"/>
      </w:r>
      <w:r>
        <w:t xml:space="preserve"> </w:t>
      </w:r>
      <w:r>
        <w:t xml:space="preserve">(1820-1879) and Johann Jakob Speiser (1813-1856), were opposed by liberal Radicals such as Alfred Escher</w:t>
      </w:r>
      <w:r>
        <w:rPr>
          <w:rStyle w:val="FootnoteReference"/>
        </w:rPr>
        <w:footnoteReference w:id="40"/>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 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disrupt the reforms promulgated by the Radicals. While the Radicals were convinced that the idea of the Swiss nation would transcend divisions and social conflict, the Catholic conservatives believed that religion, rather than the Swiss state, should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the Marxian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 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 conservatives, who then tried to attract parts of the working class</w:t>
      </w:r>
      <w:r>
        <w:t xml:space="preserve"> </w:t>
      </w:r>
      <w:r>
        <w:t xml:space="preserve">(Altermatt 1979)</w:t>
      </w:r>
      <w:r>
        <w:t xml:space="preserve">. As a result, the Catholic conservatives did not try to incorporate working class’ interests only due to ideological change. As shown by</w:t>
      </w:r>
      <w:r>
        <w:t xml:space="preserve"> </w:t>
      </w:r>
      <w:r>
        <w:t xml:space="preserve">Walter (2022)</w:t>
      </w:r>
      <w:r>
        <w:t xml:space="preserve">, the development of a Catholic social doctrine was a reaction to the multiplication of Catholic workers’ associations resulting from rural-urban migration flows. In rural areas, existing business and farmers associations within the Catholic conservatives opposed the development of workers’ associations whereas in urban cities, Catholic workers did not meet such opposition and were thus free to develop their own Catholic organizations.</w:t>
      </w:r>
    </w:p>
    <w:p>
      <w:pPr>
        <w:pStyle w:val="BodyText"/>
      </w:pPr>
      <w:r>
        <w:t xml:space="preserve">This polarization of social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 conservatives, who meanwhile created the Christian Democratic Party (PDC) in 1912, and the Socialists became important political actors in the National Council. The Socialist Party (PS) consolidated a left bloc while the Radical-Democrats (PRD), the Christian democrats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(created in 1870), led many scholars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considered to be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Switzerland’s socio-economic model became gradually a form of organized capitalism based on five key institutional forms: a bank-oriented industry; a nationalized monetary system and a strongly independent central bank; federalism and direct democracy favoring compromises; a state involved in active infrastructure building; and a trade policy centered around a</w:t>
      </w:r>
      <w:r>
        <w:t xml:space="preserve"> </w:t>
      </w:r>
      <w:r>
        <w:t xml:space="preserve">“</w:t>
      </w:r>
      <w:r>
        <w:t xml:space="preserve">combative protectionism</w:t>
      </w:r>
      <w:r>
        <w:t xml:space="preserve">”</w:t>
      </w:r>
      <w:r>
        <w:t xml:space="preserve"> </w:t>
      </w:r>
      <w:r>
        <w:t xml:space="preserve">strategy. On top of the institutional hierarchy, international insertion played a crucial role since access to international markets was a matter of survival for a large part of the export-oriented large Swiss industries represented at the political level by the Vorort. Traditional industries and the agricultural sector constituted the second half of this bourgeois-peasant bloc, and their political demands were met through various domestic compensation policies. According to</w:t>
      </w:r>
      <w:r>
        <w:t xml:space="preserve"> </w:t>
      </w:r>
      <w:r>
        <w:t xml:space="preserve">Charles and Vallet (2024)</w:t>
      </w:r>
      <w:r>
        <w:t xml:space="preserve">, the contradictory interests between the export-oriented and domestic-oriented industries were resolved by the need of Swiss capitalists to defend their interests against the state and foreign industries. This explanation is not entirely satisfactory, since, as David and Mach put it, the growing popular protests and opposition from the working class also play an important role in the unification of the bourgeois bloc:</w:t>
      </w:r>
      <w:r>
        <w:t xml:space="preserve"> </w:t>
      </w:r>
      <w:r>
        <w:t xml:space="preserve">“</w:t>
      </w:r>
      <w:r>
        <w:t xml:space="preserve">The formation of a</w:t>
      </w:r>
      <w:r>
        <w:t xml:space="preserve"> </w:t>
      </w:r>
      <w:r>
        <w:t xml:space="preserve">‘</w:t>
      </w:r>
      <w:r>
        <w:t xml:space="preserve">bourgeois bloc</w:t>
      </w:r>
      <w:r>
        <w:t xml:space="preserve">’</w:t>
      </w:r>
      <w:r>
        <w:t xml:space="preserve"> </w:t>
      </w:r>
      <w:r>
        <w:t xml:space="preserve">at the end of the nineteenth century was dictated as much by the political institutions of conflict resolution as by the will to fight the rise of the labour movement</w:t>
      </w:r>
      <w:r>
        <w:t xml:space="preserve">”</w:t>
      </w:r>
      <w:r>
        <w:t xml:space="preserve"> </w:t>
      </w:r>
      <w:r>
        <w:t xml:space="preserve">(David and Mach 2006, 9)</w:t>
      </w:r>
      <w:r>
        <w:t xml:space="preserve">.</w:t>
      </w:r>
    </w:p>
    <w:p>
      <w:pPr>
        <w:pStyle w:val="BodyText"/>
      </w:pPr>
      <w:r>
        <w:t xml:space="preserve">However, the extent to which this dominant bloc can truly be described as bourgeois or bourgeois-peasant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 democrats, the Christian democrats and the Agrarians (now UDC) and its close ties with business interest associations of both the export-oriented industries and domestic-oriented sheltered sectors. Although this term has the merit of underlying the heterogeneity of the DSB, the bourgeois-peasant bloc in the sense given by</w:t>
      </w:r>
      <w:r>
        <w:t xml:space="preserve"> </w:t>
      </w:r>
      <w:r>
        <w:t xml:space="preserve">Charles and Vallet (2024)</w:t>
      </w:r>
      <w:r>
        <w:t xml:space="preserve"> </w:t>
      </w:r>
      <w:r>
        <w:t xml:space="preserve">does not even explicitly include political actors, and restrict this definition to the interests defended by the major business interest associations. This bloc is hence bourgeois only because it gathers right-wing parties and business interest associations, a definition which is rather narrow and can be misleading since it does not take into account the social basis of the bloc. From a neorealist perspective, which seeks to identify the relevant dominant and dominated social blocs underpinning a given socio-economic model, a social bloc cannot be reduced to an alliance between political parties. More precisely, social blocs are</w:t>
      </w:r>
      <w:r>
        <w:t xml:space="preserve"> </w:t>
      </w:r>
      <w:r>
        <w:t xml:space="preserve">“</w:t>
      </w:r>
      <w:r>
        <w:t xml:space="preserve">alliances between socio-political groups united around a defined political strategy</w:t>
      </w:r>
      <w:r>
        <w:t xml:space="preserve">”</w:t>
      </w:r>
      <w:r>
        <w:t xml:space="preserve"> </w:t>
      </w:r>
      <w:r>
        <w:t xml:space="preserve">(Amable and Palombarini 2023, 3)</w:t>
      </w:r>
      <w:r>
        <w:t xml:space="preserve">. These socio-political groups are sets of agents expressing similar social demands, or policy expectations. Contrary to what has been recently argued by</w:t>
      </w:r>
      <w:r>
        <w:t xml:space="preserve"> </w:t>
      </w:r>
      <w:r>
        <w:t xml:space="preserve">May, Nölke, and Schedelik (2024)</w:t>
      </w:r>
      <w:r>
        <w:t xml:space="preserve">, the neorealist conception of social blocs is thus not strictly</w:t>
      </w:r>
      <w:r>
        <w:t xml:space="preserve"> </w:t>
      </w:r>
      <w:r>
        <w:t xml:space="preserve">“</w:t>
      </w:r>
      <w:r>
        <w:t xml:space="preserve">voter-based</w:t>
      </w:r>
      <w:r>
        <w:t xml:space="preserve">”</w:t>
      </w:r>
      <w:r>
        <w:t xml:space="preserve"> </w:t>
      </w:r>
      <w:r>
        <w:t xml:space="preserve">since social blocs are aggregations of different socio-political groups which are not confined to voters.</w:t>
      </w:r>
    </w:p>
    <w:p>
      <w:pPr>
        <w:pStyle w:val="BodyText"/>
      </w:pPr>
      <w:r>
        <w:t xml:space="preserve">In addition, calling this right-wing coalition bourgeois ignores, for instance, the fact that this bloc gathered some popular socio-economic groups such as small-business owners and peasants, or even parts of the Catholic working class. In the sense given by Amable and Palombarini</w:t>
      </w:r>
      <w:r>
        <w:t xml:space="preserve"> </w:t>
      </w:r>
      <w:r>
        <w:t xml:space="preserve">(Amable and Palombarini 2018)</w:t>
      </w:r>
      <w:r>
        <w:t xml:space="preserve">, the bourgeois bloc observed in France corresponds to the aggregation of the wealthiest and most educated groups of the traditional left and right blocs. I argue that, from a neorealist perspective, the Radical bloc of the 19th century and the right-wing coalition of the late 19th and of the 20th centuries cannot be described as bourgeois and that other terms such as</w:t>
      </w:r>
      <w:r>
        <w:t xml:space="preserve"> </w:t>
      </w:r>
      <w:r>
        <w:t xml:space="preserve">“</w:t>
      </w:r>
      <w:r>
        <w:t xml:space="preserve">liberal 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 From this perspective, socio-political groups having strong bourgeois traits are only a part of the DSB, and their institutional and ideological domination within the bloc</w:t>
      </w:r>
      <w:r>
        <w:t xml:space="preserve"> </w:t>
      </w:r>
      <w:r>
        <w:t xml:space="preserve">(Amable and Palombarini 2023)</w:t>
      </w:r>
      <w:r>
        <w:t xml:space="preserve"> </w:t>
      </w:r>
      <w:r>
        <w:t xml:space="preserve">depend on various socio-economic, ideological and historical dynamics. Another issue of the literature on the bourgeois bloc is the overemphasis on the role of business interest associations. It is true that the latter hold a privileged role in Swiss politics, due to the weakness of the Swiss central state and the importance of pre-parliamentary phase in public decision-making</w:t>
      </w:r>
      <w:r>
        <w:t xml:space="preserve"> </w:t>
      </w:r>
      <w:r>
        <w:t xml:space="preserve">(Sciarini 2023)</w:t>
      </w:r>
      <w:r>
        <w:t xml:space="preserve">. However, social groups have other means to influence policy making other than through business associations or trade unions, such as party politics, public protests or referendums. This concept of a bourgeois bloc reflecting the all-powerful power of business interests associations is also mirrored by an abundant and important literature on the structural power of Swiss elites. According to studies from the sociology of elites’ perspective, the Swiss bourgeois bloc is synonym with the political and organizational power of the Swiss elite networks which are considered as the sole social basis supporting the Swiss model of coordinated or organized capitalism. From this perspective, Switzerland is considered to be ruled by a</w:t>
      </w:r>
      <w:r>
        <w:t xml:space="preserve"> </w:t>
      </w:r>
      <w:r>
        <w:t xml:space="preserve">“</w:t>
      </w:r>
      <w:r>
        <w:t xml:space="preserve">close-knit elite that simultaneously embraces political, economic and military positions</w:t>
      </w:r>
      <w:r>
        <w:t xml:space="preserve">”</w:t>
      </w:r>
      <w:r>
        <w:t xml:space="preserve"> </w:t>
      </w:r>
      <w:r>
        <w:t xml:space="preserve">(Bühlmann, David, and Mach 2012, 727)</w:t>
      </w:r>
      <w:r>
        <w:t xml:space="preserve">.</w:t>
      </w:r>
      <w:r>
        <w:t xml:space="preserve"> </w:t>
      </w:r>
      <w:r>
        <w:t xml:space="preserve">Rossier et al. (2022)</w:t>
      </w:r>
      <w:r>
        <w:t xml:space="preserve"> </w:t>
      </w:r>
      <w:r>
        <w:t xml:space="preserve">describe the transformations of the Swiss elites in three periods. The first period (late 19th to 1945) corresponds to a consolidation period during which Swiss elites, due to the small size of the country, organized themselves through organizational networks and compromises between interest groups and political parties. The second phase (1945-1990) corresponds to an integration stage. After unions and farmers’ associations were integrated into the elite networks during the 1930s, the second stage marked the culmination of elites’ coordination and cohesiveness. In the latest stage (from 1990s onwards), a fragmentation dynamic destabilized the traditional mode of coordination of the national elite, due to increasing internationalization and globalization. Although the contributions of the Swiss sociology of elites’ perspective are crucial to understand the dynamics of an important branch of Swiss social groups, this</w:t>
      </w:r>
      <w:r>
        <w:t xml:space="preserve"> </w:t>
      </w:r>
      <w:r>
        <w:t xml:space="preserve">“</w:t>
      </w:r>
      <w:r>
        <w:t xml:space="preserve">oligarchic</w:t>
      </w:r>
      <w:r>
        <w:t xml:space="preserve">”</w:t>
      </w:r>
      <w:r>
        <w:t xml:space="preserve"> </w:t>
      </w:r>
      <w:r>
        <w:t xml:space="preserve">approach to the Swiss social blocs implicitly considers the rest of the Swiss population as a politically dominated group passively accepting the institutional change and the socio-economic model promulgated by the elites. In other words, both the bourgeois bloc and oligarchic perspectives omit the importance for the Swiss socio-economic model to be supported by a social bloc composed of different socio-political groups united around a political strategy. The narrow conception of a Swiss DSB which would be limited to a political alliance between political parties and business associations must hence leave room to a more accurate investigation starting from the identification of the different Swiss socio-economic and socio-political groups, and the different political strategies which sought to aggregate the relevant socio-political groups into social blocs.</w:t>
      </w:r>
    </w:p>
    <w:p>
      <w:pPr>
        <w:pStyle w:val="BodyText"/>
      </w:pPr>
      <w:r>
        <w:t xml:space="preserve">Such an analysis, especially regarding the identification of Swiss socio-political groups, may prove delicate for 19th and 20th century Switzerland, due to the lack of good-quality individual survey data, which only began to be collected systematically and consistently from the 1990s onwards. Until the post-war period, the evolution of the Swiss social blocs could nonetheless be resumed as follows, based on short reconstruction of the Swiss social blocs eschewed above. From the middle to the late 19th century, the Radicals formed a dominant social bloc, which was strongly heterogeneous in terms of the socio-political and socio-economic groups gathered by its political strategy centered around the construction of a central state. This dominant social bloc was composed by the working class (mainly through the Grütli Union), and an urban elite composed by the most educated (journalists, lawyers, teachers) and the wealthy industrial bourgeoisie (entrepreneurs, bankers, industrialists). This DSB was united by their willingness to modernize the Confederation against the Catholic conservatives. A second period, from the late 19th to the second World War, marked the recomposition of the DSB and its transformation into a liberal conservative bloc. Parts of the working class and of the democrats (educated elite) joined the emerging socialist-left bloc while the Christian 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the working class</w:t>
      </w:r>
      <w:r>
        <w:t xml:space="preserve"> </w:t>
      </w:r>
      <w:r>
        <w:t xml:space="preserve">(L. Rennwald 2020)</w:t>
      </w:r>
      <w:r>
        <w:t xml:space="preserve">.</w:t>
      </w:r>
    </w:p>
    <w:p>
      <w:pPr>
        <w:pStyle w:val="BodyText"/>
      </w:pPr>
      <w:r>
        <w:t xml:space="preserve">The coalition between the Radical democrats, Christian 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2008, 2010)</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 conservatives and the Agrarians. Despite its incorporation in the parliament and government, the left bloc never truly became dominant in Switzerland.</w:t>
      </w:r>
    </w:p>
    <w:p>
      <w:pPr>
        <w:pStyle w:val="BodyText"/>
      </w:pPr>
      <w:r>
        <w:t xml:space="preserve">To sum up, Switzerland’s traditional social blocs crystallized into an asymmetrical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 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 The program of the Radical-Democratic Party and policy demands from the business interests associations linked to the large industrialized firms and large employees correspond to the interests of large export-oriented industries: low social protection, low taxation, no barriers to external trade and promoting free trade through bilateral agreements.</w:t>
      </w:r>
    </w:p>
    <w:p>
      <w:pPr>
        <w:pStyle w:val="BodyText"/>
      </w:pPr>
      <w:r>
        <w:t xml:space="preserve">Alongside this group were the medium and small business owners producing essentially for the national market, and skilled workers (managers) from the private sector. The policy demands from the medium and small domestic-oriented firms differed substantially from those of the large companies in terms of the degree of protection from international competition and public subsidies. Unlike the big corporations producing for foreign markets, small and medium firms felt more threatened by external competition, and, since they produced mainly for the internal and rather small Swiss market, they tended to ask for protection and public subsidies. On the political level, the agricultural sector was represented by the Farmers’ Union (USP, created in 1897), while the Union of Arts and Crafts (USAM, created in 1879) defended the interests of small and medium domestic-oriented firms.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1"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 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1"/>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 Other organizations, such as the Swiss Federation of Trade Unions (USS, founded in 1880) also play a great role in the representation of workers’ interests.</w:t>
      </w:r>
    </w:p>
    <w:p>
      <w:pPr>
        <w:pStyle w:val="BodyText"/>
      </w:pPr>
      <w:r>
        <w:t xml:space="preserve">In its early days, the Swiss Socialist Party had strong communist stances. Its second program (1904) had strong Marxist and anti-capitalist inspirations: it advocated nationalizations, collectivization, and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The traditional Swiss social blocs have thus been identified and their evolution since the 19th century until the second half of the 20th century has been shortly traced. Before moving on to an in-depth analysis of the recomposition of these social blocs during the crisis of the 90s, it is necessary to take a long-run perspective on the evolution of these blocs in the last decades.</w:t>
      </w:r>
    </w:p>
    <w:bookmarkEnd w:id="42"/>
    <w:bookmarkStart w:id="68" w:name="Xac48953cc1344d3e906a1574380eb4db4208561"/>
    <w:p>
      <w:pPr>
        <w:pStyle w:val="Heading2"/>
      </w:pPr>
      <w:r>
        <w:t xml:space="preserve">2.2 Swiss social blocs and socio-economic factors: 1980-2016</w:t>
      </w:r>
    </w:p>
    <w:p>
      <w:pPr>
        <w:pStyle w:val="FirstParagraph"/>
      </w:pPr>
      <w:r>
        <w:t xml:space="preserve">How have the social bases of the liberal 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 This approach respresents also an opportunity to contribute to a flourishing literature on the links betweem political divides and structural factors.</w:t>
      </w:r>
    </w:p>
    <w:p>
      <w:pPr>
        <w:pStyle w:val="BodyText"/>
      </w:pPr>
      <w:r>
        <w:t xml:space="preserve">In fact, 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levels.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which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contribution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again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party, had clearly a bourgeois composition since it is consistently supported by the most wealthy and educated groups since the post-war period. The PDC and the UDC cannot really be described as bourgeois 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that period, the left bloc became brahmin 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3"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3"/>
          <w:p/>
        </w:tc>
      </w:tr>
    </w:tbl>
    <w:p>
      <w:pPr>
        <w:pStyle w:val="FirstParagraph"/>
      </w:pPr>
      <w:r>
        <w:t xml:space="preserve">The transformation of party systems into a mutli-elite and tripolar political space came with important change in the structural basis of party support. Before that,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determinants in explaining the success of the radical right: the latter’s supporters being more likely to feel threatened by immigrant’s impact on their country’s culture rather than on their standard-of-living. Against the argument of the decline of class voting,</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Oesch’s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7"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w:t>
      </w:r>
      <w:r>
        <w:t xml:space="preserve"> </w:t>
      </w:r>
      <w:r>
        <w:t xml:space="preserve">(SELECTS) cumulative dataset 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in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7" w:name="fig-educ"/>
          <w:p>
            <w:pPr>
              <w:pStyle w:val="Compact"/>
              <w:jc w:val="center"/>
            </w:pPr>
            <w:r>
              <w:drawing>
                <wp:inline>
                  <wp:extent cx="4620126" cy="3696101"/>
                  <wp:effectExtent b="0" l="0" r="0" t="0"/>
                  <wp:docPr descr="" title="" id="45" name="Picture"/>
                  <a:graphic>
                    <a:graphicData uri="http://schemas.openxmlformats.org/drawingml/2006/picture">
                      <pic:pic>
                        <pic:nvPicPr>
                          <pic:cNvPr descr="part1_files/figure-docx/fig-educ-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7"/>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Swiss respondents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1" w:name="fig-inc"/>
          <w:p>
            <w:pPr>
              <w:pStyle w:val="Compact"/>
              <w:jc w:val="center"/>
            </w:pPr>
            <w:r>
              <w:drawing>
                <wp:inline>
                  <wp:extent cx="4620126" cy="3696101"/>
                  <wp:effectExtent b="0" l="0" r="0" t="0"/>
                  <wp:docPr descr="" title="" id="49" name="Picture"/>
                  <a:graphic>
                    <a:graphicData uri="http://schemas.openxmlformats.org/drawingml/2006/picture">
                      <pic:pic>
                        <pic:nvPicPr>
                          <pic:cNvPr descr="part1_files/figure-docx/fig-inc-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1"/>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2"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2"/>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r>
        <w:rPr>
          <w:rStyle w:val="FootnoteReference"/>
        </w:rPr>
        <w:footnoteReference w:id="53"/>
      </w:r>
      <w:r>
        <w:t xml:space="preserve">.</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time periods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discrepancy between estimated proportions for party support and actual party strength during the national elections suggests that UDC’s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7" w:name="fig-ameparties"/>
          <w:p>
            <w:pPr>
              <w:pStyle w:val="Compact"/>
              <w:jc w:val="center"/>
            </w:pPr>
            <w:r>
              <w:drawing>
                <wp:inline>
                  <wp:extent cx="4620126" cy="5544151"/>
                  <wp:effectExtent b="0" l="0" r="0" t="0"/>
                  <wp:docPr descr="" title="" id="55" name="Picture"/>
                  <a:graphic>
                    <a:graphicData uri="http://schemas.openxmlformats.org/drawingml/2006/picture">
                      <pic:pic>
                        <pic:nvPicPr>
                          <pic:cNvPr descr="part1_files/figure-docx/fig-ameparties-1.png" id="56" name="Picture"/>
                          <pic:cNvPicPr>
                            <a:picLocks noChangeArrowheads="1" noChangeAspect="1"/>
                          </pic:cNvPicPr>
                        </pic:nvPicPr>
                        <pic:blipFill>
                          <a:blip r:embed="rId54"/>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7"/>
        </w:tc>
      </w:tr>
    </w:tbl>
    <w:p>
      <w:pPr>
        <w:pStyle w:val="BodyText"/>
      </w:pPr>
      <w:hyperlink w:anchor="fig-ameparties">
        <w:r>
          <w:rPr>
            <w:rStyle w:val="Hyperlink"/>
          </w:rPr>
          <w:t xml:space="preserve">Figure 2.3</w:t>
        </w:r>
      </w:hyperlink>
      <w:r>
        <w:t xml:space="preserve"> </w:t>
      </w:r>
      <w:r>
        <w:t xml:space="preserve">shows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were a brahmin left party from 1981 to 2016.</w:t>
      </w:r>
    </w:p>
    <w:p>
      <w:pPr>
        <w:pStyle w:val="BodyText"/>
      </w:pPr>
      <w:r>
        <w:t xml:space="preserve">Third, the results show that the Swiss People’s Party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terminology).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most wealthy and educated.</w:t>
      </w:r>
    </w:p>
    <w:tbl>
      <w:tblPr>
        <w:tblStyle w:val="Table"/>
        <w:tblW w:type="pct" w:w="5000"/>
        <w:tblLook w:firstRow="0" w:lastRow="0" w:firstColumn="0" w:lastColumn="0" w:noHBand="0" w:noVBand="0" w:val="0000"/>
        <w:jc w:val="start"/>
        <w:tblLayout w:type="fixed"/>
      </w:tblPr>
      <w:tblGrid>
        <w:gridCol w:w="7920"/>
      </w:tblGrid>
      <w:tr>
        <w:tc>
          <w:tcPr/>
          <w:bookmarkStart w:id="61" w:name="fig-amepolleaning"/>
          <w:p>
            <w:pPr>
              <w:pStyle w:val="Compact"/>
              <w:jc w:val="center"/>
            </w:pPr>
            <w:r>
              <w:drawing>
                <wp:inline>
                  <wp:extent cx="4620126" cy="3696101"/>
                  <wp:effectExtent b="0" l="0" r="0" t="0"/>
                  <wp:docPr descr="" title="" id="59" name="Picture"/>
                  <a:graphic>
                    <a:graphicData uri="http://schemas.openxmlformats.org/drawingml/2006/picture">
                      <pic:pic>
                        <pic:nvPicPr>
                          <pic:cNvPr descr="part1_files/figure-docx/fig-amepolleaning-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1"/>
        </w:tc>
      </w:tr>
    </w:tbl>
    <w:p>
      <w:pPr>
        <w:pStyle w:val="BodyText"/>
      </w:pPr>
      <w:hyperlink w:anchor="fig-amepolleaning">
        <w:r>
          <w:rPr>
            <w:rStyle w:val="Hyperlink"/>
          </w:rPr>
          <w:t xml:space="preserve">Figure 2.4</w:t>
        </w:r>
      </w:hyperlink>
      <w:r>
        <w:t xml:space="preserve"> </w:t>
      </w:r>
      <w:r>
        <w:t xml:space="preserve">shows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5" w:name="fig-ameIP"/>
          <w:p>
            <w:pPr>
              <w:pStyle w:val="Compact"/>
              <w:jc w:val="center"/>
            </w:pPr>
            <w:r>
              <w:drawing>
                <wp:inline>
                  <wp:extent cx="4620126" cy="3696101"/>
                  <wp:effectExtent b="0" l="0" r="0" t="0"/>
                  <wp:docPr descr="" title="" id="63" name="Picture"/>
                  <a:graphic>
                    <a:graphicData uri="http://schemas.openxmlformats.org/drawingml/2006/picture">
                      <pic:pic>
                        <pic:nvPicPr>
                          <pic:cNvPr descr="part1_files/figure-docx/fig-ameIP-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5"/>
        </w:tc>
      </w:tr>
    </w:tbl>
    <w:p>
      <w:pPr>
        <w:pStyle w:val="BodyText"/>
      </w:pPr>
      <w:r>
        <w:t xml:space="preserve">Finally,</w:t>
      </w:r>
      <w:r>
        <w:t xml:space="preserve"> </w:t>
      </w:r>
      <w:hyperlink w:anchor="fig-ameIP">
        <w:r>
          <w:rPr>
            <w:rStyle w:val="Hyperlink"/>
          </w:rPr>
          <w:t xml:space="preserve">Figure 2.5</w:t>
        </w:r>
      </w:hyperlink>
      <w:r>
        <w:t xml:space="preserve"> </w:t>
      </w:r>
      <w:r>
        <w:t xml:space="preserve">shows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tends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tends to increase since in 2008-2012, but is not significant in 2012-2016. Regarding support for state intervention, the differences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PLR-PRD, but the latter seems to be gradually transforming into a merchant right composition since the beginning of the 2010s. The Greens’ supporters belong to the brahmin left since the 80s and there is no clear trend that the party evolved into a bourgeois party. Regarding the UDC, the latter used to be a merchant right party in the 80s, and evolved into a</w:t>
      </w:r>
      <w:r>
        <w:t xml:space="preserve"> </w:t>
      </w:r>
      <w:r>
        <w:t xml:space="preserve">“</w:t>
      </w:r>
      <w:r>
        <w:t xml:space="preserve">populist</w:t>
      </w:r>
      <w:r>
        <w:t xml:space="preserve">”</w:t>
      </w:r>
      <w:r>
        <w:t xml:space="preserve"> </w:t>
      </w:r>
      <w:r>
        <w:t xml:space="preserve">or, in Piketty’s terms, a</w:t>
      </w:r>
      <w:r>
        <w:t xml:space="preserve"> </w:t>
      </w:r>
      <w:r>
        <w:t xml:space="preserve">“</w:t>
      </w:r>
      <w:r>
        <w:t xml:space="preserve">nativist</w:t>
      </w:r>
      <w:r>
        <w:t xml:space="preserve">”</w:t>
      </w:r>
      <w:r>
        <w:t xml:space="preserve"> </w:t>
      </w:r>
      <w:r>
        <w:t xml:space="preserve">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6"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6"/>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Each canton has its own party system and some political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which defines socio-political groups endogenously from a set of policy preferences, can be more suited to analyze the formation of social blocs. The next section will therefore adopt this bottom-up approach which is specific to the neorealist approach by conducting a latent class analysis for the late 90s.</w:t>
      </w:r>
    </w:p>
    <w:bookmarkEnd w:id="67"/>
    <w:bookmarkEnd w:id="68"/>
    <w:bookmarkStart w:id="100" w:name="X1948c5745db5504dc48f006cba99aece3f08b63"/>
    <w:p>
      <w:pPr>
        <w:pStyle w:val="Heading2"/>
      </w:pPr>
      <w:r>
        <w:t xml:space="preserve">2.3 In search of the liberal conservative and left blocs</w:t>
      </w:r>
    </w:p>
    <w:p>
      <w:pPr>
        <w:pStyle w:val="FirstParagraph"/>
      </w:pPr>
      <w:r>
        <w:t xml:space="preserve">The objective of the present section is to assess empirically the reconfiguration of the Swiss social blocs during the 90s. More specifically, the goal is to analyze how the dominant Swiss social bloc was able to recompose during the crisis of the 90s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France’s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1"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69"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69"/>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were thus estimated, increasing the number of clusters with each new model until the bootstrap likelihood ratio test showed no significance of adding a supplementary cluster to the model</w:t>
      </w:r>
      <w:r>
        <w:rPr>
          <w:rStyle w:val="FootnoteReference"/>
        </w:rPr>
        <w:footnoteReference w:id="70"/>
      </w:r>
      <w:r>
        <w:t xml:space="preserve">.</w:t>
      </w:r>
    </w:p>
    <w:bookmarkEnd w:id="71"/>
    <w:bookmarkStart w:id="99"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0"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 conservative and a subordinate left bloc. These two blocs were able to cooperate in what</w:t>
      </w:r>
      <w:r>
        <w:t xml:space="preserve"> </w:t>
      </w:r>
      <w:r>
        <w:t xml:space="preserve">Boschetti (2007)</w:t>
      </w:r>
      <w:r>
        <w:t xml:space="preserve"> </w:t>
      </w:r>
      <w:r>
        <w:t xml:space="preserve">calls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developed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was at this moment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 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2"/>
      </w:r>
      <w:r>
        <w:t xml:space="preserve">.</w:t>
      </w:r>
    </w:p>
    <w:p>
      <w:pPr>
        <w:pStyle w:val="BodyText"/>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 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 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 The 90s thus represent an important period for the analysis of the Swiss social blocs.</w:t>
      </w:r>
    </w:p>
    <w:tbl>
      <w:tblPr>
        <w:tblStyle w:val="Table"/>
        <w:tblW w:type="pct" w:w="5000"/>
        <w:tblLook w:firstRow="0" w:lastRow="0" w:firstColumn="0" w:lastColumn="0" w:noHBand="0" w:noVBand="0" w:val="0000"/>
        <w:jc w:val="start"/>
        <w:tblLayout w:type="fixed"/>
      </w:tblPr>
      <w:tblGrid>
        <w:gridCol w:w="7920"/>
      </w:tblGrid>
      <w:tr>
        <w:tc>
          <w:tcPr/>
          <w:bookmarkStart w:id="76" w:name="fig-partystrength"/>
          <w:p>
            <w:pPr>
              <w:pStyle w:val="Compact"/>
              <w:jc w:val="center"/>
            </w:pPr>
            <w:r>
              <w:drawing>
                <wp:inline>
                  <wp:extent cx="4620126" cy="3696101"/>
                  <wp:effectExtent b="0" l="0" r="0" t="0"/>
                  <wp:docPr descr="" title="" id="74" name="Picture"/>
                  <a:graphic>
                    <a:graphicData uri="http://schemas.openxmlformats.org/drawingml/2006/picture">
                      <pic:pic>
                        <pic:nvPicPr>
                          <pic:cNvPr descr="part1_files/figure-docx/fig-partystrength-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6"/>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UDC.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But the most important transformation in the Swiss political landscape is, of course, the rise of the Swiss People’s Party (UDC). The UDC was historically the country’s fourth largest party and the smallest party to be part of the Swiss government. Its origins dates back to the emergence of various Agrarian parties after the first World War, with the largest ones being founded in Bern in 1918 and Zurich in 1917. Rudolf Minger, the leader of the Bernese Agrarian party,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an anti-immigration and anti-European integration program. In that matter, the rejection by Swiss citizen of the adhesion to the European Economic Area in 1992 certainly marked the beginning of UDC’s fortunes,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The crisis of the 90s thus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UDC became the first party in terms of vote shares (22,6%), to the detriment of the PRD which fell to the third place, something which until then never happened since the creation of the Federal state in 1848.</w:t>
      </w:r>
    </w:p>
    <w:bookmarkStart w:id="78" w:name="Xc7780d86326565ceeaa4f2f23d94fb6087ccb0e"/>
    <w:p>
      <w:pPr>
        <w:pStyle w:val="Heading5"/>
      </w:pPr>
      <w:r>
        <w:t xml:space="preserve">2.3.2.1.1 The contradictions of the liberal conservative bloc</w:t>
      </w:r>
    </w:p>
    <w:p>
      <w:pPr>
        <w:pStyle w:val="FirstParagraph"/>
      </w:pPr>
      <w:r>
        <w:t xml:space="preserve">The stability of the liberal 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export-oriented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(mainly the USP and USAM) defending the farmers, medium and small firms, and small business owners producing for the domestic Swiss market who asked for protection and subsidies. Thanks to a high degree of coordination and cohesiveness between Swiss elites and business associations, compromises were established to partially reconcile these contradictory demands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called into question the long-established compromises with the groups attached to the domestic-oriented sectors. This rupture was made explicit by the publication of a series of</w:t>
      </w:r>
      <w:r>
        <w:t xml:space="preserve"> </w:t>
      </w:r>
      <w:r>
        <w:t xml:space="preserve">“</w:t>
      </w:r>
      <w:r>
        <w:t xml:space="preserve">white books</w:t>
      </w:r>
      <w:r>
        <w:t xml:space="preserve">”</w:t>
      </w:r>
      <w:r>
        <w:t xml:space="preserve"> </w:t>
      </w:r>
      <w:r>
        <w:t xml:space="preserve">by political and economic actors defending the interests of the Swiss multinational and financial corporations, as well as their ambition to search for a new Swiss model founded on competition, individual responsibility and sound public finance. The publication of several neoliberal reports in the 90s was first encouraged by the Federal Council’s explicit request for a clear perspective on the reforms needed to face a potential integration to the European Economic Area (EEA). In 1990, Hauser Heinz, economist at the university of St-Gallen and member of the Commission For Economic Research, was asked to study the economic implications of an adhesion to the EEA. Strongly influenced by neoclassic theory, the report published by Heinz suggested that the structural reforms required under EEA membership would be beneficial to Switzerland’s economic growth</w:t>
      </w:r>
      <w:r>
        <w:t xml:space="preserve"> </w:t>
      </w:r>
      <w:r>
        <w:t xml:space="preserve">(Mattei 1995)</w:t>
      </w:r>
      <w:r>
        <w:t xml:space="preserve">.</w:t>
      </w:r>
    </w:p>
    <w:p>
      <w:pPr>
        <w:pStyle w:val="BodyText"/>
      </w:pPr>
      <w:r>
        <w:t xml:space="preserve">In addition to Hauser’s report, Jean-Pascal Delamuraz, Radical member of the Federal Council, asked a group of economists and businessmen to provide for clear reforms to fight against the crisis. This group, led by David de Pury, was constituted by neoliberal economists from Swiss universities, public administrations, and business managers from banks and multinational corporations, who developed a neoliberal discourse advocating the transformation of Swiss coordinated capitalism into a new neoliberal model.</w:t>
      </w:r>
    </w:p>
    <w:p>
      <w:pPr>
        <w:pStyle w:val="BodyText"/>
      </w:pPr>
      <w:r>
        <w:t xml:space="preserve">The reforms advocated by this first white book</w:t>
      </w:r>
      <w:r>
        <w:t xml:space="preserve"> </w:t>
      </w:r>
      <w:r>
        <w:t xml:space="preserve">(Leutwiler et al. 1991)</w:t>
      </w:r>
      <w:r>
        <w:t xml:space="preserve"> </w:t>
      </w:r>
      <w:r>
        <w:t xml:space="preserve">touched upon major institutional areas: the labour market, the product market, taxation, and the education system. The most ambitious reforms were unambiguously directed towards the liberalization of domestic markets and public sectors: the authors asked for the liberalization and privatization of the telecommunication, energy and transport industries. Reforms regarding the education system were, for instance, the abolition of civil servant status for teachers at the Federal Institutes of Technology; restrictions to the access to university based on qualifications and the creation of higher specialized schools to reinforce vocational training. Reforms of the labour market should reinforce the regularization of seasonal and foreign workforce; induce more labour flexibility through loosened labour laws by, for example, authorizing night work for women. The reform of the taxation system should provide an opportunity to reduce taxation on businesses to increase competitiveness. But most importantly, the main structural reform advocated by the first white book was the introduction of active anti-cartel and pro-competition regulations, as domestic markets were considered to be negatively affected by cartels, rigidities and subsidies, all of these factors being responsible of distorted and un-competitive prices as well as for the lack of productivity gains</w:t>
      </w:r>
      <w:r>
        <w:t xml:space="preserve"> </w:t>
      </w:r>
      <w:r>
        <w:t xml:space="preserve">(Leutwiler et al. 1991)</w:t>
      </w:r>
      <w:r>
        <w:t xml:space="preserve">.</w:t>
      </w:r>
    </w:p>
    <w:p>
      <w:pPr>
        <w:pStyle w:val="BodyText"/>
      </w:pPr>
      <w:r>
        <w:t xml:space="preserve">As explained in the introduction, a</w:t>
      </w:r>
      <w:r>
        <w:t xml:space="preserve"> </w:t>
      </w:r>
      <w:r>
        <w:t xml:space="preserve">“</w:t>
      </w:r>
      <w:r>
        <w:t xml:space="preserve">revitalization</w:t>
      </w:r>
      <w:r>
        <w:t xml:space="preserve">”</w:t>
      </w:r>
      <w:r>
        <w:t xml:space="preserve"> </w:t>
      </w:r>
      <w:r>
        <w:t xml:space="preserve">program was undertaken by the federal state soon after the publication of this first white book and parts of the latter’s program were implemented, notably through the revision of the cartel act and the law on the internal market in 1995. Another important reform was made during the renewal of the financial regime in 1994. In 1993, the introduction of a value-added tax (VAT) was finally accepted by the population after three failed attempts (in 1977, 1979 and 1991). The VAT replaced the sales tax (ICHA), which was essentially a tax on investment goods and considered as detrimental to the competitiveness of the Swiss economy. In the official explanatory brochure, the Federal Council argued that the introduction of the VAT was</w:t>
      </w:r>
      <w:r>
        <w:t xml:space="preserve"> </w:t>
      </w:r>
      <w:r>
        <w:t xml:space="preserve">“</w:t>
      </w:r>
      <w:r>
        <w:t xml:space="preserve">an essential contribution to the regeneration of our economy</w:t>
      </w:r>
      <w:r>
        <w:t xml:space="preserve">”</w:t>
      </w:r>
      <w:r>
        <w:t xml:space="preserve"> </w:t>
      </w:r>
      <w:r>
        <w:t xml:space="preserve">and that abolishing the ICHA</w:t>
      </w:r>
      <w:r>
        <w:t xml:space="preserve"> </w:t>
      </w:r>
      <w:r>
        <w:t xml:space="preserve">“</w:t>
      </w:r>
      <w:r>
        <w:t xml:space="preserve">reduces the burden on our economy by some 2.6 billion francs</w:t>
      </w:r>
      <w:r>
        <w:t xml:space="preserve">”</w:t>
      </w:r>
      <w:r>
        <w:t xml:space="preserve">. Of course, the Federal Council was aware that</w:t>
      </w:r>
      <w:r>
        <w:t xml:space="preserve"> </w:t>
      </w:r>
      <w:r>
        <w:t xml:space="preserve">“</w:t>
      </w:r>
      <w:r>
        <w:t xml:space="preserve">the reduction of burdens on the economy, coupled with an increase in those on consumers, was deemed shocking</w:t>
      </w:r>
      <w:r>
        <w:t xml:space="preserve">”</w:t>
      </w:r>
      <w:r>
        <w:t xml:space="preserve"> </w:t>
      </w:r>
      <w:r>
        <w:t xml:space="preserve">but argued in response that</w:t>
      </w:r>
      <w:r>
        <w:t xml:space="preserve"> </w:t>
      </w:r>
      <w:r>
        <w:t xml:space="preserve">“</w:t>
      </w:r>
      <w:r>
        <w:t xml:space="preserve">consumers and employees are also interested in maintaining our economy’s international competitiveness</w:t>
      </w:r>
      <w:r>
        <w:t xml:space="preserve">”</w:t>
      </w:r>
      <w:r>
        <w:rPr>
          <w:rStyle w:val="FootnoteReference"/>
        </w:rPr>
        <w:footnoteReference w:id="77"/>
      </w:r>
      <w:r>
        <w:t xml:space="preserve">.</w:t>
      </w:r>
    </w:p>
    <w:p>
      <w:pPr>
        <w:pStyle w:val="BodyText"/>
      </w:pPr>
      <w:r>
        <w:t xml:space="preserve">Whereas the first White Paper generated little interest and debate in the Swiss public, the second one, published in 1995, became far more controversial. While recognizing the progress of the reforms undertaken by the revitalization program, the report recommended a stronger pursuit of the reforms: more restrictive social security policy focusing on individual responsibility and reintegration into the labor market; reduction in public spending and public debt; and the reinforcement of competition and liberalization policies</w:t>
      </w:r>
      <w:r>
        <w:t xml:space="preserve"> </w:t>
      </w:r>
      <w:r>
        <w:t xml:space="preserve">(Hauser et al. 1996)</w:t>
      </w:r>
      <w:r>
        <w:t xml:space="preserve">. Those recommended measures were implemented in the second half of the 1990s: the unemployment insurance was revised in 1995 to include</w:t>
      </w:r>
      <w:r>
        <w:t xml:space="preserve"> </w:t>
      </w:r>
      <w:r>
        <w:t xml:space="preserve">“</w:t>
      </w:r>
      <w:r>
        <w:t xml:space="preserve">activation</w:t>
      </w:r>
      <w:r>
        <w:t xml:space="preserve">”</w:t>
      </w:r>
      <w:r>
        <w:t xml:space="preserve"> </w:t>
      </w:r>
      <w:r>
        <w:t xml:space="preserve">measures and regional employment offices were created. The neoliberal reforms certainly culminated in 2003, with the enshrinement of the debt-brake principle in the constitution. Overall, these white books aimed at transforming the Swiss model of organized capitalism into a neoliberal model. The traditional Swiss model of coordinated capitalism was considered outmoded and ill-adapted to globalization and financialization: were the reforms of the white books not adopted, the Swiss economy ran the risk of loosing its privileged lead. The authors of the white books, especially David de Pury, were also highly supportive of Switzerland’s membership to European Union. Europe integration was seen as</w:t>
      </w:r>
      <w:r>
        <w:t xml:space="preserve"> </w:t>
      </w:r>
      <w:r>
        <w:t xml:space="preserve">“</w:t>
      </w:r>
      <w:r>
        <w:t xml:space="preserve">a fortuitous opportunity for Switzerland to dismantle its structural rigidities</w:t>
      </w:r>
      <w:r>
        <w:t xml:space="preserve">”</w:t>
      </w:r>
      <w:r>
        <w:t xml:space="preserve">(Holzen 1991)</w:t>
      </w:r>
      <w:r>
        <w:t xml:space="preserve"> </w:t>
      </w:r>
      <w:r>
        <w:t xml:space="preserve">and to avoid that</w:t>
      </w:r>
      <w:r>
        <w:t xml:space="preserve"> </w:t>
      </w:r>
      <w:r>
        <w:t xml:space="preserve">“</w:t>
      </w:r>
      <w:r>
        <w:t xml:space="preserve">Switzerland becomes a cartel in the middle of Europe</w:t>
      </w:r>
      <w:r>
        <w:t xml:space="preserve">”</w:t>
      </w:r>
      <w:r>
        <w:t xml:space="preserve">(Krill and Brandt 1992)</w:t>
      </w:r>
      <w:r>
        <w:t xml:space="preserve">. The vision of European integration as a tool to promote neoliberal reforms was not shared at all by the UDC and Christophe Blocher, who, unlike De Pury, considered that European integration was a threat to the implementation of structural reforms in Switzerland</w:t>
      </w:r>
      <w:r>
        <w:t xml:space="preserve">(Zeller, Häberlin, and Schoch 1992)</w:t>
      </w:r>
      <w:r>
        <w:t xml:space="preserve">.</w:t>
      </w:r>
    </w:p>
    <w:bookmarkEnd w:id="78"/>
    <w:bookmarkStart w:id="79" w:name="the-contradictions-of-the-left-bloc"/>
    <w:p>
      <w:pPr>
        <w:pStyle w:val="Heading5"/>
      </w:pPr>
      <w:r>
        <w:t xml:space="preserve">2.3.2.1.2 The contradictions of the left bloc</w:t>
      </w:r>
    </w:p>
    <w:p>
      <w:pPr>
        <w:pStyle w:val="FirstParagraph"/>
      </w:pPr>
      <w:r>
        <w:t xml:space="preserve">In contrast with the PRD and the PDC, the 90s were beneficial for the Swiss Socialist Party, whose decline appears more clearly in the long-run.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basis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t xml:space="preserve">(J.-C. Rennwald 1998, 227, author’s translation)</w:t>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t xml:space="preserve">(J.-C. Rennwald 1998, 227, author’s translation)</w:t>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quotation above: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into detail the transformations described above, and also test their empirical validity using a innovative and detailed approach. By taking into account the multi-dimensionality of social conflict and political cleavages, this approach allows to endogenously define socio-political groups from a set of indicator variables related to policy preferences, issue positions and social cleavages.</w:t>
      </w:r>
    </w:p>
    <w:bookmarkEnd w:id="79"/>
    <w:bookmarkEnd w:id="80"/>
    <w:bookmarkStart w:id="82"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in the appendix 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1"/>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 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Swiss Germans,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2"/>
    <w:bookmarkStart w:id="90"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6"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4" name="Picture"/>
                  <a:graphic>
                    <a:graphicData uri="http://schemas.openxmlformats.org/drawingml/2006/picture">
                      <pic:pic>
                        <pic:nvPicPr>
                          <pic:cNvPr descr="cltable.png" id="85" name="Picture"/>
                          <pic:cNvPicPr>
                            <a:picLocks noChangeArrowheads="1" noChangeAspect="1"/>
                          </pic:cNvPicPr>
                        </pic:nvPicPr>
                        <pic:blipFill>
                          <a:blip r:embed="rId83"/>
                          <a:stretch>
                            <a:fillRect/>
                          </a:stretch>
                        </pic:blipFill>
                        <pic:spPr bwMode="auto">
                          <a:xfrm>
                            <a:off x="0" y="0"/>
                            <a:ext cx="5334000" cy="4929391"/>
                          </a:xfrm>
                          <a:prstGeom prst="rect">
                            <a:avLst/>
                          </a:prstGeom>
                          <a:noFill/>
                          <a:ln w="9525">
                            <a:noFill/>
                            <a:headEnd/>
                            <a:tailEnd/>
                          </a:ln>
                        </pic:spPr>
                      </pic:pic>
                    </a:graphicData>
                  </a:graphic>
                </wp:inline>
              </w:drawing>
            </w:r>
          </w:p>
          <w:bookmarkEnd w:id="86"/>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87"/>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and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89"/>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0"/>
    <w:bookmarkStart w:id="93"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1"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1"/>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could attract parts of cluster 1 (17,8%) and 4 (12,36%), which support social expenditure, taxes on high income, environment protection and EU integration, but are more in favor of free markets and of defending traditions.</w:t>
      </w:r>
    </w:p>
    <w:p>
      <w:pPr>
        <w:pStyle w:val="BodyText"/>
      </w:pPr>
      <w:r>
        <w:t xml:space="preserve">A strategy centered around a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other policy dimensions. This cluster is, in terms of policy preferences, the closest to the neoliberal project advocated by the white books. Cluster 9 is the core of the conservative branch within the liberal 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2"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2"/>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The groups fully supporting the UDC are clusters 3, 7 and 11 (23.95% in total). Clusters 5 (7.12%) and 9 (4.91%) show sympathy for both the UDC and PRD, while cluster 10 (4.9%) is the only cluster fully supporting the PRD.</w:t>
      </w:r>
    </w:p>
    <w:bookmarkEnd w:id="93"/>
    <w:bookmarkStart w:id="98"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 conservative blocs recomposed during the 90s. The left bloc seemed less destabilized than the liberal conservative bloc. The former, which includes clusters 2, 8 and 12 (22.31%) had mainly one strategy to extend the bloc by including other socio-political groups. In effect, it could have tried to include more center or center-left groups like clusters 1 and 4, or even 6.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 compared to other European countries</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7" w:name="fig-manifesto"/>
          <w:p>
            <w:pPr>
              <w:pStyle w:val="Compact"/>
              <w:jc w:val="center"/>
            </w:pPr>
            <w:r>
              <w:drawing>
                <wp:inline>
                  <wp:extent cx="5334000" cy="3556000"/>
                  <wp:effectExtent b="0" l="0" r="0" t="0"/>
                  <wp:docPr descr="" title="" id="95" name="Picture"/>
                  <a:graphic>
                    <a:graphicData uri="http://schemas.openxmlformats.org/drawingml/2006/picture">
                      <pic:pic>
                        <pic:nvPicPr>
                          <pic:cNvPr descr="part1_files/figure-docx/fig-manifesto-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97"/>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 conservative bloc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young, wealthy and well-educated individuals who are on average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a sufficient social base. The limited size of the social basis supportive towards a bourgeois bloc strategy also explains why the white books were so badly received in the Swiss public opinion, and even among the PRD and PDC whose members thought that the program advocated by De Pury and coauthors was too radical. The press of the time underlined the malaise that the reports provoked among the Radicals split between those supportive towards the reports and those who criticized the program because of the lack of compromises with less affluent groups</w:t>
      </w:r>
      <w:r>
        <w:t xml:space="preserve"> </w:t>
      </w:r>
      <w:r>
        <w:t xml:space="preserve">(Carera 1993; Crevoisier 1996)</w:t>
      </w:r>
      <w:r>
        <w:t xml:space="preserve">. De Pury himself was aware that the bourgeois bloc strategy would fail because of the restricted size of its social basis. Despite some support in favour of his candidacy to replace Delamuraz’ seat in the Federal Council in 1998, de Pury announced that he did not want to govern a country that he felt was incapable to change and declared:</w:t>
      </w:r>
      <w:r>
        <w:t xml:space="preserve"> </w:t>
      </w:r>
      <w:r>
        <w:t xml:space="preserve">“</w:t>
      </w:r>
      <w:r>
        <w:t xml:space="preserve">I am in favour of profound changes in our country and, frankly, I don’t see them coming in the short term</w:t>
      </w:r>
      <w:r>
        <w:t xml:space="preserve">”</w:t>
      </w:r>
      <w:r>
        <w:t xml:space="preserve"> </w:t>
      </w:r>
      <w:r>
        <w:t xml:space="preserve">(</w:t>
      </w:r>
      <w:r>
        <w:t xml:space="preserve">“David de Pury Ne Veut Pas Diriger Une Suisse Qu’il Sent Incapable de Changer”</w:t>
      </w:r>
      <w:r>
        <w:t xml:space="preserve"> </w:t>
      </w:r>
      <w:r>
        <w:t xml:space="preserve">1998, author’s translation)</w:t>
      </w:r>
      <w:r>
        <w:t xml:space="preserve">.</w:t>
      </w:r>
    </w:p>
    <w:p>
      <w:pPr>
        <w:pStyle w:val="BodyText"/>
      </w:pPr>
      <w:r>
        <w:t xml:space="preserve">To sum up,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 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 of conservative neoliberalism.</w:t>
      </w:r>
    </w:p>
    <w:bookmarkEnd w:id="98"/>
    <w:bookmarkEnd w:id="99"/>
    <w:bookmarkEnd w:id="100"/>
    <w:bookmarkEnd w:id="101"/>
    <w:bookmarkStart w:id="102"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 conservative</w:t>
      </w:r>
      <w:r>
        <w:t xml:space="preserve">”</w:t>
      </w:r>
      <w:r>
        <w:t xml:space="preserve"> </w:t>
      </w:r>
      <w:r>
        <w:t xml:space="preserve">throughout this study, underwent important process of change.</w:t>
      </w:r>
    </w:p>
    <w:p>
      <w:pPr>
        <w:pStyle w:val="BodyText"/>
      </w:pPr>
      <w:r>
        <w:t xml:space="preserve">In fact, the social bases of the political parties representing the liberal 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 conservative blocs during the crisis. The estimated LCA model divides Swiss population of the late 90s in twelve socio-political groups. The twelve clusters model shows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became the first Swiss party in terms of vote shares and gained a second seat in the federal council after the 2003 national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analyses of more recent data would be a good complement to the present study to assess the stability of the new social bloc configuration which emerged in the 90s.</w:t>
      </w:r>
    </w:p>
    <w:p>
      <w:pPr>
        <w:pStyle w:val="BodyText"/>
      </w:pPr>
      <w:r>
        <w:t xml:space="preserve">Finally, the present work tends to overlook the crucial role of ideology, political strategies and institutional change.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socio-economic model underwent since the 90s deserve more careful analysis. All these points could be the subject of further work.</w:t>
      </w:r>
    </w:p>
    <w:bookmarkEnd w:id="102"/>
    <w:bookmarkStart w:id="141"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6" w:name="fig-plotdescrparties"/>
          <w:p>
            <w:pPr>
              <w:pStyle w:val="Compact"/>
              <w:jc w:val="center"/>
            </w:pPr>
            <w:r>
              <w:drawing>
                <wp:inline>
                  <wp:extent cx="5334000" cy="2667000"/>
                  <wp:effectExtent b="0" l="0" r="0" t="0"/>
                  <wp:docPr descr="" title="" id="104" name="Picture"/>
                  <a:graphic>
                    <a:graphicData uri="http://schemas.openxmlformats.org/drawingml/2006/picture">
                      <pic:pic>
                        <pic:nvPicPr>
                          <pic:cNvPr descr="conclusion_appendix_files/figure-docx/fig-plotdescrparties-1.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6"/>
        </w:tc>
      </w:tr>
    </w:tbl>
    <w:tbl>
      <w:tblPr>
        <w:tblStyle w:val="Table"/>
        <w:tblW w:type="pct" w:w="5000"/>
        <w:tblLook w:firstRow="0" w:lastRow="0" w:firstColumn="0" w:lastColumn="0" w:noHBand="0" w:noVBand="0" w:val="0000"/>
        <w:jc w:val="start"/>
        <w:tblLayout w:type="fixed"/>
      </w:tblPr>
      <w:tblGrid>
        <w:gridCol w:w="7920"/>
      </w:tblGrid>
      <w:tr>
        <w:tc>
          <w:tcPr/>
          <w:bookmarkStart w:id="110" w:name="fig-plotdescrleaning"/>
          <w:p>
            <w:pPr>
              <w:pStyle w:val="Compact"/>
              <w:jc w:val="center"/>
            </w:pPr>
            <w:r>
              <w:drawing>
                <wp:inline>
                  <wp:extent cx="4620126" cy="3696101"/>
                  <wp:effectExtent b="0" l="0" r="0" t="0"/>
                  <wp:docPr descr="" title="" id="108" name="Picture"/>
                  <a:graphic>
                    <a:graphicData uri="http://schemas.openxmlformats.org/drawingml/2006/picture">
                      <pic:pic>
                        <pic:nvPicPr>
                          <pic:cNvPr descr="conclusion_appendix_files/figure-docx/fig-plotdescrleaning-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0"/>
        </w:tc>
      </w:tr>
    </w:tbl>
    <w:tbl>
      <w:tblPr>
        <w:tblStyle w:val="Table"/>
        <w:tblW w:type="pct" w:w="5000"/>
        <w:tblLook w:firstRow="0" w:lastRow="0" w:firstColumn="0" w:lastColumn="0" w:noHBand="0" w:noVBand="0" w:val="0000"/>
        <w:jc w:val="start"/>
        <w:tblLayout w:type="fixed"/>
      </w:tblPr>
      <w:tblGrid>
        <w:gridCol w:w="7920"/>
      </w:tblGrid>
      <w:tr>
        <w:tc>
          <w:tcPr/>
          <w:bookmarkStart w:id="114" w:name="fig-plotdescrIP"/>
          <w:p>
            <w:pPr>
              <w:pStyle w:val="Compact"/>
              <w:jc w:val="center"/>
            </w:pPr>
            <w:r>
              <w:drawing>
                <wp:inline>
                  <wp:extent cx="5334000" cy="2667000"/>
                  <wp:effectExtent b="0" l="0" r="0" t="0"/>
                  <wp:docPr descr="" title="" id="112" name="Picture"/>
                  <a:graphic>
                    <a:graphicData uri="http://schemas.openxmlformats.org/drawingml/2006/picture">
                      <pic:pic>
                        <pic:nvPicPr>
                          <pic:cNvPr descr="conclusion_appendix_files/figure-docx/fig-plotdescrIP-1.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4"/>
        </w:tc>
      </w:tr>
    </w:tbl>
    <w:tbl>
      <w:tblPr>
        <w:tblStyle w:val="Table"/>
        <w:tblW w:type="pct" w:w="5000"/>
        <w:tblLook w:firstRow="0" w:lastRow="0" w:firstColumn="0" w:lastColumn="0" w:noHBand="0" w:noVBand="0" w:val="0000"/>
        <w:jc w:val="start"/>
        <w:tblLayout w:type="fixed"/>
      </w:tblPr>
      <w:tblGrid>
        <w:gridCol w:w="7920"/>
      </w:tblGrid>
      <w:tr>
        <w:tc>
          <w:tcPr/>
          <w:bookmarkStart w:id="116"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5">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6"/>
        </w:tc>
      </w:tr>
    </w:tbl>
    <w:tbl>
      <w:tblPr>
        <w:tblStyle w:val="Table"/>
        <w:tblW w:type="pct" w:w="5000"/>
        <w:tblLook w:firstRow="0" w:lastRow="0" w:firstColumn="0" w:lastColumn="0" w:noHBand="0" w:noVBand="0" w:val="0000"/>
        <w:jc w:val="start"/>
        <w:tblLayout w:type="fixed"/>
      </w:tblPr>
      <w:tblGrid>
        <w:gridCol w:w="7920"/>
      </w:tblGrid>
      <w:tr>
        <w:tc>
          <w:tcPr/>
          <w:bookmarkStart w:id="118"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7">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8"/>
        </w:tc>
      </w:tr>
    </w:tbl>
    <w:tbl>
      <w:tblPr>
        <w:tblStyle w:val="Table"/>
        <w:tblW w:type="pct" w:w="5000"/>
        <w:tblLook w:firstRow="0" w:lastRow="0" w:firstColumn="0" w:lastColumn="0" w:noHBand="0" w:noVBand="0" w:val="0000"/>
        <w:jc w:val="start"/>
        <w:tblLayout w:type="fixed"/>
      </w:tblPr>
      <w:tblGrid>
        <w:gridCol w:w="7920"/>
      </w:tblGrid>
      <w:tr>
        <w:tc>
          <w:tcPr/>
          <w:bookmarkStart w:id="120"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19">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0"/>
        </w:tc>
      </w:tr>
    </w:tbl>
    <w:tbl>
      <w:tblPr>
        <w:tblStyle w:val="Table"/>
        <w:tblW w:type="pct" w:w="5000"/>
        <w:tblLook w:firstRow="0" w:lastRow="0" w:firstColumn="0" w:lastColumn="0" w:noHBand="0" w:noVBand="0" w:val="0000"/>
        <w:jc w:val="start"/>
        <w:tblLayout w:type="fixed"/>
      </w:tblPr>
      <w:tblGrid>
        <w:gridCol w:w="7920"/>
      </w:tblGrid>
      <w:tr>
        <w:tc>
          <w:tcPr/>
          <w:bookmarkStart w:id="122" w:name="tbl-summarylogitIP"/>
          <w:p>
            <w:pPr>
              <w:jc w:val="center"/>
            </w:pPr>
            <w:pPr>
              <w:jc w:val="start"/>
              <w:spacing w:before="200"/>
              <w:pStyle w:val="ImageCaption"/>
            </w:pPr>
            <w:r>
              <w:t xml:space="preserve">Table 4.4: Binary logit regressions: issue position (log-odds). Full table available</w:t>
            </w:r>
            <w:r>
              <w:t xml:space="preserve"> </w:t>
            </w:r>
            <w:hyperlink r:id="rId121">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2"/>
        </w:tc>
      </w:tr>
    </w:tbl>
    <w:tbl>
      <w:tblPr>
        <w:tblStyle w:val="Table"/>
        <w:tblW w:type="pct" w:w="5000"/>
        <w:tblLook w:firstRow="0" w:lastRow="0" w:firstColumn="0" w:lastColumn="0" w:noHBand="0" w:noVBand="0" w:val="0000"/>
        <w:jc w:val="start"/>
        <w:tblLayout w:type="fixed"/>
      </w:tblPr>
      <w:tblGrid>
        <w:gridCol w:w="7920"/>
      </w:tblGrid>
      <w:tr>
        <w:tc>
          <w:tcPr/>
          <w:bookmarkStart w:id="126" w:name="fig-glmerameparties"/>
          <w:p>
            <w:pPr>
              <w:pStyle w:val="Compact"/>
              <w:jc w:val="center"/>
            </w:pPr>
            <w:r>
              <w:drawing>
                <wp:inline>
                  <wp:extent cx="4620126" cy="6468176"/>
                  <wp:effectExtent b="0" l="0" r="0" t="0"/>
                  <wp:docPr descr="" title="" id="124" name="Picture"/>
                  <a:graphic>
                    <a:graphicData uri="http://schemas.openxmlformats.org/drawingml/2006/picture">
                      <pic:pic>
                        <pic:nvPicPr>
                          <pic:cNvPr descr="conclusion_appendix_files/figure-docx/fig-glmerameparties-1.png" id="125" name="Picture"/>
                          <pic:cNvPicPr>
                            <a:picLocks noChangeArrowheads="1" noChangeAspect="1"/>
                          </pic:cNvPicPr>
                        </pic:nvPicPr>
                        <pic:blipFill>
                          <a:blip r:embed="rId123"/>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6"/>
        </w:tc>
      </w:tr>
    </w:tbl>
    <w:tbl>
      <w:tblPr>
        <w:tblStyle w:val="Table"/>
        <w:tblW w:type="pct" w:w="5000"/>
        <w:tblLook w:firstRow="0" w:lastRow="0" w:firstColumn="0" w:lastColumn="0" w:noHBand="0" w:noVBand="0" w:val="0000"/>
        <w:jc w:val="start"/>
        <w:tblLayout w:type="fixed"/>
      </w:tblPr>
      <w:tblGrid>
        <w:gridCol w:w="7920"/>
      </w:tblGrid>
      <w:tr>
        <w:tc>
          <w:tcPr/>
          <w:bookmarkStart w:id="130" w:name="fig-glmerameleaning"/>
          <w:p>
            <w:pPr>
              <w:pStyle w:val="Compact"/>
              <w:jc w:val="center"/>
            </w:pPr>
            <w:r>
              <w:drawing>
                <wp:inline>
                  <wp:extent cx="4620126" cy="3696101"/>
                  <wp:effectExtent b="0" l="0" r="0" t="0"/>
                  <wp:docPr descr="" title="" id="128" name="Picture"/>
                  <a:graphic>
                    <a:graphicData uri="http://schemas.openxmlformats.org/drawingml/2006/picture">
                      <pic:pic>
                        <pic:nvPicPr>
                          <pic:cNvPr descr="conclusion_appendix_files/figure-docx/fig-glmerameleaning-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0"/>
        </w:tc>
      </w:tr>
    </w:tbl>
    <w:tbl>
      <w:tblPr>
        <w:tblStyle w:val="Table"/>
        <w:tblW w:type="pct" w:w="5000"/>
        <w:tblLook w:firstRow="0" w:lastRow="0" w:firstColumn="0" w:lastColumn="0" w:noHBand="0" w:noVBand="0" w:val="0000"/>
        <w:jc w:val="start"/>
        <w:tblLayout w:type="fixed"/>
      </w:tblPr>
      <w:tblGrid>
        <w:gridCol w:w="7920"/>
      </w:tblGrid>
      <w:tr>
        <w:tc>
          <w:tcPr/>
          <w:bookmarkStart w:id="134" w:name="fig-glmerameIP"/>
          <w:p>
            <w:pPr>
              <w:pStyle w:val="Compact"/>
              <w:jc w:val="center"/>
            </w:pPr>
            <w:r>
              <w:drawing>
                <wp:inline>
                  <wp:extent cx="4620126" cy="3696101"/>
                  <wp:effectExtent b="0" l="0" r="0" t="0"/>
                  <wp:docPr descr="" title="" id="132" name="Picture"/>
                  <a:graphic>
                    <a:graphicData uri="http://schemas.openxmlformats.org/drawingml/2006/picture">
                      <pic:pic>
                        <pic:nvPicPr>
                          <pic:cNvPr descr="conclusion_appendix_files/figure-docx/fig-glmerameIP-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4"/>
        </w:tc>
      </w:tr>
    </w:tbl>
    <w:tbl>
      <w:tblPr>
        <w:tblStyle w:val="Table"/>
        <w:tblW w:type="pct" w:w="5000"/>
        <w:tblLook w:firstRow="0" w:lastRow="0" w:firstColumn="0" w:lastColumn="0" w:noHBand="0" w:noVBand="0" w:val="0000"/>
        <w:jc w:val="start"/>
        <w:tblLayout w:type="fixed"/>
      </w:tblPr>
      <w:tblGrid>
        <w:gridCol w:w="7920"/>
      </w:tblGrid>
      <w:tr>
        <w:tc>
          <w:tcPr/>
          <w:bookmarkStart w:id="135"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5"/>
        </w:tc>
      </w:tr>
    </w:tbl>
    <w:tbl>
      <w:tblPr>
        <w:tblStyle w:val="Table"/>
        <w:tblW w:type="pct" w:w="5000"/>
        <w:tblLook w:firstRow="0" w:lastRow="0" w:firstColumn="0" w:lastColumn="0" w:noHBand="0" w:noVBand="0" w:val="0000"/>
        <w:jc w:val="start"/>
        <w:tblLayout w:type="fixed"/>
      </w:tblPr>
      <w:tblGrid>
        <w:gridCol w:w="7920"/>
      </w:tblGrid>
      <w:tr>
        <w:tc>
          <w:tcPr/>
          <w:bookmarkStart w:id="139" w:name="fig-lcaindicators"/>
          <w:p>
            <w:pPr>
              <w:pStyle w:val="Compact"/>
              <w:jc w:val="center"/>
            </w:pPr>
            <w:r>
              <w:drawing>
                <wp:inline>
                  <wp:extent cx="5334000" cy="1939636"/>
                  <wp:effectExtent b="0" l="0" r="0" t="0"/>
                  <wp:docPr descr="" title="" id="137" name="Picture"/>
                  <a:graphic>
                    <a:graphicData uri="http://schemas.openxmlformats.org/drawingml/2006/picture">
                      <pic:pic>
                        <pic:nvPicPr>
                          <pic:cNvPr descr="conclusion_appendix_files/figure-docx/fig-lcaindicators-1.png" id="138" name="Picture"/>
                          <pic:cNvPicPr>
                            <a:picLocks noChangeArrowheads="1" noChangeAspect="1"/>
                          </pic:cNvPicPr>
                        </pic:nvPicPr>
                        <pic:blipFill>
                          <a:blip r:embed="rId136"/>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39"/>
        </w:tc>
      </w:tr>
    </w:tbl>
    <w:tbl>
      <w:tblPr>
        <w:tblStyle w:val="Table"/>
        <w:tblW w:type="pct" w:w="5000"/>
        <w:tblLook w:firstRow="0" w:lastRow="0" w:firstColumn="0" w:lastColumn="0" w:noHBand="0" w:noVBand="0" w:val="0000"/>
        <w:jc w:val="start"/>
        <w:tblLayout w:type="fixed"/>
      </w:tblPr>
      <w:tblGrid>
        <w:gridCol w:w="7920"/>
      </w:tblGrid>
      <w:tr>
        <w:tc>
          <w:tcPr/>
          <w:bookmarkStart w:id="140"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0"/>
        </w:tc>
      </w:tr>
    </w:tbl>
    <w:bookmarkEnd w:id="141"/>
    <w:bookmarkStart w:id="333" w:name="references"/>
    <w:p>
      <w:pPr>
        <w:pStyle w:val="Heading1"/>
      </w:pPr>
      <w:r>
        <w:t xml:space="preserve">References</w:t>
      </w:r>
    </w:p>
    <w:bookmarkStart w:id="332" w:name="refs"/>
    <w:bookmarkStart w:id="142"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2"/>
    <w:bookmarkStart w:id="144"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3">
        <w:r>
          <w:rPr>
            <w:rStyle w:val="Hyperlink"/>
          </w:rPr>
          <w:t xml:space="preserve">https://doi.org/10.1177/002200947901400402</w:t>
        </w:r>
      </w:hyperlink>
      <w:r>
        <w:t xml:space="preserve">.</w:t>
      </w:r>
    </w:p>
    <w:bookmarkEnd w:id="144"/>
    <w:bookmarkStart w:id="145"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5"/>
    <w:bookmarkStart w:id="147" w:name="ref-amable_institutional_2016"/>
    <w:p>
      <w:pPr>
        <w:pStyle w:val="Bibliography"/>
      </w:pPr>
      <w:r>
        <w:t xml:space="preserve">———. 2016.</w:t>
      </w:r>
      <w:r>
        <w:t xml:space="preserve"> </w:t>
      </w:r>
      <w:r>
        <w:t xml:space="preserve">“Institutional Complementarities in the Dynamic Comparative Analysis of Capitalism.”</w:t>
      </w:r>
      <w:r>
        <w:t xml:space="preserve"> </w:t>
      </w:r>
      <w:r>
        <w:rPr>
          <w:iCs/>
          <w:i/>
        </w:rPr>
        <w:t xml:space="preserve">Journal of Institutional Economics</w:t>
      </w:r>
      <w:r>
        <w:t xml:space="preserve"> </w:t>
      </w:r>
      <w:r>
        <w:t xml:space="preserve">12 (1): 79–103.</w:t>
      </w:r>
      <w:r>
        <w:t xml:space="preserve"> </w:t>
      </w:r>
      <w:hyperlink r:id="rId146">
        <w:r>
          <w:rPr>
            <w:rStyle w:val="Hyperlink"/>
          </w:rPr>
          <w:t xml:space="preserve">https://doi.org/10.1017/S1744137415000211</w:t>
        </w:r>
      </w:hyperlink>
      <w:r>
        <w:t xml:space="preserve">.</w:t>
      </w:r>
    </w:p>
    <w:bookmarkEnd w:id="147"/>
    <w:bookmarkStart w:id="149"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48">
        <w:r>
          <w:rPr>
            <w:rStyle w:val="Hyperlink"/>
          </w:rPr>
          <w:t xml:space="preserve">https://doi.org/10.1093/acprof:oso/9780198787815.001.0001</w:t>
        </w:r>
      </w:hyperlink>
      <w:r>
        <w:t xml:space="preserve">.</w:t>
      </w:r>
    </w:p>
    <w:bookmarkEnd w:id="149"/>
    <w:bookmarkStart w:id="151"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0">
        <w:r>
          <w:rPr>
            <w:rStyle w:val="Hyperlink"/>
          </w:rPr>
          <w:t xml:space="preserve">https://doi.org/10.4000/regulation.20350</w:t>
        </w:r>
      </w:hyperlink>
      <w:r>
        <w:t xml:space="preserve">.</w:t>
      </w:r>
    </w:p>
    <w:bookmarkEnd w:id="151"/>
    <w:bookmarkStart w:id="153" w:name="ref-amable_diversite_2023"/>
    <w:p>
      <w:pPr>
        <w:pStyle w:val="Bibliography"/>
      </w:pPr>
      <w:r>
        <w:t xml:space="preserve">———. 2023.</w:t>
      </w:r>
      <w:r>
        <w:t xml:space="preserve"> </w:t>
      </w:r>
      <w:r>
        <w:t xml:space="preserve">“Diversité Et Domination Des Capitalismes Nationaux.”</w:t>
      </w:r>
      <w:r>
        <w:t xml:space="preserve"> </w:t>
      </w:r>
      <w:r>
        <w:t xml:space="preserve">In</w:t>
      </w:r>
      <w:r>
        <w:t xml:space="preserve"> </w:t>
      </w:r>
      <w:r>
        <w:rPr>
          <w:iCs/>
          <w:i/>
        </w:rPr>
        <w:t xml:space="preserve">Théorie de La Régulation, Un Nouvel État Des Savoirs</w:t>
      </w:r>
      <w:r>
        <w:t xml:space="preserve">, 545. Dunod.</w:t>
      </w:r>
      <w:r>
        <w:t xml:space="preserve"> </w:t>
      </w:r>
      <w:hyperlink r:id="rId152">
        <w:r>
          <w:rPr>
            <w:rStyle w:val="Hyperlink"/>
          </w:rPr>
          <w:t xml:space="preserve">https://archive-ouverte.unige.ch/unige:172056</w:t>
        </w:r>
      </w:hyperlink>
      <w:r>
        <w:t xml:space="preserve">.</w:t>
      </w:r>
    </w:p>
    <w:bookmarkEnd w:id="153"/>
    <w:bookmarkStart w:id="154"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4"/>
    <w:bookmarkStart w:id="156"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5">
        <w:r>
          <w:rPr>
            <w:rStyle w:val="Hyperlink"/>
          </w:rPr>
          <w:t xml:space="preserve">https://doi.org/10.1080/09692290.2021.1913440</w:t>
        </w:r>
      </w:hyperlink>
      <w:r>
        <w:t xml:space="preserve">.</w:t>
      </w:r>
    </w:p>
    <w:bookmarkEnd w:id="156"/>
    <w:bookmarkStart w:id="157"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7"/>
    <w:bookmarkStart w:id="158"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58"/>
    <w:bookmarkStart w:id="160"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59">
        <w:r>
          <w:rPr>
            <w:rStyle w:val="Hyperlink"/>
          </w:rPr>
          <w:t xml:space="preserve">https://doi.org/10.1093/ser/mwn018</w:t>
        </w:r>
      </w:hyperlink>
      <w:r>
        <w:t xml:space="preserve">.</w:t>
      </w:r>
    </w:p>
    <w:bookmarkEnd w:id="160"/>
    <w:bookmarkStart w:id="161" w:name="ref-amable_bloc_2014"/>
    <w:p>
      <w:pPr>
        <w:pStyle w:val="Bibliography"/>
      </w:pPr>
      <w:r>
        <w:t xml:space="preserve">———. 2014a.</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Edward Elgar.</w:t>
      </w:r>
    </w:p>
    <w:bookmarkEnd w:id="161"/>
    <w:bookmarkStart w:id="163" w:name="ref-magara_bloc_2014"/>
    <w:p>
      <w:pPr>
        <w:pStyle w:val="Bibliography"/>
      </w:pPr>
      <w:r>
        <w:t xml:space="preserve">———. 2014b.</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62">
        <w:r>
          <w:rPr>
            <w:rStyle w:val="Hyperlink"/>
          </w:rPr>
          <w:t xml:space="preserve">https://doi.org/10.4337/9781782549925.00015</w:t>
        </w:r>
      </w:hyperlink>
      <w:r>
        <w:t xml:space="preserve">.</w:t>
      </w:r>
    </w:p>
    <w:bookmarkEnd w:id="163"/>
    <w:bookmarkStart w:id="164"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4"/>
    <w:bookmarkStart w:id="165" w:name="ref-amable_ou_2022"/>
    <w:p>
      <w:pPr>
        <w:pStyle w:val="Bibliography"/>
      </w:pPr>
      <w:r>
        <w:t xml:space="preserve">———. 2022.</w:t>
      </w:r>
      <w:r>
        <w:t xml:space="preserve"> </w:t>
      </w:r>
      <w:r>
        <w:rPr>
          <w:iCs/>
          <w:i/>
        </w:rPr>
        <w:t xml:space="preserve">Où Va Le Bloc Bourgeois ?</w:t>
      </w:r>
      <w:r>
        <w:t xml:space="preserve"> Paris: La Dispute.</w:t>
      </w:r>
    </w:p>
    <w:bookmarkEnd w:id="165"/>
    <w:bookmarkStart w:id="167"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6">
        <w:r>
          <w:rPr>
            <w:rStyle w:val="Hyperlink"/>
          </w:rPr>
          <w:t xml:space="preserve">https://doi.org/10.1080/13563467.2023.2215701</w:t>
        </w:r>
      </w:hyperlink>
      <w:r>
        <w:t xml:space="preserve">.</w:t>
      </w:r>
    </w:p>
    <w:bookmarkEnd w:id="167"/>
    <w:bookmarkStart w:id="169" w:name="ref-arelbundock_marginal_2024"/>
    <w:p>
      <w:pPr>
        <w:pStyle w:val="Bibliography"/>
      </w:pPr>
      <w:r>
        <w:t xml:space="preserve">Arel-Bundock, Vincent. 2024.</w:t>
      </w:r>
      <w:r>
        <w:t xml:space="preserve"> </w:t>
      </w:r>
      <w:r>
        <w:rPr>
          <w:iCs/>
          <w:i/>
        </w:rPr>
        <w:t xml:space="preserve">Marginaleffects: Predictions, Comparisons, Slopes, Marginal Means, and Hypothesis Tests</w:t>
      </w:r>
      <w:r>
        <w:t xml:space="preserve">.</w:t>
      </w:r>
      <w:r>
        <w:t xml:space="preserve"> </w:t>
      </w:r>
      <w:hyperlink r:id="rId168">
        <w:r>
          <w:rPr>
            <w:rStyle w:val="Hyperlink"/>
          </w:rPr>
          <w:t xml:space="preserve">https://marginaleffects.com/</w:t>
        </w:r>
      </w:hyperlink>
      <w:r>
        <w:t xml:space="preserve">.</w:t>
      </w:r>
    </w:p>
    <w:bookmarkEnd w:id="169"/>
    <w:bookmarkStart w:id="170"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70"/>
    <w:bookmarkStart w:id="172"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71">
        <w:r>
          <w:rPr>
            <w:rStyle w:val="Hyperlink"/>
          </w:rPr>
          <w:t xml:space="preserve">https://doi.org/10.5169/seals-515017</w:t>
        </w:r>
      </w:hyperlink>
      <w:r>
        <w:t xml:space="preserve">.</w:t>
      </w:r>
    </w:p>
    <w:bookmarkEnd w:id="172"/>
    <w:bookmarkStart w:id="173" w:name="ref-bonvin_manuel_2015"/>
    <w:p>
      <w:pPr>
        <w:pStyle w:val="Bibliography"/>
      </w:pPr>
      <w:r>
        <w:t xml:space="preserve">Bonvin, Jean-Michel, Pierre Gobet, Stéphane Rossini, and Jean-Pierre Tabin. 2015.</w:t>
      </w:r>
      <w:r>
        <w:t xml:space="preserve"> </w:t>
      </w:r>
      <w:r>
        <w:rPr>
          <w:iCs/>
          <w:i/>
        </w:rPr>
        <w:t xml:space="preserve">Manuel de Politique Sociale</w:t>
      </w:r>
      <w:r>
        <w:t xml:space="preserve">. 2nd ed.</w:t>
      </w:r>
      <w:r>
        <w:t xml:space="preserve"> </w:t>
      </w:r>
      <w:r>
        <w:t xml:space="preserve">ESSP</w:t>
      </w:r>
      <w:r>
        <w:t xml:space="preserve">.</w:t>
      </w:r>
    </w:p>
    <w:bookmarkEnd w:id="173"/>
    <w:bookmarkStart w:id="175"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74">
        <w:r>
          <w:rPr>
            <w:rStyle w:val="Hyperlink"/>
          </w:rPr>
          <w:t xml:space="preserve">http://gen.lib.rus.ec/book/index.php?md5=ee123095cfe9fb8d6bcd03d6579a0705</w:t>
        </w:r>
      </w:hyperlink>
      <w:r>
        <w:t xml:space="preserve">.</w:t>
      </w:r>
    </w:p>
    <w:bookmarkEnd w:id="175"/>
    <w:bookmarkStart w:id="176"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6"/>
    <w:bookmarkStart w:id="178"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7">
        <w:r>
          <w:rPr>
            <w:rStyle w:val="Hyperlink"/>
          </w:rPr>
          <w:t xml:space="preserve">https://doi.org/10.23662/FORS-DS-688-2</w:t>
        </w:r>
      </w:hyperlink>
      <w:r>
        <w:t xml:space="preserve">.</w:t>
      </w:r>
    </w:p>
    <w:bookmarkEnd w:id="178"/>
    <w:bookmarkStart w:id="180"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79">
        <w:r>
          <w:rPr>
            <w:rStyle w:val="Hyperlink"/>
          </w:rPr>
          <w:t xml:space="preserve">https://doi.org/10.1002/j.1662-6370.1997.tb00198.x</w:t>
        </w:r>
      </w:hyperlink>
      <w:r>
        <w:t xml:space="preserve">.</w:t>
      </w:r>
    </w:p>
    <w:bookmarkEnd w:id="180"/>
    <w:bookmarkStart w:id="182" w:name="ref-buhlmann_political_2012"/>
    <w:p>
      <w:pPr>
        <w:pStyle w:val="Bibliography"/>
      </w:pPr>
      <w:r>
        <w:t xml:space="preserve">Bühlmann, Felix, Thomas David, and André Mach. 2012.</w:t>
      </w:r>
      <w:r>
        <w:t xml:space="preserve"> </w:t>
      </w:r>
      <w:r>
        <w:t xml:space="preserve">“Political and Economic Elites in Switzerland.”</w:t>
      </w:r>
      <w:r>
        <w:t xml:space="preserve"> </w:t>
      </w:r>
      <w:r>
        <w:rPr>
          <w:iCs/>
          <w:i/>
        </w:rPr>
        <w:t xml:space="preserve">European Societies</w:t>
      </w:r>
      <w:r>
        <w:t xml:space="preserve"> </w:t>
      </w:r>
      <w:r>
        <w:t xml:space="preserve">14 (5): 727–54.</w:t>
      </w:r>
      <w:r>
        <w:t xml:space="preserve"> </w:t>
      </w:r>
      <w:hyperlink r:id="rId181">
        <w:r>
          <w:rPr>
            <w:rStyle w:val="Hyperlink"/>
          </w:rPr>
          <w:t xml:space="preserve">https://doi.org/10.1080/14616696.2012.709531</w:t>
        </w:r>
      </w:hyperlink>
      <w:r>
        <w:t xml:space="preserve">.</w:t>
      </w:r>
    </w:p>
    <w:bookmarkEnd w:id="182"/>
    <w:bookmarkStart w:id="184"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83">
        <w:r>
          <w:rPr>
            <w:rStyle w:val="Hyperlink"/>
          </w:rPr>
          <w:t xml:space="preserve">https://hls-dhs-dss.ch/articles/003626/2020-01-20/</w:t>
        </w:r>
      </w:hyperlink>
      <w:r>
        <w:t xml:space="preserve">.</w:t>
      </w:r>
    </w:p>
    <w:bookmarkEnd w:id="184"/>
    <w:bookmarkStart w:id="186" w:name="ref-carera_les_1993"/>
    <w:p>
      <w:pPr>
        <w:pStyle w:val="Bibliography"/>
      </w:pPr>
      <w:r>
        <w:t xml:space="preserve">Carera, Mario. 1993.</w:t>
      </w:r>
      <w:r>
        <w:t xml:space="preserve"> </w:t>
      </w:r>
      <w:r>
        <w:t xml:space="preserve">“Les Leçons Des Patrons Agacent Le Parti Radical.”</w:t>
      </w:r>
      <w:r>
        <w:t xml:space="preserve"> </w:t>
      </w:r>
      <w:r>
        <w:rPr>
          <w:iCs/>
          <w:i/>
        </w:rPr>
        <w:t xml:space="preserve">Le Nouveau Quotidien</w:t>
      </w:r>
      <w:r>
        <w:t xml:space="preserve">, August.</w:t>
      </w:r>
      <w:r>
        <w:t xml:space="preserve"> </w:t>
      </w:r>
      <w:hyperlink r:id="rId185">
        <w:r>
          <w:rPr>
            <w:rStyle w:val="Hyperlink"/>
          </w:rPr>
          <w:t xml:space="preserve">https://www.letempsarchives.ch/page/LNQ_1993_08_30/8/article/9763525/%22david%20de%20pury%22</w:t>
        </w:r>
      </w:hyperlink>
      <w:r>
        <w:t xml:space="preserve">.</w:t>
      </w:r>
    </w:p>
    <w:bookmarkEnd w:id="186"/>
    <w:bookmarkStart w:id="188"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87">
        <w:r>
          <w:rPr>
            <w:rStyle w:val="Hyperlink"/>
          </w:rPr>
          <w:t xml:space="preserve">https://doi.org/10.1080/09538259.2023.2298747</w:t>
        </w:r>
      </w:hyperlink>
      <w:r>
        <w:t xml:space="preserve">.</w:t>
      </w:r>
    </w:p>
    <w:bookmarkEnd w:id="188"/>
    <w:bookmarkStart w:id="190"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89">
        <w:r>
          <w:rPr>
            <w:rStyle w:val="Hyperlink"/>
          </w:rPr>
          <w:t xml:space="preserve">https://doi.org/10.1177/026858091006004002</w:t>
        </w:r>
      </w:hyperlink>
      <w:r>
        <w:t xml:space="preserve">.</w:t>
      </w:r>
    </w:p>
    <w:bookmarkEnd w:id="190"/>
    <w:bookmarkStart w:id="192"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91">
        <w:r>
          <w:rPr>
            <w:rStyle w:val="Hyperlink"/>
          </w:rPr>
          <w:t xml:space="preserve">https://oec.world/en/rankings/eci/hs6/hs96</w:t>
        </w:r>
      </w:hyperlink>
      <w:r>
        <w:t xml:space="preserve">.</w:t>
      </w:r>
    </w:p>
    <w:bookmarkEnd w:id="192"/>
    <w:bookmarkStart w:id="194" w:name="ref-crevoisier_malaise_1996"/>
    <w:p>
      <w:pPr>
        <w:pStyle w:val="Bibliography"/>
      </w:pPr>
      <w:r>
        <w:t xml:space="preserve">Crevoisier, Jean-Marc. 1996.</w:t>
      </w:r>
      <w:r>
        <w:t xml:space="preserve"> </w:t>
      </w:r>
      <w:r>
        <w:t xml:space="preserve">“Le Malaise Entre Mondes Politique Et Économique En Toile de Fond Du Congrès Radical.”</w:t>
      </w:r>
      <w:r>
        <w:t xml:space="preserve"> </w:t>
      </w:r>
      <w:r>
        <w:rPr>
          <w:iCs/>
          <w:i/>
        </w:rPr>
        <w:t xml:space="preserve">Journal de Genève Et Gazette de Lausanne</w:t>
      </w:r>
      <w:r>
        <w:t xml:space="preserve">, January.</w:t>
      </w:r>
      <w:r>
        <w:t xml:space="preserve"> </w:t>
      </w:r>
      <w:hyperlink r:id="rId193">
        <w:r>
          <w:rPr>
            <w:rStyle w:val="Hyperlink"/>
          </w:rPr>
          <w:t xml:space="preserve">https://www.letempsarchives.ch/page/JDG_1996_01_22/6/article/9291348/%22david%20de%20pury%22</w:t>
        </w:r>
      </w:hyperlink>
      <w:r>
        <w:t xml:space="preserve">.</w:t>
      </w:r>
    </w:p>
    <w:bookmarkEnd w:id="194"/>
    <w:bookmarkStart w:id="196" w:name="ref-noauthor_david_1998"/>
    <w:p>
      <w:pPr>
        <w:pStyle w:val="Bibliography"/>
      </w:pPr>
      <w:r>
        <w:t xml:space="preserve">“David de Pury Ne Veut Pas Diriger Une Suisse Qu’il Sent Incapable de Changer.”</w:t>
      </w:r>
      <w:r>
        <w:t xml:space="preserve"> </w:t>
      </w:r>
      <w:r>
        <w:t xml:space="preserve">1998.</w:t>
      </w:r>
      <w:r>
        <w:t xml:space="preserve"> </w:t>
      </w:r>
      <w:r>
        <w:rPr>
          <w:iCs/>
          <w:i/>
        </w:rPr>
        <w:t xml:space="preserve">Journal de Genève Et Gazette de Lausanne</w:t>
      </w:r>
      <w:r>
        <w:t xml:space="preserve">, January.</w:t>
      </w:r>
      <w:r>
        <w:t xml:space="preserve"> </w:t>
      </w:r>
      <w:hyperlink r:id="rId195">
        <w:r>
          <w:rPr>
            <w:rStyle w:val="Hyperlink"/>
          </w:rPr>
          <w:t xml:space="preserve">https://www.letempsarchives.ch/page/JDG_1998_01_20/1</w:t>
        </w:r>
      </w:hyperlink>
      <w:r>
        <w:t xml:space="preserve">.</w:t>
      </w:r>
    </w:p>
    <w:bookmarkEnd w:id="196"/>
    <w:bookmarkStart w:id="198" w:name="ref-david_institutions_2006"/>
    <w:p>
      <w:pPr>
        <w:pStyle w:val="Bibliography"/>
      </w:pPr>
      <w:r>
        <w:t xml:space="preserve">David, Thomas, and André Mach. 2006.</w:t>
      </w:r>
      <w:r>
        <w:t xml:space="preserve"> </w:t>
      </w:r>
      <w:r>
        <w:t xml:space="preserve">“Institutions and Economic Growth: The Successful Experience of Switzerland (1870 - 1950).”</w:t>
      </w:r>
      <w:r>
        <w:t xml:space="preserve"> </w:t>
      </w:r>
      <w:r>
        <w:t xml:space="preserve">Working Paper 2006/101.</w:t>
      </w:r>
      <w:r>
        <w:t xml:space="preserve"> </w:t>
      </w:r>
      <w:r>
        <w:t xml:space="preserve">WIDER</w:t>
      </w:r>
      <w:r>
        <w:t xml:space="preserve"> </w:t>
      </w:r>
      <w:r>
        <w:t xml:space="preserve">Research Paper.</w:t>
      </w:r>
      <w:r>
        <w:t xml:space="preserve"> </w:t>
      </w:r>
      <w:hyperlink r:id="rId197">
        <w:r>
          <w:rPr>
            <w:rStyle w:val="Hyperlink"/>
          </w:rPr>
          <w:t xml:space="preserve">https://www.econstor.eu/handle/10419/63462</w:t>
        </w:r>
      </w:hyperlink>
      <w:r>
        <w:t xml:space="preserve">.</w:t>
      </w:r>
    </w:p>
    <w:bookmarkEnd w:id="198"/>
    <w:bookmarkStart w:id="199"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199"/>
    <w:bookmarkStart w:id="201"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200">
        <w:r>
          <w:rPr>
            <w:rStyle w:val="Hyperlink"/>
          </w:rPr>
          <w:t xml:space="preserve">https://hls-dhs-dss.ch/articles/017393/2022-01-24/</w:t>
        </w:r>
      </w:hyperlink>
      <w:r>
        <w:t xml:space="preserve">.</w:t>
      </w:r>
    </w:p>
    <w:bookmarkEnd w:id="201"/>
    <w:bookmarkStart w:id="203"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202">
        <w:r>
          <w:rPr>
            <w:rStyle w:val="Hyperlink"/>
          </w:rPr>
          <w:t xml:space="preserve">https://wid.world/wp-content/uploads/2021/03/WorldInequalityLab_WP2021_08_PoliticalCleavages_AustriaBelgiumNLSwitzerland.pdf</w:t>
        </w:r>
      </w:hyperlink>
      <w:r>
        <w:t xml:space="preserve">.</w:t>
      </w:r>
    </w:p>
    <w:bookmarkEnd w:id="203"/>
    <w:bookmarkStart w:id="205" w:name="ref-garessus_gerhard_2019"/>
    <w:p>
      <w:pPr>
        <w:pStyle w:val="Bibliography"/>
      </w:pPr>
      <w:r>
        <w:t xml:space="preserve">Garessus, Emmanuel. 2019.</w:t>
      </w:r>
      <w:r>
        <w:t xml:space="preserve"> </w:t>
      </w:r>
      <w:r>
        <w:t xml:space="preserve">“Gerhard Schwarz: «Une Suisse néolibérale? C’est une «fake news» - Le Temps,”</w:t>
      </w:r>
      <w:r>
        <w:t xml:space="preserve"> </w:t>
      </w:r>
      <w:r>
        <w:t xml:space="preserve">November.</w:t>
      </w:r>
      <w:r>
        <w:t xml:space="preserve"> </w:t>
      </w:r>
      <w:hyperlink r:id="rId204">
        <w:r>
          <w:rPr>
            <w:rStyle w:val="Hyperlink"/>
          </w:rPr>
          <w:t xml:space="preserve">https://www.letemps.ch/economie/gerhard-schwarz-une-suisse-neoliberale-cest-une-fake-news</w:t>
        </w:r>
      </w:hyperlink>
      <w:r>
        <w:t xml:space="preserve">.</w:t>
      </w:r>
    </w:p>
    <w:bookmarkEnd w:id="205"/>
    <w:bookmarkStart w:id="207"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206">
        <w:r>
          <w:rPr>
            <w:rStyle w:val="Hyperlink"/>
          </w:rPr>
          <w:t xml:space="preserve">https://doi.org/10.1093/qje/qjab036</w:t>
        </w:r>
      </w:hyperlink>
      <w:r>
        <w:t xml:space="preserve">.</w:t>
      </w:r>
    </w:p>
    <w:bookmarkEnd w:id="207"/>
    <w:bookmarkStart w:id="208"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208"/>
    <w:bookmarkStart w:id="210"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209">
        <w:r>
          <w:rPr>
            <w:rStyle w:val="Hyperlink"/>
          </w:rPr>
          <w:t xml:space="preserve">https://www.avenir-suisse.ch/fr/7-bonnes-raisons-de-privatiser-lenergie/</w:t>
        </w:r>
      </w:hyperlink>
      <w:r>
        <w:t xml:space="preserve">.</w:t>
      </w:r>
    </w:p>
    <w:bookmarkEnd w:id="210"/>
    <w:bookmarkStart w:id="211"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211"/>
    <w:bookmarkStart w:id="213"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212">
        <w:r>
          <w:rPr>
            <w:rStyle w:val="Hyperlink"/>
          </w:rPr>
          <w:t xml:space="preserve">https://doi.org/10.48573/9EX9-FP54</w:t>
        </w:r>
      </w:hyperlink>
      <w:r>
        <w:t xml:space="preserve">.</w:t>
      </w:r>
    </w:p>
    <w:bookmarkEnd w:id="213"/>
    <w:bookmarkStart w:id="214"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214"/>
    <w:bookmarkStart w:id="216" w:name="ref-von_holzen_europe_1991"/>
    <w:p>
      <w:pPr>
        <w:pStyle w:val="Bibliography"/>
      </w:pPr>
      <w:r>
        <w:t xml:space="preserve">Holzen, Madelein von. 1991.</w:t>
      </w:r>
      <w:r>
        <w:t xml:space="preserve"> </w:t>
      </w:r>
      <w:r>
        <w:t xml:space="preserve">“L’europe? Un Coup de Fouet Nécessaire.”</w:t>
      </w:r>
      <w:r>
        <w:t xml:space="preserve"> </w:t>
      </w:r>
      <w:r>
        <w:rPr>
          <w:iCs/>
          <w:i/>
        </w:rPr>
        <w:t xml:space="preserve">Le Journal de Genève</w:t>
      </w:r>
      <w:r>
        <w:t xml:space="preserve">, June.</w:t>
      </w:r>
      <w:r>
        <w:t xml:space="preserve"> </w:t>
      </w:r>
      <w:hyperlink r:id="rId215">
        <w:r>
          <w:rPr>
            <w:rStyle w:val="Hyperlink"/>
          </w:rPr>
          <w:t xml:space="preserve">https://www.letempsarchives.ch/page/JDG_1991_06_20/12/article/8621126/%22david%20de%20pury%22</w:t>
        </w:r>
      </w:hyperlink>
      <w:r>
        <w:t xml:space="preserve">.</w:t>
      </w:r>
    </w:p>
    <w:bookmarkEnd w:id="216"/>
    <w:bookmarkStart w:id="218"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217">
        <w:r>
          <w:rPr>
            <w:rStyle w:val="Hyperlink"/>
          </w:rPr>
          <w:t xml:space="preserve">https://doi.org/10.1080/13501763.2017.1310279</w:t>
        </w:r>
      </w:hyperlink>
      <w:r>
        <w:t xml:space="preserve">.</w:t>
      </w:r>
    </w:p>
    <w:bookmarkEnd w:id="218"/>
    <w:bookmarkStart w:id="220"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19">
        <w:r>
          <w:rPr>
            <w:rStyle w:val="Hyperlink"/>
          </w:rPr>
          <w:t xml:space="preserve">https://doi.org/10.2307/1953494</w:t>
        </w:r>
      </w:hyperlink>
      <w:r>
        <w:t xml:space="preserve">.</w:t>
      </w:r>
    </w:p>
    <w:bookmarkEnd w:id="220"/>
    <w:bookmarkStart w:id="222"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21">
        <w:r>
          <w:rPr>
            <w:rStyle w:val="Hyperlink"/>
          </w:rPr>
          <w:t xml:space="preserve">https://doi.org/10.2307/j.ctv346rbz</w:t>
        </w:r>
      </w:hyperlink>
      <w:r>
        <w:t xml:space="preserve">.</w:t>
      </w:r>
    </w:p>
    <w:bookmarkEnd w:id="222"/>
    <w:bookmarkStart w:id="223"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23"/>
    <w:bookmarkStart w:id="225"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24">
        <w:r>
          <w:rPr>
            <w:rStyle w:val="Hyperlink"/>
          </w:rPr>
          <w:t xml:space="preserve">https://doi.org/10.2307/1962590</w:t>
        </w:r>
      </w:hyperlink>
      <w:r>
        <w:t xml:space="preserve">.</w:t>
      </w:r>
    </w:p>
    <w:bookmarkEnd w:id="225"/>
    <w:bookmarkStart w:id="227"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26">
        <w:r>
          <w:rPr>
            <w:rStyle w:val="Hyperlink"/>
          </w:rPr>
          <w:t xml:space="preserve">https://doi.org/10.3917/infle.020.0183</w:t>
        </w:r>
      </w:hyperlink>
      <w:r>
        <w:t xml:space="preserve">.</w:t>
      </w:r>
    </w:p>
    <w:bookmarkEnd w:id="227"/>
    <w:bookmarkStart w:id="228"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28"/>
    <w:bookmarkStart w:id="229"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29"/>
    <w:bookmarkStart w:id="231"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30">
        <w:r>
          <w:rPr>
            <w:rStyle w:val="Hyperlink"/>
          </w:rPr>
          <w:t xml:space="preserve">https://doi.org/10.4000/histoirepolitique.7344</w:t>
        </w:r>
      </w:hyperlink>
      <w:r>
        <w:t xml:space="preserve">.</w:t>
      </w:r>
    </w:p>
    <w:bookmarkEnd w:id="231"/>
    <w:bookmarkStart w:id="233"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32">
        <w:r>
          <w:rPr>
            <w:rStyle w:val="Hyperlink"/>
          </w:rPr>
          <w:t xml:space="preserve">http://gen.lib.rus.ec/book/index.php?md5=672bb6ec977ceddc83c745ffc8db0022</w:t>
        </w:r>
      </w:hyperlink>
      <w:r>
        <w:t xml:space="preserve">.</w:t>
      </w:r>
    </w:p>
    <w:bookmarkEnd w:id="233"/>
    <w:bookmarkStart w:id="235"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34">
        <w:r>
          <w:rPr>
            <w:rStyle w:val="Hyperlink"/>
          </w:rPr>
          <w:t xml:space="preserve">https://doi.org/10.1111/j.1475-6765.2006.00644.x</w:t>
        </w:r>
      </w:hyperlink>
      <w:r>
        <w:t xml:space="preserve">.</w:t>
      </w:r>
    </w:p>
    <w:bookmarkEnd w:id="235"/>
    <w:bookmarkStart w:id="237"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36">
        <w:r>
          <w:rPr>
            <w:rStyle w:val="Hyperlink"/>
          </w:rPr>
          <w:t xml:space="preserve">https://doi.org/10.1017/CBO9780511790720</w:t>
        </w:r>
      </w:hyperlink>
      <w:r>
        <w:t xml:space="preserve">.</w:t>
      </w:r>
    </w:p>
    <w:bookmarkEnd w:id="237"/>
    <w:bookmarkStart w:id="239" w:name="ref-krill_david_1992"/>
    <w:p>
      <w:pPr>
        <w:pStyle w:val="Bibliography"/>
      </w:pPr>
      <w:r>
        <w:t xml:space="preserve">Krill, Marie-Jeanne, and Pascal Brandt. 1992.</w:t>
      </w:r>
      <w:r>
        <w:t xml:space="preserve"> </w:t>
      </w:r>
      <w:r>
        <w:t xml:space="preserve">“David de Pury: "La Suisse Doit Éviter de Devenir Un Cartel Au Milieu de l’europe".”</w:t>
      </w:r>
      <w:r>
        <w:t xml:space="preserve"> </w:t>
      </w:r>
      <w:r>
        <w:rPr>
          <w:iCs/>
          <w:i/>
        </w:rPr>
        <w:t xml:space="preserve">Journal de Genève Et Gazette de Lausanne</w:t>
      </w:r>
      <w:r>
        <w:t xml:space="preserve">, August.</w:t>
      </w:r>
      <w:r>
        <w:t xml:space="preserve"> </w:t>
      </w:r>
      <w:hyperlink r:id="rId238">
        <w:r>
          <w:rPr>
            <w:rStyle w:val="Hyperlink"/>
          </w:rPr>
          <w:t xml:space="preserve">https://www.letempsarchives.ch/page/JDG_1992_08_07/17/article/8788240/%22La%20Suisse%20doit%20%C3%A9viter%20de%20devenir%20un%20cartel%20au%20milieu%20de%20l'Europe%22</w:t>
        </w:r>
      </w:hyperlink>
      <w:r>
        <w:t xml:space="preserve">.</w:t>
      </w:r>
    </w:p>
    <w:bookmarkEnd w:id="239"/>
    <w:bookmarkStart w:id="240"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40"/>
    <w:bookmarkStart w:id="242"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41">
        <w:r>
          <w:rPr>
            <w:rStyle w:val="Hyperlink"/>
          </w:rPr>
          <w:t xml:space="preserve">https://doi.org/10.2307/1954890</w:t>
        </w:r>
      </w:hyperlink>
      <w:r>
        <w:t xml:space="preserve">.</w:t>
      </w:r>
    </w:p>
    <w:bookmarkEnd w:id="242"/>
    <w:bookmarkStart w:id="243"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43"/>
    <w:bookmarkStart w:id="244"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44"/>
    <w:bookmarkStart w:id="245"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45"/>
    <w:bookmarkStart w:id="246"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46"/>
    <w:bookmarkStart w:id="248"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47">
        <w:r>
          <w:rPr>
            <w:rStyle w:val="Hyperlink"/>
          </w:rPr>
          <w:t xml:space="preserve">https://doi.org/10.1080/1350176032000059053</w:t>
        </w:r>
      </w:hyperlink>
      <w:r>
        <w:t xml:space="preserve">.</w:t>
      </w:r>
    </w:p>
    <w:bookmarkEnd w:id="248"/>
    <w:bookmarkStart w:id="250"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49">
        <w:r>
          <w:rPr>
            <w:rStyle w:val="Hyperlink"/>
          </w:rPr>
          <w:t xml:space="preserve">https://doi.org/10.2202/1935-6226.1022</w:t>
        </w:r>
      </w:hyperlink>
      <w:r>
        <w:t xml:space="preserve">.</w:t>
      </w:r>
    </w:p>
    <w:bookmarkEnd w:id="250"/>
    <w:bookmarkStart w:id="252" w:name="ref-mattei_revitalisation_1995"/>
    <w:p>
      <w:pPr>
        <w:pStyle w:val="Bibliography"/>
      </w:pPr>
      <w:r>
        <w:t xml:space="preserve">Mattei, Aurélio. 1995.</w:t>
      </w:r>
      <w:r>
        <w:t xml:space="preserve"> </w:t>
      </w:r>
      <w:r>
        <w:t xml:space="preserve">“La "Revitalisation" Des Économies Européenne Et Suisse.”</w:t>
      </w:r>
      <w:r>
        <w:t xml:space="preserve"> </w:t>
      </w:r>
      <w:r>
        <w:rPr>
          <w:iCs/>
          <w:i/>
        </w:rPr>
        <w:t xml:space="preserve">Revue Économique Et Sociale : Bulletin de La Société d’Etudes Economiques Et Sociales</w:t>
      </w:r>
      <w:r>
        <w:t xml:space="preserve"> </w:t>
      </w:r>
      <w:r>
        <w:t xml:space="preserve">53 (2): 159–67. https://doi.org/</w:t>
      </w:r>
      <w:hyperlink r:id="rId251">
        <w:r>
          <w:rPr>
            <w:rStyle w:val="Hyperlink"/>
          </w:rPr>
          <w:t xml:space="preserve">https://doi.org/10.5169/seals-140416</w:t>
        </w:r>
      </w:hyperlink>
      <w:r>
        <w:t xml:space="preserve">.</w:t>
      </w:r>
    </w:p>
    <w:bookmarkEnd w:id="252"/>
    <w:bookmarkStart w:id="254" w:name="ref-may_growth_2024"/>
    <w:p>
      <w:pPr>
        <w:pStyle w:val="Bibliography"/>
      </w:pPr>
      <w:r>
        <w:t xml:space="preserve">May, Christian, Andreas Nölke, and Michael Schedelik. 2024.</w:t>
      </w:r>
      <w:r>
        <w:t xml:space="preserve"> </w:t>
      </w:r>
      <w:r>
        <w:t xml:space="preserve">“Growth Models and Social Blocs: Taking Gramsci Seriously.”</w:t>
      </w:r>
      <w:r>
        <w:t xml:space="preserve"> </w:t>
      </w:r>
      <w:r>
        <w:rPr>
          <w:iCs/>
          <w:i/>
        </w:rPr>
        <w:t xml:space="preserve">Competition &amp; Change</w:t>
      </w:r>
      <w:r>
        <w:t xml:space="preserve">, February, 10245294241231992.</w:t>
      </w:r>
      <w:r>
        <w:t xml:space="preserve"> </w:t>
      </w:r>
      <w:hyperlink r:id="rId253">
        <w:r>
          <w:rPr>
            <w:rStyle w:val="Hyperlink"/>
          </w:rPr>
          <w:t xml:space="preserve">https://doi.org/10.1177/10245294241231992</w:t>
        </w:r>
      </w:hyperlink>
      <w:r>
        <w:t xml:space="preserve">.</w:t>
      </w:r>
    </w:p>
    <w:bookmarkEnd w:id="254"/>
    <w:bookmarkStart w:id="255"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55"/>
    <w:bookmarkStart w:id="257"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56">
        <w:r>
          <w:rPr>
            <w:rStyle w:val="Hyperlink"/>
          </w:rPr>
          <w:t xml:space="preserve">https://archive-ouverte.unige.ch/unige:83364</w:t>
        </w:r>
      </w:hyperlink>
      <w:r>
        <w:t xml:space="preserve">.</w:t>
      </w:r>
    </w:p>
    <w:bookmarkEnd w:id="257"/>
    <w:bookmarkStart w:id="258"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58"/>
    <w:bookmarkStart w:id="259"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59"/>
    <w:bookmarkStart w:id="260"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60"/>
    <w:bookmarkStart w:id="261"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61"/>
    <w:bookmarkStart w:id="263"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62">
        <w:r>
          <w:rPr>
            <w:rStyle w:val="Hyperlink"/>
          </w:rPr>
          <w:t xml:space="preserve">https://hls-dhs-dss.ch/articles/017397/2010-12-22/</w:t>
        </w:r>
      </w:hyperlink>
      <w:r>
        <w:t xml:space="preserve">.</w:t>
      </w:r>
    </w:p>
    <w:bookmarkEnd w:id="263"/>
    <w:bookmarkStart w:id="265"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64">
        <w:r>
          <w:rPr>
            <w:rStyle w:val="Hyperlink"/>
          </w:rPr>
          <w:t xml:space="preserve">https://hdr.undp.org/content/human-development-report-2021-22</w:t>
        </w:r>
      </w:hyperlink>
      <w:r>
        <w:t xml:space="preserve">.</w:t>
      </w:r>
    </w:p>
    <w:bookmarkEnd w:id="265"/>
    <w:bookmarkStart w:id="267"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66">
        <w:r>
          <w:rPr>
            <w:rStyle w:val="Hyperlink"/>
          </w:rPr>
          <w:t xml:space="preserve">https://doi.org/10.1080/10705510701575396</w:t>
        </w:r>
      </w:hyperlink>
      <w:r>
        <w:t xml:space="preserve">.</w:t>
      </w:r>
    </w:p>
    <w:bookmarkEnd w:id="267"/>
    <w:bookmarkStart w:id="269"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68">
        <w:r>
          <w:rPr>
            <w:rStyle w:val="Hyperlink"/>
          </w:rPr>
          <w:t xml:space="preserve">https://doi.org/10.1017/S0143814X98000129</w:t>
        </w:r>
      </w:hyperlink>
      <w:r>
        <w:t xml:space="preserve">.</w:t>
      </w:r>
    </w:p>
    <w:bookmarkEnd w:id="269"/>
    <w:bookmarkStart w:id="271"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70">
        <w:r>
          <w:rPr>
            <w:rStyle w:val="Hyperlink"/>
          </w:rPr>
          <w:t xml:space="preserve">https://www.oecd-ilibrary.org/economics/oecd-economic-surveys-switzerland-1992_eco_surveys-che-1992-en</w:t>
        </w:r>
      </w:hyperlink>
      <w:r>
        <w:t xml:space="preserve">.</w:t>
      </w:r>
    </w:p>
    <w:bookmarkEnd w:id="271"/>
    <w:bookmarkStart w:id="273"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72">
        <w:r>
          <w:rPr>
            <w:rStyle w:val="Hyperlink"/>
          </w:rPr>
          <w:t xml:space="preserve">https://www.oecd-ilibrary.org/economics/oecd-economic-surveys-switzerland-2019_7e6fd372-en</w:t>
        </w:r>
      </w:hyperlink>
      <w:r>
        <w:t xml:space="preserve">.</w:t>
      </w:r>
    </w:p>
    <w:bookmarkEnd w:id="273"/>
    <w:bookmarkStart w:id="275"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74">
        <w:r>
          <w:rPr>
            <w:rStyle w:val="Hyperlink"/>
          </w:rPr>
          <w:t xml:space="preserve">https://www.oecd-ilibrary.org/economics/oecd-economic-surveys-switzerland-2022_1fde6924-en</w:t>
        </w:r>
      </w:hyperlink>
      <w:r>
        <w:t xml:space="preserve">.</w:t>
      </w:r>
    </w:p>
    <w:bookmarkEnd w:id="275"/>
    <w:bookmarkStart w:id="277"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76">
        <w:r>
          <w:rPr>
            <w:rStyle w:val="Hyperlink"/>
          </w:rPr>
          <w:t xml:space="preserve">https://doi.org/10.1057/9780230504592</w:t>
        </w:r>
      </w:hyperlink>
      <w:r>
        <w:t xml:space="preserve">.</w:t>
      </w:r>
    </w:p>
    <w:bookmarkEnd w:id="277"/>
    <w:bookmarkStart w:id="279"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78">
        <w:r>
          <w:rPr>
            <w:rStyle w:val="Hyperlink"/>
          </w:rPr>
          <w:t xml:space="preserve">https://doi.org/10.1177/0192512107088390</w:t>
        </w:r>
      </w:hyperlink>
      <w:r>
        <w:t xml:space="preserve">.</w:t>
      </w:r>
    </w:p>
    <w:bookmarkEnd w:id="279"/>
    <w:bookmarkStart w:id="281"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80">
        <w:r>
          <w:rPr>
            <w:rStyle w:val="Hyperlink"/>
          </w:rPr>
          <w:t xml:space="preserve">https://doi.org/10.1080/14616690701846946</w:t>
        </w:r>
      </w:hyperlink>
      <w:r>
        <w:t xml:space="preserve">.</w:t>
      </w:r>
    </w:p>
    <w:bookmarkEnd w:id="281"/>
    <w:bookmarkStart w:id="282"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82"/>
    <w:bookmarkStart w:id="284"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83">
        <w:r>
          <w:rPr>
            <w:rStyle w:val="Hyperlink"/>
          </w:rPr>
          <w:t xml:space="preserve">https://doi.org/10.1002/j.1662-6370.2010.tb00433.x</w:t>
        </w:r>
      </w:hyperlink>
      <w:r>
        <w:t xml:space="preserve">.</w:t>
      </w:r>
    </w:p>
    <w:bookmarkEnd w:id="284"/>
    <w:bookmarkStart w:id="286"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85">
        <w:r>
          <w:rPr>
            <w:rStyle w:val="Hyperlink"/>
          </w:rPr>
          <w:t xml:space="preserve">https://doi.org/10.1111/1475-6765.12259</w:t>
        </w:r>
      </w:hyperlink>
      <w:r>
        <w:t xml:space="preserve">.</w:t>
      </w:r>
    </w:p>
    <w:bookmarkEnd w:id="286"/>
    <w:bookmarkStart w:id="287"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87"/>
    <w:bookmarkStart w:id="288"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88"/>
    <w:bookmarkStart w:id="289"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89"/>
    <w:bookmarkStart w:id="290"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90"/>
    <w:bookmarkStart w:id="291" w:name="ref-piketty_capital_2019"/>
    <w:p>
      <w:pPr>
        <w:pStyle w:val="Bibliography"/>
      </w:pPr>
      <w:r>
        <w:t xml:space="preserve">———. 2019.</w:t>
      </w:r>
      <w:r>
        <w:t xml:space="preserve"> </w:t>
      </w:r>
      <w:r>
        <w:rPr>
          <w:iCs/>
          <w:i/>
        </w:rPr>
        <w:t xml:space="preserve">Capital Et Idéologie</w:t>
      </w:r>
      <w:r>
        <w:t xml:space="preserve">. Le Seuil.</w:t>
      </w:r>
    </w:p>
    <w:bookmarkEnd w:id="291"/>
    <w:bookmarkStart w:id="292"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92"/>
    <w:bookmarkStart w:id="294"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93">
        <w:r>
          <w:rPr>
            <w:rStyle w:val="Hyperlink"/>
          </w:rPr>
          <w:t xml:space="preserve">https://doi.org/10.1111/spsr.12124</w:t>
        </w:r>
      </w:hyperlink>
      <w:r>
        <w:t xml:space="preserve">.</w:t>
      </w:r>
    </w:p>
    <w:bookmarkEnd w:id="294"/>
    <w:bookmarkStart w:id="296"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95">
        <w:r>
          <w:rPr>
            <w:rStyle w:val="Hyperlink"/>
          </w:rPr>
          <w:t xml:space="preserve">http://gen.lib.rus.ec/book/index.php?md5=DC2AFED8958B9AE0932FFEFEAB45546C</w:t>
        </w:r>
      </w:hyperlink>
      <w:r>
        <w:t xml:space="preserve">.</w:t>
      </w:r>
    </w:p>
    <w:bookmarkEnd w:id="296"/>
    <w:bookmarkStart w:id="298"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97">
        <w:r>
          <w:rPr>
            <w:rStyle w:val="Hyperlink"/>
          </w:rPr>
          <w:t xml:space="preserve">https://doi.org/10.1080/01402382.2014.920981</w:t>
        </w:r>
      </w:hyperlink>
      <w:r>
        <w:t xml:space="preserve">.</w:t>
      </w:r>
    </w:p>
    <w:bookmarkEnd w:id="298"/>
    <w:bookmarkStart w:id="299" w:name="ref-ribeaud_quand_1998"/>
    <w:p>
      <w:pPr>
        <w:pStyle w:val="Bibliography"/>
      </w:pPr>
      <w:r>
        <w:t xml:space="preserve">Ribeaud, José. 1998.</w:t>
      </w:r>
      <w:r>
        <w:t xml:space="preserve"> </w:t>
      </w:r>
      <w:r>
        <w:rPr>
          <w:iCs/>
          <w:i/>
        </w:rPr>
        <w:t xml:space="preserve">Quand La Suisse Disparaîtra</w:t>
      </w:r>
      <w:r>
        <w:t xml:space="preserve">. Vevey: L’Aire.</w:t>
      </w:r>
    </w:p>
    <w:bookmarkEnd w:id="299"/>
    <w:bookmarkStart w:id="301" w:name="ref-rossier_integrated_2022"/>
    <w:p>
      <w:pPr>
        <w:pStyle w:val="Bibliography"/>
      </w:pPr>
      <w:r>
        <w:t xml:space="preserve">Rossier, Thierry, Christoph Houman Ellersgaard, Anton Grau Larsen, and Jacob Aagaard Lunding. 2022.</w:t>
      </w:r>
      <w:r>
        <w:t xml:space="preserve"> </w:t>
      </w:r>
      <w:r>
        <w:t xml:space="preserve">“From Integrated to Fragmented Elites. The Core of Swiss Elite Networks 1910–2015.”</w:t>
      </w:r>
      <w:r>
        <w:t xml:space="preserve"> </w:t>
      </w:r>
      <w:r>
        <w:rPr>
          <w:iCs/>
          <w:i/>
        </w:rPr>
        <w:t xml:space="preserve">The British Journal of Sociology</w:t>
      </w:r>
      <w:r>
        <w:t xml:space="preserve"> </w:t>
      </w:r>
      <w:r>
        <w:t xml:space="preserve">73 (2): 315–35.</w:t>
      </w:r>
      <w:r>
        <w:t xml:space="preserve"> </w:t>
      </w:r>
      <w:hyperlink r:id="rId300">
        <w:r>
          <w:rPr>
            <w:rStyle w:val="Hyperlink"/>
          </w:rPr>
          <w:t xml:space="preserve">https://doi.org/10.1111/1468-4446.12929</w:t>
        </w:r>
      </w:hyperlink>
      <w:r>
        <w:t xml:space="preserve">.</w:t>
      </w:r>
    </w:p>
    <w:bookmarkEnd w:id="301"/>
    <w:bookmarkStart w:id="303"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302">
        <w:r>
          <w:rPr>
            <w:rStyle w:val="Hyperlink"/>
          </w:rPr>
          <w:t xml:space="preserve">https://www.jstor.org/stable/45344498</w:t>
        </w:r>
      </w:hyperlink>
      <w:r>
        <w:t xml:space="preserve">.</w:t>
      </w:r>
    </w:p>
    <w:bookmarkEnd w:id="303"/>
    <w:bookmarkStart w:id="305"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304">
        <w:r>
          <w:rPr>
            <w:rStyle w:val="Hyperlink"/>
          </w:rPr>
          <w:t xml:space="preserve">https://www.epflpress.org/produit/1421/9782889155279/politique-suisse</w:t>
        </w:r>
      </w:hyperlink>
      <w:r>
        <w:t xml:space="preserve">.</w:t>
      </w:r>
    </w:p>
    <w:bookmarkEnd w:id="305"/>
    <w:bookmarkStart w:id="307"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306">
        <w:r>
          <w:rPr>
            <w:rStyle w:val="Hyperlink"/>
          </w:rPr>
          <w:t xml:space="preserve">https://hls-dhs-dss.ch/articles/017389/2017-03-20/</w:t>
        </w:r>
      </w:hyperlink>
      <w:r>
        <w:t xml:space="preserve">.</w:t>
      </w:r>
    </w:p>
    <w:bookmarkEnd w:id="307"/>
    <w:bookmarkStart w:id="309"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308">
        <w:r>
          <w:rPr>
            <w:rStyle w:val="Hyperlink"/>
          </w:rPr>
          <w:t xml:space="preserve">https://hls-dhs-dss.ch/articles/004635/2020-04-15/</w:t>
        </w:r>
      </w:hyperlink>
      <w:r>
        <w:t xml:space="preserve">.</w:t>
      </w:r>
    </w:p>
    <w:bookmarkEnd w:id="309"/>
    <w:bookmarkStart w:id="311"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310">
        <w:r>
          <w:rPr>
            <w:rStyle w:val="Hyperlink"/>
          </w:rPr>
          <w:t xml:space="preserve">https://doi.org/10.3917/socio.103.0243</w:t>
        </w:r>
      </w:hyperlink>
      <w:r>
        <w:t xml:space="preserve">.</w:t>
      </w:r>
    </w:p>
    <w:bookmarkEnd w:id="311"/>
    <w:bookmarkStart w:id="313"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312">
        <w:r>
          <w:rPr>
            <w:rStyle w:val="Hyperlink"/>
          </w:rPr>
          <w:t xml:space="preserve">https://doi.org/10.1017/S1755773913000246</w:t>
        </w:r>
      </w:hyperlink>
      <w:r>
        <w:t xml:space="preserve">.</w:t>
      </w:r>
    </w:p>
    <w:bookmarkEnd w:id="313"/>
    <w:bookmarkStart w:id="314"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314"/>
    <w:bookmarkStart w:id="316"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315">
        <w:r>
          <w:rPr>
            <w:rStyle w:val="Hyperlink"/>
          </w:rPr>
          <w:t xml:space="preserve">https://doi.org/10.48573/PCBM-2280</w:t>
        </w:r>
      </w:hyperlink>
      <w:r>
        <w:t xml:space="preserve">.</w:t>
      </w:r>
    </w:p>
    <w:bookmarkEnd w:id="316"/>
    <w:bookmarkStart w:id="318"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317">
        <w:r>
          <w:rPr>
            <w:rStyle w:val="Hyperlink"/>
          </w:rPr>
          <w:t xml:space="preserve">https://doi.org/10.2202/1935-6226.1042</w:t>
        </w:r>
      </w:hyperlink>
      <w:r>
        <w:t xml:space="preserve">.</w:t>
      </w:r>
    </w:p>
    <w:bookmarkEnd w:id="318"/>
    <w:bookmarkStart w:id="320"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319">
        <w:r>
          <w:rPr>
            <w:rStyle w:val="Hyperlink"/>
          </w:rPr>
          <w:t xml:space="preserve">https://doi.org/10.1093/pan/mpq025</w:t>
        </w:r>
      </w:hyperlink>
      <w:r>
        <w:t xml:space="preserve">.</w:t>
      </w:r>
    </w:p>
    <w:bookmarkEnd w:id="320"/>
    <w:bookmarkStart w:id="321"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321"/>
    <w:bookmarkStart w:id="323" w:name="ref-noauthor_votation_1993"/>
    <w:p>
      <w:pPr>
        <w:pStyle w:val="Bibliography"/>
      </w:pPr>
      <w:r>
        <w:rPr>
          <w:iCs/>
          <w:i/>
        </w:rPr>
        <w:t xml:space="preserve">Votation Populaire Du 28 Novembre 1993. Explications Du Conseil Fédéral</w:t>
      </w:r>
      <w:r>
        <w:t xml:space="preserve">. 1993. Chancellerie fédérale.</w:t>
      </w:r>
      <w:r>
        <w:t xml:space="preserve"> </w:t>
      </w:r>
      <w:hyperlink r:id="rId322">
        <w:r>
          <w:rPr>
            <w:rStyle w:val="Hyperlink"/>
          </w:rPr>
          <w:t xml:space="preserve">https://swissvotes.ch/attachments/63342ae40faa4e6957c10e3ae7ac0f68f7627dfaae54a13a5b363b97d19765f5</w:t>
        </w:r>
      </w:hyperlink>
      <w:r>
        <w:t xml:space="preserve">.</w:t>
      </w:r>
    </w:p>
    <w:bookmarkEnd w:id="323"/>
    <w:bookmarkStart w:id="325" w:name="ref-walter_social_2022"/>
    <w:p>
      <w:pPr>
        <w:pStyle w:val="Bibliography"/>
      </w:pPr>
      <w:r>
        <w:t xml:space="preserve">Walter, André. 2022.</w:t>
      </w:r>
      <w:r>
        <w:t xml:space="preserve"> </w:t>
      </w:r>
      <w:r>
        <w:t xml:space="preserve">“The Social Origins of Christian Democracy: Rural–Urban Migration, Interest Group Preemption, and the Rise of the Catholic Workers’ Movement.”</w:t>
      </w:r>
      <w:r>
        <w:t xml:space="preserve"> </w:t>
      </w:r>
      <w:r>
        <w:rPr>
          <w:iCs/>
          <w:i/>
        </w:rPr>
        <w:t xml:space="preserve">Socio-Economic Review</w:t>
      </w:r>
      <w:r>
        <w:t xml:space="preserve"> </w:t>
      </w:r>
      <w:r>
        <w:t xml:space="preserve">20 (2): 687–710.</w:t>
      </w:r>
      <w:r>
        <w:t xml:space="preserve"> </w:t>
      </w:r>
      <w:hyperlink r:id="rId324">
        <w:r>
          <w:rPr>
            <w:rStyle w:val="Hyperlink"/>
          </w:rPr>
          <w:t xml:space="preserve">https://doi.org/10.1093/ser/mwaa014</w:t>
        </w:r>
      </w:hyperlink>
      <w:r>
        <w:t xml:space="preserve">.</w:t>
      </w:r>
    </w:p>
    <w:bookmarkEnd w:id="325"/>
    <w:bookmarkStart w:id="327"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326">
        <w:r>
          <w:rPr>
            <w:rStyle w:val="Hyperlink"/>
          </w:rPr>
          <w:t xml:space="preserve">https://archive-ouverte.unige.ch/unige:14538</w:t>
        </w:r>
      </w:hyperlink>
      <w:r>
        <w:t xml:space="preserve">.</w:t>
      </w:r>
    </w:p>
    <w:bookmarkEnd w:id="327"/>
    <w:bookmarkStart w:id="329" w:name="ref-zeller_christophe_1992"/>
    <w:p>
      <w:pPr>
        <w:pStyle w:val="Bibliography"/>
      </w:pPr>
      <w:r>
        <w:t xml:space="preserve">Zeller, Willy, Thomas Häberlin, and Claudia Schoch. 1992.</w:t>
      </w:r>
      <w:r>
        <w:t xml:space="preserve"> </w:t>
      </w:r>
      <w:r>
        <w:t xml:space="preserve">“Christophe Blocher Et David de Pury Confrontent Leurs Vues Sur l’europe.”</w:t>
      </w:r>
      <w:r>
        <w:t xml:space="preserve"> </w:t>
      </w:r>
      <w:r>
        <w:t xml:space="preserve">Translated by Alexandre Fischer.</w:t>
      </w:r>
      <w:r>
        <w:t xml:space="preserve"> </w:t>
      </w:r>
      <w:r>
        <w:rPr>
          <w:iCs/>
          <w:i/>
        </w:rPr>
        <w:t xml:space="preserve">Le Nouveau Quotidien</w:t>
      </w:r>
      <w:r>
        <w:t xml:space="preserve">, August.</w:t>
      </w:r>
      <w:r>
        <w:t xml:space="preserve"> </w:t>
      </w:r>
      <w:hyperlink r:id="rId328">
        <w:r>
          <w:rPr>
            <w:rStyle w:val="Hyperlink"/>
          </w:rPr>
          <w:t xml:space="preserve">https://www.letempsarchives.ch/page/LNQ_1992_08_27/14/article/9690564/%22david%20de%20pury%22</w:t>
        </w:r>
      </w:hyperlink>
      <w:r>
        <w:t xml:space="preserve">.</w:t>
      </w:r>
    </w:p>
    <w:bookmarkEnd w:id="329"/>
    <w:bookmarkStart w:id="331"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330">
        <w:r>
          <w:rPr>
            <w:rStyle w:val="Hyperlink"/>
          </w:rPr>
          <w:t xml:space="preserve">https://doi.org/10.1111/ajps.12743</w:t>
        </w:r>
      </w:hyperlink>
      <w:r>
        <w:t xml:space="preserve">.</w:t>
      </w:r>
    </w:p>
    <w:bookmarkEnd w:id="331"/>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5">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consensus system.</w:t>
      </w:r>
    </w:p>
  </w:footnote>
  <w:footnote w:id="26">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38">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 in 1888</w:t>
      </w:r>
      <w:r>
        <w:t xml:space="preserve"> </w:t>
      </w:r>
      <w:r>
        <w:t xml:space="preserve">(Müller 2010)</w:t>
      </w:r>
      <w:r>
        <w:t xml:space="preserve">.</w:t>
      </w:r>
    </w:p>
  </w:footnote>
  <w:footnote w:id="39">
    <w:p>
      <w:pPr>
        <w:pStyle w:val="FootnoteText"/>
      </w:pPr>
      <w:r>
        <w:rPr>
          <w:rStyle w:val="FootnoteReference"/>
        </w:rPr>
        <w:footnoteRef/>
      </w:r>
      <w:r>
        <w:t xml:space="preserve"> </w:t>
      </w:r>
      <w:r>
        <w:t xml:space="preserve">Major figure and leader of the Bernese Radicalist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 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0">
    <w:p>
      <w:pPr>
        <w:pStyle w:val="FootnoteText"/>
      </w:pPr>
      <w:r>
        <w:rPr>
          <w:rStyle w:val="FootnoteReference"/>
        </w:rPr>
        <w:footnoteRef/>
      </w:r>
      <w:r>
        <w:t xml:space="preserve"> </w:t>
      </w:r>
      <w:r>
        <w:t xml:space="preserve">Alfred Escher, born in 1819 in Zurich, is surely one of the most emblematic figures of the 19th century Swiss-Germany’s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53">
    <w:p>
      <w:pPr>
        <w:pStyle w:val="FootnoteText"/>
      </w:pPr>
      <w:r>
        <w:rPr>
          <w:rStyle w:val="FootnoteReference"/>
        </w:rPr>
        <w:footnoteRef/>
      </w:r>
      <w:r>
        <w:t xml:space="preserve"> </w:t>
      </w:r>
      <w:r>
        <w:t xml:space="preserve">The average marginal contrasts were computed using the comparisons or avg_comparisons functions from the R package marginaleffects</w:t>
      </w:r>
      <w:r>
        <w:t xml:space="preserve"> </w:t>
      </w:r>
      <w:r>
        <w:t xml:space="preserve">(Arel-Bundock 2024)</w:t>
      </w:r>
      <w:r>
        <w:t xml:space="preserve">.</w:t>
      </w:r>
    </w:p>
  </w:footnote>
  <w:footnote w:id="70">
    <w:p>
      <w:pPr>
        <w:pStyle w:val="FootnoteText"/>
      </w:pPr>
      <w:r>
        <w:rPr>
          <w:rStyle w:val="FootnoteReference"/>
        </w:rPr>
        <w:footnoteRef/>
      </w:r>
      <w:r>
        <w:t xml:space="preserve"> </w:t>
      </w:r>
      <w:r>
        <w:t xml:space="preserve">The models were estimated with the software</w:t>
      </w:r>
      <w:r>
        <w:t xml:space="preserve"> </w:t>
      </w:r>
      <w:r>
        <w:rPr>
          <w:iCs/>
          <w:i/>
        </w:rPr>
        <w:t xml:space="preserve">LatentGOLD</w:t>
      </w:r>
      <w:r>
        <w:t xml:space="preserve">.</w:t>
      </w:r>
    </w:p>
  </w:footnote>
  <w:footnote w:id="72">
    <w:p>
      <w:pPr>
        <w:pStyle w:val="FootnoteText"/>
      </w:pPr>
      <w:r>
        <w:rPr>
          <w:rStyle w:val="FootnoteReference"/>
        </w:rPr>
        <w:footnoteRef/>
      </w:r>
      <w:r>
        <w:t xml:space="preserve"> </w:t>
      </w:r>
      <w:r>
        <w:t xml:space="preserve">Bonvin et al. (2015)</w:t>
      </w:r>
      <w:r>
        <w:t xml:space="preserve">, for further information on the history of social security in Switzerland, see the History of Swiss Social Security website: https://www.historyofsocialsecurity.ch/home.</w:t>
      </w:r>
    </w:p>
  </w:footnote>
  <w:footnote w:id="77">
    <w:p>
      <w:pPr>
        <w:pStyle w:val="FootnoteText"/>
      </w:pPr>
      <w:r>
        <w:rPr>
          <w:rStyle w:val="FootnoteReference"/>
        </w:rPr>
        <w:footnoteRef/>
      </w:r>
      <w:r>
        <w:t xml:space="preserve"> </w:t>
      </w:r>
      <w:r>
        <w:rPr>
          <w:iCs/>
          <w:i/>
        </w:rPr>
        <w:t xml:space="preserve">Votation Populaire Du 28 Novembre 1993. Explications Du Conseil Fédéral</w:t>
      </w:r>
      <w:r>
        <w:t xml:space="preserve"> </w:t>
      </w:r>
      <w:r>
        <w:t xml:space="preserve">(1993)</w:t>
      </w:r>
      <w:r>
        <w:t xml:space="preserve">, p.6-9, author’s translation</w:t>
      </w:r>
    </w:p>
  </w:footnote>
  <w:footnote w:id="81">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7">
    <w:p>
      <w:pPr>
        <w:pStyle w:val="FootnoteText"/>
      </w:pPr>
      <w:r>
        <w:rPr>
          <w:rStyle w:val="FootnoteReference"/>
        </w:rPr>
        <w:footnoteRef/>
      </w:r>
      <w:r>
        <w:t xml:space="preserve"> </w:t>
      </w:r>
      <w:r>
        <w:t xml:space="preserve">The full results of the 12 clusters model can be consulted</w:t>
      </w:r>
      <w:r>
        <w:t xml:space="preserve"> </w:t>
      </w:r>
      <w:hyperlink r:id="rId88">
        <w:r>
          <w:rPr>
            <w:rStyle w:val="Hyperlink"/>
          </w:rPr>
          <w:t xml:space="preserve">here</w:t>
        </w:r>
      </w:hyperlink>
      <w:r>
        <w:t xml:space="preserve"> </w:t>
      </w:r>
      <w:r>
        <w:t xml:space="preserve">(https://jeylal.github.io/selects1999results/)</w:t>
      </w:r>
    </w:p>
  </w:footnote>
  <w:footnote w:id="89">
    <w:p>
      <w:pPr>
        <w:pStyle w:val="FootnoteText"/>
      </w:pPr>
      <w:r>
        <w:rPr>
          <w:rStyle w:val="FootnoteReference"/>
        </w:rPr>
        <w:footnoteRef/>
      </w:r>
      <w:r>
        <w:t xml:space="preserve"> </w:t>
      </w:r>
      <w:r>
        <w:t xml:space="preserve">The income variable considered here is the gross monthly income of the household.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31" Target="media/rId131.png" /><Relationship Type="http://schemas.openxmlformats.org/officeDocument/2006/relationships/image" Id="rId127" Target="media/rId127.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11" Target="media/rId111.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hyperlink" Id="rId232" Target="http://gen.lib.rus.ec/book/index.php?md5=672bb6ec977ceddc83c745ffc8db0022" TargetMode="External" /><Relationship Type="http://schemas.openxmlformats.org/officeDocument/2006/relationships/hyperlink" Id="rId295"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326" Target="https://archive-ouverte.unige.ch/unige:14538" TargetMode="External" /><Relationship Type="http://schemas.openxmlformats.org/officeDocument/2006/relationships/hyperlink" Id="rId152" Target="https://archive-ouverte.unige.ch/unige:172056" TargetMode="External" /><Relationship Type="http://schemas.openxmlformats.org/officeDocument/2006/relationships/hyperlink" Id="rId256"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83" Target="https://doi.org/10.1002/j.1662-6370.2010.tb00433.x" TargetMode="External" /><Relationship Type="http://schemas.openxmlformats.org/officeDocument/2006/relationships/hyperlink" Id="rId236" Target="https://doi.org/10.1017/CBO9780511790720" TargetMode="External" /><Relationship Type="http://schemas.openxmlformats.org/officeDocument/2006/relationships/hyperlink" Id="rId268" Target="https://doi.org/10.1017/S0143814X98000129" TargetMode="External" /><Relationship Type="http://schemas.openxmlformats.org/officeDocument/2006/relationships/hyperlink" Id="rId146" Target="https://doi.org/10.1017/S1744137415000211" TargetMode="External" /><Relationship Type="http://schemas.openxmlformats.org/officeDocument/2006/relationships/hyperlink" Id="rId312" Target="https://doi.org/10.1017/S1755773913000246" TargetMode="External" /><Relationship Type="http://schemas.openxmlformats.org/officeDocument/2006/relationships/hyperlink" Id="rId276" Target="https://doi.org/10.1057/9780230504592" TargetMode="External" /><Relationship Type="http://schemas.openxmlformats.org/officeDocument/2006/relationships/hyperlink" Id="rId297" Target="https://doi.org/10.1080/01402382.2014.920981" TargetMode="External" /><Relationship Type="http://schemas.openxmlformats.org/officeDocument/2006/relationships/hyperlink" Id="rId187" Target="https://doi.org/10.1080/09538259.2023.2298747" TargetMode="External" /><Relationship Type="http://schemas.openxmlformats.org/officeDocument/2006/relationships/hyperlink" Id="rId155" Target="https://doi.org/10.1080/09692290.2021.1913440" TargetMode="External" /><Relationship Type="http://schemas.openxmlformats.org/officeDocument/2006/relationships/hyperlink" Id="rId266" Target="https://doi.org/10.1080/10705510701575396" TargetMode="External" /><Relationship Type="http://schemas.openxmlformats.org/officeDocument/2006/relationships/hyperlink" Id="rId247" Target="https://doi.org/10.1080/1350176032000059053" TargetMode="External" /><Relationship Type="http://schemas.openxmlformats.org/officeDocument/2006/relationships/hyperlink" Id="rId217" Target="https://doi.org/10.1080/13501763.2017.1310279" TargetMode="External" /><Relationship Type="http://schemas.openxmlformats.org/officeDocument/2006/relationships/hyperlink" Id="rId166" Target="https://doi.org/10.1080/13563467.2023.2215701" TargetMode="External" /><Relationship Type="http://schemas.openxmlformats.org/officeDocument/2006/relationships/hyperlink" Id="rId280" Target="https://doi.org/10.1080/14616690701846946" TargetMode="External" /><Relationship Type="http://schemas.openxmlformats.org/officeDocument/2006/relationships/hyperlink" Id="rId181" Target="https://doi.org/10.1080/14616696.2012.709531" TargetMode="External" /><Relationship Type="http://schemas.openxmlformats.org/officeDocument/2006/relationships/hyperlink" Id="rId148" Target="https://doi.org/10.1093/acprof:oso/9780198787815.001.0001" TargetMode="External" /><Relationship Type="http://schemas.openxmlformats.org/officeDocument/2006/relationships/hyperlink" Id="rId319" Target="https://doi.org/10.1093/pan/mpq025" TargetMode="External" /><Relationship Type="http://schemas.openxmlformats.org/officeDocument/2006/relationships/hyperlink" Id="rId206" Target="https://doi.org/10.1093/qje/qjab036" TargetMode="External" /><Relationship Type="http://schemas.openxmlformats.org/officeDocument/2006/relationships/hyperlink" Id="rId324" Target="https://doi.org/10.1093/ser/mwaa014" TargetMode="External" /><Relationship Type="http://schemas.openxmlformats.org/officeDocument/2006/relationships/hyperlink" Id="rId159" Target="https://doi.org/10.1093/ser/mwn018" TargetMode="External" /><Relationship Type="http://schemas.openxmlformats.org/officeDocument/2006/relationships/hyperlink" Id="rId300" Target="https://doi.org/10.1111/1468-4446.12929" TargetMode="External" /><Relationship Type="http://schemas.openxmlformats.org/officeDocument/2006/relationships/hyperlink" Id="rId285" Target="https://doi.org/10.1111/1475-6765.12259" TargetMode="External" /><Relationship Type="http://schemas.openxmlformats.org/officeDocument/2006/relationships/hyperlink" Id="rId330" Target="https://doi.org/10.1111/ajps.12743" TargetMode="External" /><Relationship Type="http://schemas.openxmlformats.org/officeDocument/2006/relationships/hyperlink" Id="rId234" Target="https://doi.org/10.1111/j.1475-6765.2006.00644.x" TargetMode="External" /><Relationship Type="http://schemas.openxmlformats.org/officeDocument/2006/relationships/hyperlink" Id="rId293" Target="https://doi.org/10.1111/spsr.12124" TargetMode="External" /><Relationship Type="http://schemas.openxmlformats.org/officeDocument/2006/relationships/hyperlink" Id="rId143" Target="https://doi.org/10.1177/002200947901400402" TargetMode="External" /><Relationship Type="http://schemas.openxmlformats.org/officeDocument/2006/relationships/hyperlink" Id="rId278" Target="https://doi.org/10.1177/0192512107088390" TargetMode="External" /><Relationship Type="http://schemas.openxmlformats.org/officeDocument/2006/relationships/hyperlink" Id="rId189" Target="https://doi.org/10.1177/026858091006004002" TargetMode="External" /><Relationship Type="http://schemas.openxmlformats.org/officeDocument/2006/relationships/hyperlink" Id="rId253" Target="https://doi.org/10.1177/10245294241231992" TargetMode="External" /><Relationship Type="http://schemas.openxmlformats.org/officeDocument/2006/relationships/hyperlink" Id="rId249" Target="https://doi.org/10.2202/1935-6226.1022" TargetMode="External" /><Relationship Type="http://schemas.openxmlformats.org/officeDocument/2006/relationships/hyperlink" Id="rId317" Target="https://doi.org/10.2202/1935-6226.1042" TargetMode="External" /><Relationship Type="http://schemas.openxmlformats.org/officeDocument/2006/relationships/hyperlink" Id="rId219" Target="https://doi.org/10.2307/1953494" TargetMode="External" /><Relationship Type="http://schemas.openxmlformats.org/officeDocument/2006/relationships/hyperlink" Id="rId241" Target="https://doi.org/10.2307/1954890" TargetMode="External" /><Relationship Type="http://schemas.openxmlformats.org/officeDocument/2006/relationships/hyperlink" Id="rId224" Target="https://doi.org/10.2307/1962590" TargetMode="External" /><Relationship Type="http://schemas.openxmlformats.org/officeDocument/2006/relationships/hyperlink" Id="rId221"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26" Target="https://doi.org/10.3917/infle.020.0183" TargetMode="External" /><Relationship Type="http://schemas.openxmlformats.org/officeDocument/2006/relationships/hyperlink" Id="rId310" Target="https://doi.org/10.3917/socio.103.0243" TargetMode="External" /><Relationship Type="http://schemas.openxmlformats.org/officeDocument/2006/relationships/hyperlink" Id="rId230"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62" Target="https://doi.org/10.4337/9781782549925.00015" TargetMode="External" /><Relationship Type="http://schemas.openxmlformats.org/officeDocument/2006/relationships/hyperlink" Id="rId212" Target="https://doi.org/10.48573/9EX9-FP54" TargetMode="External" /><Relationship Type="http://schemas.openxmlformats.org/officeDocument/2006/relationships/hyperlink" Id="rId315" Target="https://doi.org/10.48573/PCBM-2280" TargetMode="External" /><Relationship Type="http://schemas.openxmlformats.org/officeDocument/2006/relationships/hyperlink" Id="rId251" Target="https://doi.org/10.5169/seals-140416" TargetMode="External" /><Relationship Type="http://schemas.openxmlformats.org/officeDocument/2006/relationships/hyperlink" Id="rId171" Target="https://doi.org/10.5169/seals-515017" TargetMode="External" /><Relationship Type="http://schemas.openxmlformats.org/officeDocument/2006/relationships/hyperlink" Id="rId264" Target="https://hdr.undp.org/content/human-development-report-2021-22" TargetMode="External" /><Relationship Type="http://schemas.openxmlformats.org/officeDocument/2006/relationships/hyperlink" Id="rId183" Target="https://hls-dhs-dss.ch/articles/003626/2020-01-20/" TargetMode="External" /><Relationship Type="http://schemas.openxmlformats.org/officeDocument/2006/relationships/hyperlink" Id="rId308" Target="https://hls-dhs-dss.ch/articles/004635/2020-04-15/" TargetMode="External" /><Relationship Type="http://schemas.openxmlformats.org/officeDocument/2006/relationships/hyperlink" Id="rId306" Target="https://hls-dhs-dss.ch/articles/017389/2017-03-20/" TargetMode="External" /><Relationship Type="http://schemas.openxmlformats.org/officeDocument/2006/relationships/hyperlink" Id="rId200" Target="https://hls-dhs-dss.ch/articles/017393/2022-01-24/" TargetMode="External" /><Relationship Type="http://schemas.openxmlformats.org/officeDocument/2006/relationships/hyperlink" Id="rId262"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68" Target="https://marginaleffects.com/" TargetMode="External" /><Relationship Type="http://schemas.openxmlformats.org/officeDocument/2006/relationships/hyperlink" Id="rId191" Target="https://oec.world/en/rankings/eci/hs6/hs96" TargetMode="External" /><Relationship Type="http://schemas.openxmlformats.org/officeDocument/2006/relationships/hyperlink" Id="rId322" Target="https://swissvotes.ch/attachments/63342ae40faa4e6957c10e3ae7ac0f68f7627dfaae54a13a5b363b97d19765f5" TargetMode="External" /><Relationship Type="http://schemas.openxmlformats.org/officeDocument/2006/relationships/hyperlink" Id="rId202" Target="https://wid.world/wp-content/uploads/2021/03/WorldInequalityLab_WP2021_08_PoliticalCleavages_AustriaBelgiumNLSwitzerland.pdf" TargetMode="External" /><Relationship Type="http://schemas.openxmlformats.org/officeDocument/2006/relationships/hyperlink" Id="rId209" Target="https://www.avenir-suisse.ch/fr/7-bonnes-raisons-de-privatiser-lenergie/" TargetMode="External" /><Relationship Type="http://schemas.openxmlformats.org/officeDocument/2006/relationships/hyperlink" Id="rId197" Target="https://www.econstor.eu/handle/10419/63462" TargetMode="External" /><Relationship Type="http://schemas.openxmlformats.org/officeDocument/2006/relationships/hyperlink" Id="rId304" Target="https://www.epflpress.org/produit/1421/9782889155279/politique-suisse" TargetMode="External" /><Relationship Type="http://schemas.openxmlformats.org/officeDocument/2006/relationships/hyperlink" Id="rId302" Target="https://www.jstor.org/stable/45344498" TargetMode="External" /><Relationship Type="http://schemas.openxmlformats.org/officeDocument/2006/relationships/hyperlink" Id="rId204" Target="https://www.letemps.ch/economie/gerhard-schwarz-une-suisse-neoliberale-cest-une-fake-news" TargetMode="External" /><Relationship Type="http://schemas.openxmlformats.org/officeDocument/2006/relationships/hyperlink" Id="rId215" Target="https://www.letempsarchives.ch/page/JDG_1991_06_20/12/article/8621126/%22david%20de%20pury%22" TargetMode="External" /><Relationship Type="http://schemas.openxmlformats.org/officeDocument/2006/relationships/hyperlink" Id="rId238" Target="https://www.letempsarchives.ch/page/JDG_1992_08_07/17/article/8788240/%22La%20Suisse%20doit%20%C3%A9viter%20de%20devenir%20un%20cartel%20au%20milieu%20de%20l&#39;Europe%22" TargetMode="External" /><Relationship Type="http://schemas.openxmlformats.org/officeDocument/2006/relationships/hyperlink" Id="rId193" Target="https://www.letempsarchives.ch/page/JDG_1996_01_22/6/article/9291348/%22david%20de%20pury%22" TargetMode="External" /><Relationship Type="http://schemas.openxmlformats.org/officeDocument/2006/relationships/hyperlink" Id="rId195" Target="https://www.letempsarchives.ch/page/JDG_1998_01_20/1" TargetMode="External" /><Relationship Type="http://schemas.openxmlformats.org/officeDocument/2006/relationships/hyperlink" Id="rId328" Target="https://www.letempsarchives.ch/page/LNQ_1992_08_27/14/article/9690564/%22david%20de%20pury%22" TargetMode="External" /><Relationship Type="http://schemas.openxmlformats.org/officeDocument/2006/relationships/hyperlink" Id="rId185" Target="https://www.letempsarchives.ch/page/LNQ_1993_08_30/8/article/9763525/%22david%20de%20pury%22" TargetMode="External" /><Relationship Type="http://schemas.openxmlformats.org/officeDocument/2006/relationships/hyperlink" Id="rId270" Target="https://www.oecd-ilibrary.org/economics/oecd-economic-surveys-switzerland-1992_eco_surveys-che-1992-en" TargetMode="External" /><Relationship Type="http://schemas.openxmlformats.org/officeDocument/2006/relationships/hyperlink" Id="rId272" Target="https://www.oecd-ilibrary.org/economics/oecd-economic-surveys-switzerland-2019_7e6fd372-en" TargetMode="External" /><Relationship Type="http://schemas.openxmlformats.org/officeDocument/2006/relationships/hyperlink" Id="rId274"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32" Target="http://gen.lib.rus.ec/book/index.php?md5=672bb6ec977ceddc83c745ffc8db0022" TargetMode="External" /><Relationship Type="http://schemas.openxmlformats.org/officeDocument/2006/relationships/hyperlink" Id="rId295"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326" Target="https://archive-ouverte.unige.ch/unige:14538" TargetMode="External" /><Relationship Type="http://schemas.openxmlformats.org/officeDocument/2006/relationships/hyperlink" Id="rId152" Target="https://archive-ouverte.unige.ch/unige:172056" TargetMode="External" /><Relationship Type="http://schemas.openxmlformats.org/officeDocument/2006/relationships/hyperlink" Id="rId256"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83" Target="https://doi.org/10.1002/j.1662-6370.2010.tb00433.x" TargetMode="External" /><Relationship Type="http://schemas.openxmlformats.org/officeDocument/2006/relationships/hyperlink" Id="rId236" Target="https://doi.org/10.1017/CBO9780511790720" TargetMode="External" /><Relationship Type="http://schemas.openxmlformats.org/officeDocument/2006/relationships/hyperlink" Id="rId268" Target="https://doi.org/10.1017/S0143814X98000129" TargetMode="External" /><Relationship Type="http://schemas.openxmlformats.org/officeDocument/2006/relationships/hyperlink" Id="rId146" Target="https://doi.org/10.1017/S1744137415000211" TargetMode="External" /><Relationship Type="http://schemas.openxmlformats.org/officeDocument/2006/relationships/hyperlink" Id="rId312" Target="https://doi.org/10.1017/S1755773913000246" TargetMode="External" /><Relationship Type="http://schemas.openxmlformats.org/officeDocument/2006/relationships/hyperlink" Id="rId276" Target="https://doi.org/10.1057/9780230504592" TargetMode="External" /><Relationship Type="http://schemas.openxmlformats.org/officeDocument/2006/relationships/hyperlink" Id="rId297" Target="https://doi.org/10.1080/01402382.2014.920981" TargetMode="External" /><Relationship Type="http://schemas.openxmlformats.org/officeDocument/2006/relationships/hyperlink" Id="rId187" Target="https://doi.org/10.1080/09538259.2023.2298747" TargetMode="External" /><Relationship Type="http://schemas.openxmlformats.org/officeDocument/2006/relationships/hyperlink" Id="rId155" Target="https://doi.org/10.1080/09692290.2021.1913440" TargetMode="External" /><Relationship Type="http://schemas.openxmlformats.org/officeDocument/2006/relationships/hyperlink" Id="rId266" Target="https://doi.org/10.1080/10705510701575396" TargetMode="External" /><Relationship Type="http://schemas.openxmlformats.org/officeDocument/2006/relationships/hyperlink" Id="rId247" Target="https://doi.org/10.1080/1350176032000059053" TargetMode="External" /><Relationship Type="http://schemas.openxmlformats.org/officeDocument/2006/relationships/hyperlink" Id="rId217" Target="https://doi.org/10.1080/13501763.2017.1310279" TargetMode="External" /><Relationship Type="http://schemas.openxmlformats.org/officeDocument/2006/relationships/hyperlink" Id="rId166" Target="https://doi.org/10.1080/13563467.2023.2215701" TargetMode="External" /><Relationship Type="http://schemas.openxmlformats.org/officeDocument/2006/relationships/hyperlink" Id="rId280" Target="https://doi.org/10.1080/14616690701846946" TargetMode="External" /><Relationship Type="http://schemas.openxmlformats.org/officeDocument/2006/relationships/hyperlink" Id="rId181" Target="https://doi.org/10.1080/14616696.2012.709531" TargetMode="External" /><Relationship Type="http://schemas.openxmlformats.org/officeDocument/2006/relationships/hyperlink" Id="rId148" Target="https://doi.org/10.1093/acprof:oso/9780198787815.001.0001" TargetMode="External" /><Relationship Type="http://schemas.openxmlformats.org/officeDocument/2006/relationships/hyperlink" Id="rId319" Target="https://doi.org/10.1093/pan/mpq025" TargetMode="External" /><Relationship Type="http://schemas.openxmlformats.org/officeDocument/2006/relationships/hyperlink" Id="rId206" Target="https://doi.org/10.1093/qje/qjab036" TargetMode="External" /><Relationship Type="http://schemas.openxmlformats.org/officeDocument/2006/relationships/hyperlink" Id="rId324" Target="https://doi.org/10.1093/ser/mwaa014" TargetMode="External" /><Relationship Type="http://schemas.openxmlformats.org/officeDocument/2006/relationships/hyperlink" Id="rId159" Target="https://doi.org/10.1093/ser/mwn018" TargetMode="External" /><Relationship Type="http://schemas.openxmlformats.org/officeDocument/2006/relationships/hyperlink" Id="rId300" Target="https://doi.org/10.1111/1468-4446.12929" TargetMode="External" /><Relationship Type="http://schemas.openxmlformats.org/officeDocument/2006/relationships/hyperlink" Id="rId285" Target="https://doi.org/10.1111/1475-6765.12259" TargetMode="External" /><Relationship Type="http://schemas.openxmlformats.org/officeDocument/2006/relationships/hyperlink" Id="rId330" Target="https://doi.org/10.1111/ajps.12743" TargetMode="External" /><Relationship Type="http://schemas.openxmlformats.org/officeDocument/2006/relationships/hyperlink" Id="rId234" Target="https://doi.org/10.1111/j.1475-6765.2006.00644.x" TargetMode="External" /><Relationship Type="http://schemas.openxmlformats.org/officeDocument/2006/relationships/hyperlink" Id="rId293" Target="https://doi.org/10.1111/spsr.12124" TargetMode="External" /><Relationship Type="http://schemas.openxmlformats.org/officeDocument/2006/relationships/hyperlink" Id="rId143" Target="https://doi.org/10.1177/002200947901400402" TargetMode="External" /><Relationship Type="http://schemas.openxmlformats.org/officeDocument/2006/relationships/hyperlink" Id="rId278" Target="https://doi.org/10.1177/0192512107088390" TargetMode="External" /><Relationship Type="http://schemas.openxmlformats.org/officeDocument/2006/relationships/hyperlink" Id="rId189" Target="https://doi.org/10.1177/026858091006004002" TargetMode="External" /><Relationship Type="http://schemas.openxmlformats.org/officeDocument/2006/relationships/hyperlink" Id="rId253" Target="https://doi.org/10.1177/10245294241231992" TargetMode="External" /><Relationship Type="http://schemas.openxmlformats.org/officeDocument/2006/relationships/hyperlink" Id="rId249" Target="https://doi.org/10.2202/1935-6226.1022" TargetMode="External" /><Relationship Type="http://schemas.openxmlformats.org/officeDocument/2006/relationships/hyperlink" Id="rId317" Target="https://doi.org/10.2202/1935-6226.1042" TargetMode="External" /><Relationship Type="http://schemas.openxmlformats.org/officeDocument/2006/relationships/hyperlink" Id="rId219" Target="https://doi.org/10.2307/1953494" TargetMode="External" /><Relationship Type="http://schemas.openxmlformats.org/officeDocument/2006/relationships/hyperlink" Id="rId241" Target="https://doi.org/10.2307/1954890" TargetMode="External" /><Relationship Type="http://schemas.openxmlformats.org/officeDocument/2006/relationships/hyperlink" Id="rId224" Target="https://doi.org/10.2307/1962590" TargetMode="External" /><Relationship Type="http://schemas.openxmlformats.org/officeDocument/2006/relationships/hyperlink" Id="rId221"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26" Target="https://doi.org/10.3917/infle.020.0183" TargetMode="External" /><Relationship Type="http://schemas.openxmlformats.org/officeDocument/2006/relationships/hyperlink" Id="rId310" Target="https://doi.org/10.3917/socio.103.0243" TargetMode="External" /><Relationship Type="http://schemas.openxmlformats.org/officeDocument/2006/relationships/hyperlink" Id="rId230"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62" Target="https://doi.org/10.4337/9781782549925.00015" TargetMode="External" /><Relationship Type="http://schemas.openxmlformats.org/officeDocument/2006/relationships/hyperlink" Id="rId212" Target="https://doi.org/10.48573/9EX9-FP54" TargetMode="External" /><Relationship Type="http://schemas.openxmlformats.org/officeDocument/2006/relationships/hyperlink" Id="rId315" Target="https://doi.org/10.48573/PCBM-2280" TargetMode="External" /><Relationship Type="http://schemas.openxmlformats.org/officeDocument/2006/relationships/hyperlink" Id="rId251" Target="https://doi.org/10.5169/seals-140416" TargetMode="External" /><Relationship Type="http://schemas.openxmlformats.org/officeDocument/2006/relationships/hyperlink" Id="rId171" Target="https://doi.org/10.5169/seals-515017" TargetMode="External" /><Relationship Type="http://schemas.openxmlformats.org/officeDocument/2006/relationships/hyperlink" Id="rId264" Target="https://hdr.undp.org/content/human-development-report-2021-22" TargetMode="External" /><Relationship Type="http://schemas.openxmlformats.org/officeDocument/2006/relationships/hyperlink" Id="rId183" Target="https://hls-dhs-dss.ch/articles/003626/2020-01-20/" TargetMode="External" /><Relationship Type="http://schemas.openxmlformats.org/officeDocument/2006/relationships/hyperlink" Id="rId308" Target="https://hls-dhs-dss.ch/articles/004635/2020-04-15/" TargetMode="External" /><Relationship Type="http://schemas.openxmlformats.org/officeDocument/2006/relationships/hyperlink" Id="rId306" Target="https://hls-dhs-dss.ch/articles/017389/2017-03-20/" TargetMode="External" /><Relationship Type="http://schemas.openxmlformats.org/officeDocument/2006/relationships/hyperlink" Id="rId200" Target="https://hls-dhs-dss.ch/articles/017393/2022-01-24/" TargetMode="External" /><Relationship Type="http://schemas.openxmlformats.org/officeDocument/2006/relationships/hyperlink" Id="rId262"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68" Target="https://marginaleffects.com/" TargetMode="External" /><Relationship Type="http://schemas.openxmlformats.org/officeDocument/2006/relationships/hyperlink" Id="rId191" Target="https://oec.world/en/rankings/eci/hs6/hs96" TargetMode="External" /><Relationship Type="http://schemas.openxmlformats.org/officeDocument/2006/relationships/hyperlink" Id="rId322" Target="https://swissvotes.ch/attachments/63342ae40faa4e6957c10e3ae7ac0f68f7627dfaae54a13a5b363b97d19765f5" TargetMode="External" /><Relationship Type="http://schemas.openxmlformats.org/officeDocument/2006/relationships/hyperlink" Id="rId202" Target="https://wid.world/wp-content/uploads/2021/03/WorldInequalityLab_WP2021_08_PoliticalCleavages_AustriaBelgiumNLSwitzerland.pdf" TargetMode="External" /><Relationship Type="http://schemas.openxmlformats.org/officeDocument/2006/relationships/hyperlink" Id="rId209" Target="https://www.avenir-suisse.ch/fr/7-bonnes-raisons-de-privatiser-lenergie/" TargetMode="External" /><Relationship Type="http://schemas.openxmlformats.org/officeDocument/2006/relationships/hyperlink" Id="rId197" Target="https://www.econstor.eu/handle/10419/63462" TargetMode="External" /><Relationship Type="http://schemas.openxmlformats.org/officeDocument/2006/relationships/hyperlink" Id="rId304" Target="https://www.epflpress.org/produit/1421/9782889155279/politique-suisse" TargetMode="External" /><Relationship Type="http://schemas.openxmlformats.org/officeDocument/2006/relationships/hyperlink" Id="rId302" Target="https://www.jstor.org/stable/45344498" TargetMode="External" /><Relationship Type="http://schemas.openxmlformats.org/officeDocument/2006/relationships/hyperlink" Id="rId204" Target="https://www.letemps.ch/economie/gerhard-schwarz-une-suisse-neoliberale-cest-une-fake-news" TargetMode="External" /><Relationship Type="http://schemas.openxmlformats.org/officeDocument/2006/relationships/hyperlink" Id="rId215" Target="https://www.letempsarchives.ch/page/JDG_1991_06_20/12/article/8621126/%22david%20de%20pury%22" TargetMode="External" /><Relationship Type="http://schemas.openxmlformats.org/officeDocument/2006/relationships/hyperlink" Id="rId238" Target="https://www.letempsarchives.ch/page/JDG_1992_08_07/17/article/8788240/%22La%20Suisse%20doit%20%C3%A9viter%20de%20devenir%20un%20cartel%20au%20milieu%20de%20l&#39;Europe%22" TargetMode="External" /><Relationship Type="http://schemas.openxmlformats.org/officeDocument/2006/relationships/hyperlink" Id="rId193" Target="https://www.letempsarchives.ch/page/JDG_1996_01_22/6/article/9291348/%22david%20de%20pury%22" TargetMode="External" /><Relationship Type="http://schemas.openxmlformats.org/officeDocument/2006/relationships/hyperlink" Id="rId195" Target="https://www.letempsarchives.ch/page/JDG_1998_01_20/1" TargetMode="External" /><Relationship Type="http://schemas.openxmlformats.org/officeDocument/2006/relationships/hyperlink" Id="rId328" Target="https://www.letempsarchives.ch/page/LNQ_1992_08_27/14/article/9690564/%22david%20de%20pury%22" TargetMode="External" /><Relationship Type="http://schemas.openxmlformats.org/officeDocument/2006/relationships/hyperlink" Id="rId185" Target="https://www.letempsarchives.ch/page/LNQ_1993_08_30/8/article/9763525/%22david%20de%20pury%22" TargetMode="External" /><Relationship Type="http://schemas.openxmlformats.org/officeDocument/2006/relationships/hyperlink" Id="rId270" Target="https://www.oecd-ilibrary.org/economics/oecd-economic-surveys-switzerland-1992_eco_surveys-che-1992-en" TargetMode="External" /><Relationship Type="http://schemas.openxmlformats.org/officeDocument/2006/relationships/hyperlink" Id="rId272" Target="https://www.oecd-ilibrary.org/economics/oecd-economic-surveys-switzerland-2019_7e6fd372-en" TargetMode="External" /><Relationship Type="http://schemas.openxmlformats.org/officeDocument/2006/relationships/hyperlink" Id="rId274"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Blocs, Institutional Change and Social Conflict in Switzerland</dc:title>
  <dc:creator>Celâl Güney</dc:creator>
  <cp:keywords/>
  <dcterms:created xsi:type="dcterms:W3CDTF">2024-03-04T10:21:09Z</dcterms:created>
  <dcterms:modified xsi:type="dcterms:W3CDTF">2024-03-04T10:21:09Z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A Neorealist Approach</vt:lpwstr>
  </property>
  <property fmtid="{D5CDD505-2E9C-101B-9397-08002B2CF9AE}" pid="14" name="template-partials">
    <vt:lpwstr/>
  </property>
  <property fmtid="{D5CDD505-2E9C-101B-9397-08002B2CF9AE}" pid="15" name="title-block-banner">
    <vt:lpwstr>True</vt:lpwstr>
  </property>
  <property fmtid="{D5CDD505-2E9C-101B-9397-08002B2CF9AE}" pid="16" name="toc-title">
    <vt:lpwstr>Table of contents</vt:lpwstr>
  </property>
</Properties>
</file>