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Override PartName="/word/media/rId107.png" ContentType="image/png"/>
  <Override PartName="/word/media/rId103.png" ContentType="image/png"/>
  <Override PartName="/word/media/rId116.png" ContentType="image/png"/>
  <Override PartName="/word/media/rId95.png" ContentType="image/png"/>
  <Override PartName="/word/media/rId91.png" ContentType="image/png"/>
  <Override PartName="/word/media/rId87.png" ContentType="image/png"/>
  <Override PartName="/word/media/rId74.png" ContentType="image/png"/>
  <Override PartName="/word/media/rId26.png" ContentType="image/png"/>
  <Override PartName="/word/media/rId30.png" ContentType="image/png"/>
  <Override PartName="/word/media/rId59.png" ContentType="image/png"/>
  <Override PartName="/word/media/rId51.png" ContentType="image/png"/>
  <Override PartName="/word/media/rId55.png" ContentType="image/png"/>
  <Override PartName="/word/media/rId42.png" ContentType="image/png"/>
  <Override PartName="/word/media/rId4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political leaning and policy preferences are conducted. The results show evidence that, regarding voting outcomes, Switzerland political landscape appears to be structured by a brahmin left versus merchant right divide, as theorized by Piketty. However, the results concerning political leaning show that, while right leaning evolved into a merchant pattern, left leaning shows a trend towards an</w:t>
      </w:r>
      <w:r>
        <w:t xml:space="preserve"> </w:t>
      </w:r>
      <w:r>
        <w:rPr>
          <w:iCs/>
          <w:i/>
        </w:rPr>
        <w:t xml:space="preserve">embourgeoisement</w:t>
      </w:r>
      <w:r>
        <w:t xml:space="preserve">. Finally, the results from a latent class analysis aimed at identifying the recomposition of the Swiss social blocs in the late 90s are presented. This master thesis is the first work to conduct such an analysis for Switzerland, and the aim of this essay is to provide a first step into a overall analysis of the political economy of institutional change in Switzerland in the last decades, from a neorealist perspective.</w:t>
      </w:r>
    </w:p>
    <w:bookmarkEnd w:id="20"/>
    <w:bookmarkStart w:id="36"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open economy, but</w:t>
      </w:r>
      <w:r>
        <w:t xml:space="preserve"> </w:t>
      </w:r>
      <w:r>
        <w:t xml:space="preserve">Hall and Soskice (2001)</w:t>
      </w:r>
      <w:r>
        <w:t xml:space="preserve"> </w:t>
      </w:r>
      <w:r>
        <w:t xml:space="preserve">famously ranked Switzerland among the coordinated market economies (CMEs).</w:t>
      </w:r>
    </w:p>
    <w:p>
      <w:pPr>
        <w:pStyle w:val="BodyText"/>
      </w:pPr>
      <w:r>
        <w:t xml:space="preserve">In</w:t>
      </w:r>
      <w:r>
        <w:t xml:space="preserve"> </w:t>
      </w:r>
      <w:r>
        <w:rPr>
          <w:iCs/>
          <w:i/>
        </w:rPr>
        <w:t xml:space="preserve">Capitalism against Capitalism</w:t>
      </w:r>
      <w:r>
        <w:t xml:space="preserve">, a book which, before Hall and Soskice and the VoC literature, already described two competing models of capitalism, Michel</w:t>
      </w:r>
      <w:r>
        <w:t xml:space="preserve"> </w:t>
      </w:r>
      <w:r>
        <w:t xml:space="preserve">Albert (2009)</w:t>
      </w:r>
      <w:r>
        <w:t xml:space="preserve"> </w:t>
      </w:r>
      <w:r>
        <w:t xml:space="preserve">underlined the many peculiarities of the Swiss model, that he, at first glance, thought of as</w:t>
      </w:r>
      <w:r>
        <w:t xml:space="preserve"> </w:t>
      </w:r>
      <w:r>
        <w:t xml:space="preserve">“</w:t>
      </w:r>
      <w:r>
        <w:t xml:space="preserve">the very incarnation of liberal economic philosophy and laissez-faire capitalism</w:t>
      </w:r>
      <w:r>
        <w:t xml:space="preserve">”</w:t>
      </w:r>
      <w:r>
        <w:t xml:space="preserve"> </w:t>
      </w:r>
      <w:r>
        <w:t xml:space="preserve">(Albert 2009, 131)</w:t>
      </w:r>
      <w:r>
        <w:t xml:space="preserve">. The author recounts how, during a visit to Switzerland, he learned to his surprise that the Swiss insurance and financial systems were highly regulated. His personal confrontation to the Swiss model made him realize that he was</w:t>
      </w:r>
      <w:r>
        <w:t xml:space="preserve"> </w:t>
      </w:r>
      <w:r>
        <w:t xml:space="preserve">“</w:t>
      </w:r>
      <w:r>
        <w:t xml:space="preserve">discovering a new form of capitalism in which the price tag, the material aspect of a product, was secondary to the service being offered, in other words, the whole web of non-material, subjective, even emotional factors woven into the product.</w:t>
      </w:r>
      <w:r>
        <w:t xml:space="preserve">”</w:t>
      </w:r>
      <w:r>
        <w:t xml:space="preserve"> </w:t>
      </w:r>
      <w:r>
        <w:t xml:space="preserve">(Albert 2009, 132)</w:t>
      </w:r>
      <w:r>
        <w:t xml:space="preserve">. This new form of capitalism, that he named the</w:t>
      </w:r>
      <w:r>
        <w:t xml:space="preserve"> </w:t>
      </w:r>
      <w:r>
        <w:rPr>
          <w:iCs/>
          <w:i/>
        </w:rPr>
        <w:t xml:space="preserve">Rhine model</w:t>
      </w:r>
      <w:r>
        <w:t xml:space="preserve"> </w:t>
      </w:r>
      <w:r>
        <w:t xml:space="preserve">or</w:t>
      </w:r>
      <w:r>
        <w:t xml:space="preserve"> </w:t>
      </w:r>
      <w:r>
        <w:rPr>
          <w:iCs/>
          <w:i/>
        </w:rPr>
        <w:t xml:space="preserve">Alpine capitalism</w:t>
      </w:r>
      <w:r>
        <w:t xml:space="preserve"> </w:t>
      </w:r>
      <w:r>
        <w:t xml:space="preserve">(which includes Germany, Switzerland, Austria or even Japan) represented an alternative system to the</w:t>
      </w:r>
      <w:r>
        <w:t xml:space="preserve"> </w:t>
      </w:r>
      <w:r>
        <w:rPr>
          <w:iCs/>
          <w:i/>
        </w:rPr>
        <w:t xml:space="preserve">neo-American</w:t>
      </w:r>
      <w:r>
        <w:t xml:space="preserve"> </w:t>
      </w:r>
      <w:r>
        <w:t xml:space="preserve">model. Unlike Hall and Soskice, who stressed that CMEs and LMEs produced similar economic performance and should diverge by following their own specific paths, Albert argued that, despite the economic and social superiority of the Rhine model, the latter ran the risk of gradual conversion to the neo-American model</w:t>
      </w:r>
      <w:r>
        <w:t xml:space="preserve"> </w:t>
      </w:r>
      <w:r>
        <w:t xml:space="preserve">(Albert 2009)</w:t>
      </w:r>
      <w:r>
        <w:t xml:space="preserve">.</w:t>
      </w:r>
    </w:p>
    <w:p>
      <w:pPr>
        <w:pStyle w:val="BodyText"/>
      </w:pPr>
      <w:r>
        <w:t xml:space="preserve">Despite the structural weakness of the Swiss federal state, the weakness of labor unions and the predominance of business interests, Switzerland’s economy indeed developed various non-market and non-competitive coordination mechanisms throughout the 20th century, which go even beyond the regulated insurance and financial systems which surprised Albert so much.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for example partially privatized after the creation of Swisscom in 1998</w:t>
      </w:r>
      <w:r>
        <w:t xml:space="preserve"> </w:t>
      </w:r>
      <w:r>
        <w:t xml:space="preserve">(Mach,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rPr>
          <w:iCs/>
          <w:i/>
        </w:rPr>
        <w:t xml:space="preserve">Institut Liberté</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5"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political leaning and for a set of political cleavages, with a special focus on income and educational levels. Then, the second part will present the results of a latent class analysis (LCA) of the Swiss socio-political groups in the late 90s.</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the neorealist approach is the fundamental diversity of social expectations coming from the heterogeneity of the social structure. This diversity leads to a wide variety of social interests which are in perpetual contradiction and discord. Societies are thus characterized by a fundamental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hence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political strategies aimed at gathering socio-political groups into social blocs, which are thus never strictly homogeneous</w:t>
      </w:r>
      <w:r>
        <w:t xml:space="preserve"> </w:t>
      </w:r>
      <w:r>
        <w:t xml:space="preserve">(Amable 2021)</w:t>
      </w:r>
      <w:r>
        <w:t xml:space="preserve">.</w:t>
      </w:r>
    </w:p>
    <w:p>
      <w:pPr>
        <w:pStyle w:val="BodyText"/>
      </w:pPr>
      <w:r>
        <w:t xml:space="preserve">Finally, social blocs compete in the political sphere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4"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Switzerland’s success and stability are often associated with the particularities of the country’s political institutions.</w:t>
      </w:r>
    </w:p>
    <w:p>
      <w:pPr>
        <w:pStyle w:val="BodyText"/>
      </w:pPr>
      <w:r>
        <w:t xml:space="preserve">For instance, in Lijphart’s famous patterns of democracy, Switzerland stands out as the best example of consensual democracy, which is characterized by a proportional and diffuse distribution of political power, as opposed to the majoritarian system which tends to concentrate political power in the hands of the majority</w:t>
      </w:r>
      <w:r>
        <w:rPr>
          <w:rStyle w:val="FootnoteReference"/>
        </w:rPr>
        <w:footnoteReference w:id="25"/>
      </w:r>
      <w:r>
        <w:t xml:space="preserve">. Lijphart explicitly argued that consensual democracies outperform majoritarian democracies in terms of governance, political stability and economic performance</w:t>
      </w:r>
      <w:r>
        <w:t xml:space="preserve"> </w:t>
      </w:r>
      <w:r>
        <w:t xml:space="preserve">(Lijphart 2012)</w:t>
      </w:r>
      <w:r>
        <w:t xml:space="preserve">. Further studies have nonetheless shown that the extreme Swiss case of consensual democracy is slightly becoming an average consensual democracy, due to growing political polarization (associated with the rise of the UDC), deregulation in industrial relations and diminishing cooperation between political actors</w:t>
      </w:r>
      <w:r>
        <w:t xml:space="preserve"> </w:t>
      </w:r>
      <w:r>
        <w:t xml:space="preserve">(Vatter 2008)</w:t>
      </w:r>
      <w:r>
        <w:t xml:space="preserve">.</w:t>
      </w:r>
    </w:p>
    <w:p>
      <w:pPr>
        <w:pStyle w:val="BodyText"/>
      </w:pPr>
      <w:r>
        <w:t xml:space="preserve">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9" w:name="fig-trust1"/>
          <w:p>
            <w:pPr>
              <w:jc w:val="center"/>
            </w:pPr>
            <w:r>
              <w:drawing>
                <wp:inline>
                  <wp:extent cx="4620126" cy="3696101"/>
                  <wp:effectExtent b="0" l="0" r="0" t="0"/>
                  <wp:docPr descr="" title="" id="27" name="Picture"/>
                  <a:graphic>
                    <a:graphicData uri="http://schemas.openxmlformats.org/drawingml/2006/picture">
                      <pic:pic>
                        <pic:nvPicPr>
                          <pic:cNvPr descr="intro_files/figure-docx/fig-trust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9"/>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country’s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intensified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w:t>
      </w:r>
      <w:r>
        <w:t xml:space="preserve"> </w:t>
      </w:r>
      <w:r>
        <w:t xml:space="preserve">(Hardmeier et al. 2022)</w:t>
      </w:r>
      <w:r>
        <w:t xml:space="preserve">. A similar figure as</w:t>
      </w:r>
      <w:r>
        <w:t xml:space="preserve"> </w:t>
      </w:r>
      <w:hyperlink w:anchor="fig-trust1">
        <w:r>
          <w:rPr>
            <w:rStyle w:val="Hyperlink"/>
          </w:rPr>
          <w:t xml:space="preserve">Figure 1.1</w:t>
        </w:r>
      </w:hyperlink>
      <w:r>
        <w:t xml:space="preserve"> </w:t>
      </w:r>
      <w:r>
        <w:t xml:space="preserve">can thus be made with a precise focus on Switzerland:</w:t>
      </w:r>
    </w:p>
    <w:tbl>
      <w:tblPr>
        <w:tblStyle w:val="Table"/>
        <w:tblW w:type="pct" w:w="5000"/>
        <w:tblLook w:firstRow="0" w:lastRow="0" w:firstColumn="0" w:lastColumn="0" w:noHBand="0" w:noVBand="0" w:val="0000"/>
        <w:jc w:val="start"/>
      </w:tblPr>
      <w:tblGrid>
        <w:gridCol w:w="7920"/>
      </w:tblGrid>
      <w:tr>
        <w:tc>
          <w:tcPr/>
          <w:bookmarkStart w:id="33" w:name="fig-trust2"/>
          <w:p>
            <w:pPr>
              <w:jc w:val="center"/>
            </w:pPr>
            <w:r>
              <w:drawing>
                <wp:inline>
                  <wp:extent cx="4620126" cy="3696101"/>
                  <wp:effectExtent b="0" l="0" r="0" t="0"/>
                  <wp:docPr descr="" title="" id="31" name="Picture"/>
                  <a:graphic>
                    <a:graphicData uri="http://schemas.openxmlformats.org/drawingml/2006/picture">
                      <pic:pic>
                        <pic:nvPicPr>
                          <pic:cNvPr descr="intro_files/figure-docx/fig-trust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 95% confidence intervals.</w:t>
            </w:r>
          </w:p>
          <w:bookmarkEnd w:id="33"/>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p>
    <w:p>
      <w:pPr>
        <w:pStyle w:val="BodyText"/>
      </w:pPr>
      <w:r>
        <w:t xml:space="preserve">Brunner and Sgier (1997)</w:t>
      </w:r>
      <w:r>
        <w:t xml:space="preserve"> </w:t>
      </w:r>
      <w:r>
        <w:t xml:space="preserve">show that Swiss citizens lost a great deal of confidence in the government, the national parliament and their members during the 90s. This loss of confidence was accompanied by a loss of attachment to the nation and to the Swiss sense of identity, and a growing attachment to local authorities and communal institutions.</w:t>
      </w:r>
      <w:r>
        <w:t xml:space="preserve"> </w:t>
      </w:r>
      <w:r>
        <w:t xml:space="preserve">Widmer and De Carlo (2010)</w:t>
      </w:r>
      <w:r>
        <w:t xml:space="preserve"> </w:t>
      </w:r>
      <w:r>
        <w:t xml:space="preserve">draw similar conclusions, but also showed that this period marked a turning-point in the evolution of trusting behaviors: due to cohort dynamics, trust in institutions declined while interpersonal trust rose in the three waves of</w:t>
      </w:r>
      <w:r>
        <w:t xml:space="preserve"> </w:t>
      </w:r>
      <w:r>
        <w:rPr>
          <w:iCs/>
          <w:i/>
        </w:rPr>
        <w:t xml:space="preserve">World Values Survey</w:t>
      </w:r>
      <w:r>
        <w:t xml:space="preserve"> </w:t>
      </w:r>
      <w:r>
        <w:t xml:space="preserve">analyzed by the authors (1989, 1996, 2007).</w:t>
      </w:r>
    </w:p>
    <w:p>
      <w:pPr>
        <w:pStyle w:val="BodyText"/>
      </w:pPr>
      <w:r>
        <w:t xml:space="preserve">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as a first step, identify what are the main Swiss social blocs and, secondly, assess their evolution in the last decades.</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Finally, the results from a latent class analysis using post-election survey data for 1999 are presented.</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post-election survey data. Last, this research is the first to conduct LCA using Swiss post-election survey data.</w:t>
      </w:r>
    </w:p>
    <w:bookmarkEnd w:id="34"/>
    <w:bookmarkEnd w:id="35"/>
    <w:bookmarkEnd w:id="36"/>
    <w:bookmarkStart w:id="85" w:name="X585b66a425bd895c50fee5cf4fd54c3b113ccf8"/>
    <w:p>
      <w:pPr>
        <w:pStyle w:val="Heading1"/>
      </w:pPr>
      <w:r>
        <w:t xml:space="preserve">2. Social blocs, socio-economic groups and political divides in Switzerland</w:t>
      </w:r>
    </w:p>
    <w:bookmarkStart w:id="40"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a neorealist perspective, this bourgeois bloc can truly be described as bourgeois.</w:t>
      </w:r>
    </w:p>
    <w:p>
      <w:pPr>
        <w:pStyle w:val="BodyText"/>
      </w:pPr>
      <w:r>
        <w:t xml:space="preserve">The history of the Swiss bourgeois bloc goes back to the creation of modern Switzerland. The religious cleavage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homogeneous, the Radical bloc was a kaleidoscopic mass-movement constituted by the working class through the Grütli Union</w:t>
      </w:r>
      <w:r>
        <w:rPr>
          <w:rStyle w:val="FootnoteReference"/>
        </w:rPr>
        <w:footnoteReference w:id="37"/>
      </w:r>
      <w:r>
        <w:t xml:space="preserve"> </w:t>
      </w:r>
      <w:r>
        <w:t xml:space="preserve">and by an elite gathering entrepreneurs, bankers, journalists, lawyers and teachers, who were nonetheless divided over the role of the Swiss state.</w:t>
      </w:r>
    </w:p>
    <w:p>
      <w:pPr>
        <w:pStyle w:val="BodyText"/>
      </w:pPr>
      <w:r>
        <w:t xml:space="preserve">The political and economic thought of the Radical movement can be difficult to grasp, as its members could substantially differ from one canton to another. Overall, this movement showed a clear intellectual affiliation to the liberal economic and political thought of the 18th and 19th centuries. James Fazy, one of Geneva’s leading 19th-century Radical politicians, was strongly influenced by the Physiocrates and Adam Smith. In 1821, the Genevan Radical published</w:t>
      </w:r>
      <w:r>
        <w:t xml:space="preserve"> </w:t>
      </w:r>
      <w:r>
        <w:rPr>
          <w:iCs/>
          <w:i/>
        </w:rPr>
        <w:t xml:space="preserve">L’homme aux portions</w:t>
      </w:r>
      <w:r>
        <w:t xml:space="preserve">, an essay denouncing the French economic system as too rigid and containing too many barriers to free trade. This book was praised by Jean-Baptiste Say, who considered Fazy to be an intellectual who fully belonged to the liberal school of thought of his time</w:t>
      </w:r>
      <w:r>
        <w:t xml:space="preserve"> </w:t>
      </w:r>
      <w:r>
        <w:t xml:space="preserve">(Mettral Dubois 2015, 55–56)</w:t>
      </w:r>
      <w:r>
        <w:t xml:space="preserve">.</w:t>
      </w:r>
    </w:p>
    <w:p>
      <w:pPr>
        <w:pStyle w:val="BodyText"/>
      </w:pPr>
      <w:r>
        <w:t xml:space="preserve">Parts of the Radicals, constituted by the Democrats, were partisans of a more centralized and interventionist state while another important branch, the liberal or</w:t>
      </w:r>
      <w:r>
        <w:t xml:space="preserve"> </w:t>
      </w:r>
      <w:r>
        <w:t xml:space="preserve">“</w:t>
      </w:r>
      <w:r>
        <w:t xml:space="preserve">manchesterian</w:t>
      </w:r>
      <w:r>
        <w:t xml:space="preserve">”</w:t>
      </w:r>
      <w:r>
        <w:t xml:space="preserve"> </w:t>
      </w:r>
      <w:r>
        <w:t xml:space="preserve">Radicals, were more federalist and in favor of laissez-faire. This divide between Democrats and Liberals was made explicit as early as 1852 over the issue of the nationalization of the Swiss railway industry. Supporters of a state-run railroad network, represented by for instance in Bern by Jakob Stämplfi</w:t>
      </w:r>
      <w:r>
        <w:rPr>
          <w:rStyle w:val="FootnoteReference"/>
        </w:rPr>
        <w:footnoteReference w:id="38"/>
      </w:r>
      <w:r>
        <w:t xml:space="preserve"> </w:t>
      </w:r>
      <w:r>
        <w:t xml:space="preserve">(1820-1879) and Johann Jakob Speiser (1813-1856), were opposed by liberal Radicals such as Alfred Escher (1819-1882) in Zurich,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as the contradictions between the policy expectation of the popular and bourgeois bases increased. Parts of the democrats and of the working class joined or even founded socialist organizations. When the Swiss Socialist party was founded in 1888, it was a former Radical, Albert Steck (1843-1899), who wrote the party’s first program, which provided for nationalizations and a transition to a planned and managed economy. Nevertheless, the former Radical Democrats reconverted into socialism such as Steck or Johan Jakob Treichler (1822-1906) were more influenced by anarchist and utopian socialist thinkers than by Marxism. Steck explictly rejected the notion of class struggle and Marx’s theory of value. Marxism made nonetheless its way into the Swiss Socialist Party in the early 1900s, as seen by the second programm of 1904 written by Otto Lange (1863-1936), who rewrote the program along more orthodox Marxist lines. This second programm marked a relative decline of the anarchists and cooperative ideas and the advent of Marxism in the Swiss Socialist Party, until the latter abandoned Marxism in the post-war period</w:t>
      </w:r>
      <w:r>
        <w:t xml:space="preserve"> </w:t>
      </w:r>
      <w:r>
        <w:t xml:space="preserve">(Meuwly 2010, 118–19)</w:t>
      </w:r>
      <w:r>
        <w:t xml:space="preserve">.</w:t>
      </w:r>
    </w:p>
    <w:p>
      <w:pPr>
        <w:pStyle w:val="BodyText"/>
      </w:pPr>
      <w:r>
        <w:t xml:space="preserve">The creation of the Swiss Socialist Party prompted the Radicals to set up their own party, which was created in 1894 under the name of the Radical-Democratic party (PRD). This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of class conflict around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Catholic-Conservatives, who meanwhile became the Christian-Democrats, and the Socialists became important political actors in the National Council. The Socialist Party (PS) consolidated a left bloc while the Radical-Democrats (PRD), the Christian-Democrats (PDC) and the Agrarians formed an alliance against the left.</w:t>
      </w:r>
    </w:p>
    <w:p>
      <w:pPr>
        <w:pStyle w:val="BodyText"/>
      </w:pPr>
      <w:r>
        <w:t xml:space="preserve">This coalition between the PRD, PDC and Agrarians and its close links with business associations such as the Vorort (1870) led many observers to name this dominant coalition the</w:t>
      </w:r>
      <w:r>
        <w:t xml:space="preserve"> </w:t>
      </w:r>
      <w:r>
        <w:t xml:space="preserve">“</w:t>
      </w:r>
      <w:r>
        <w:t xml:space="preserve">bourgeois bloc</w:t>
      </w:r>
      <w:r>
        <w:t xml:space="preserve">”</w:t>
      </w:r>
      <w:r>
        <w:t xml:space="preserve"> </w:t>
      </w:r>
      <w:r>
        <w:t xml:space="preserve">(Mach 2007)</w:t>
      </w:r>
      <w:r>
        <w:t xml:space="preserve">. The dominance of this bourgeois bloc is a fundamental feature of the Swiss hybrid model, along with the constrained policy capacity of the state and the tradition of self-regulation by economic actors and associations</w:t>
      </w:r>
      <w:r>
        <w:t xml:space="preserve"> </w:t>
      </w:r>
      <w:r>
        <w:t xml:space="preserve">(Trampusch and Mach 2011, 43)</w:t>
      </w:r>
      <w:r>
        <w:t xml:space="preserve">.</w:t>
      </w:r>
    </w:p>
    <w:p>
      <w:pPr>
        <w:pStyle w:val="BodyText"/>
      </w:pPr>
      <w:r>
        <w:t xml:space="preserve">However, the extent to which this dominant bloc can truly be described as bourgeois must be questioned, in addition to the fact that there is no precise definition given in the literature. In the sense given by the latter</w:t>
      </w:r>
      <w:r>
        <w:t xml:space="preserve"> </w:t>
      </w:r>
      <w:r>
        <w:t xml:space="preserve">(Meuwly 2008; Mach 2007; Trampusch and Mach 2011)</w:t>
      </w:r>
      <w:r>
        <w:t xml:space="preserve">, the bourgeois bloc refers to a political coalition between the Radical-Democrats, the Christian-Democrats and the Agrarians (now UDC) and its close ties with business interest associations of both the export-oriented industries and domestic-oriented sheltered sectors.</w:t>
      </w:r>
    </w:p>
    <w:p>
      <w:pPr>
        <w:pStyle w:val="BodyText"/>
      </w:pPr>
      <w:r>
        <w:t xml:space="preserve">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In the sense given by Amable and Palombarini</w:t>
      </w:r>
      <w:r>
        <w:t xml:space="preserve"> </w:t>
      </w:r>
      <w:r>
        <w:t xml:space="preserve">(Amable and Palombarini 2018)</w:t>
      </w:r>
      <w:r>
        <w:t xml:space="preserve">,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bloc. Parts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term bourgeois is not valid for the Right bloc as a whole. The social basis of the Liberal-Radical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To sum up, Switzerland’s traditional social blocs crystallized into an opposition between two blocs, which is summarized in</w:t>
      </w:r>
      <w:r>
        <w:t xml:space="preserve"> </w:t>
      </w:r>
      <w:hyperlink w:anchor="tbl-socialblocs1">
        <w:r>
          <w:rPr>
            <w:rStyle w:val="Hyperlink"/>
          </w:rPr>
          <w:t xml:space="preserve">Table 2.1</w:t>
        </w:r>
      </w:hyperlink>
      <w:r>
        <w:t xml:space="preserve">. On the one hand, the dominant social bloc, which can be called Liberal-Conservative, gathered the large employers and owners of the big industrialized and internationalized firms, medium and small business owners and farmers, and skilled workers from the private sector. At the political level, this socio-political group was represented by business interest associations such as the</w:t>
      </w:r>
      <w:r>
        <w:t xml:space="preserve"> </w:t>
      </w:r>
      <w:r>
        <w:rPr>
          <w:iCs/>
          <w:i/>
        </w:rPr>
        <w:t xml:space="preserve">Vorort</w:t>
      </w:r>
      <w:r>
        <w:t xml:space="preserve"> </w:t>
      </w:r>
      <w:r>
        <w:t xml:space="preserve">(now</w:t>
      </w:r>
      <w:r>
        <w:t xml:space="preserve"> </w:t>
      </w:r>
      <w:r>
        <w:rPr>
          <w:iCs/>
          <w:i/>
        </w:rPr>
        <w:t xml:space="preserve">EconomieSuisse</w:t>
      </w:r>
      <w:r>
        <w:t xml:space="preserve">), and the Radical-Democratic party.</w:t>
      </w:r>
    </w:p>
    <w:p>
      <w:pPr>
        <w:pStyle w:val="BodyText"/>
      </w:pPr>
      <w:r>
        <w:t xml:space="preserve">The program of the Radical-Democratic and policy demands from the business interests associations linked to the large industrialized firms and large employees were to maintain low social protection, low taxation, no barriers to external trade and to promote free trade at the international level.</w:t>
      </w:r>
    </w:p>
    <w:p>
      <w:pPr>
        <w:pStyle w:val="BodyText"/>
      </w:pPr>
      <w:r>
        <w:t xml:space="preserve">Alongside this group were the medium and small business owners producing essentially for the national market, and skilled workers (managers) from the private sector. The policy demands from the medium and small firms differed substantially from those of the large companies in terms of the degree of protection from international competition and public subsidies. Unlike the big corporations, small firms felt more threatened by external competition, and, since they produced mainly for the internal and rather small Swiss market, they tended to ask for protection and public subsidies.</w:t>
      </w:r>
    </w:p>
    <w:bookmarkStart w:id="39" w:name="tbl-socialblocs1"/>
    <w:p>
      <w:pPr>
        <w:pStyle w:val="TableCaption"/>
      </w:pPr>
      <w:r>
        <w:t xml:space="preserve">Table 2.1: Social blocs in Switzerland during the 70s and 80s. Classification based on Rennwald (2014), Tawfiq (2019).</w:t>
      </w:r>
    </w:p>
    <w:tbl>
      <w:tblPr>
        <w:tblStyle w:val="Table"/>
        <w:tblW w:type="pct" w:w="4965"/>
        <w:tblLook w:firstRow="1" w:lastRow="0" w:firstColumn="0" w:lastColumn="0" w:noHBand="0" w:noVBand="0" w:val="0020"/>
        <w:jc w:val="start"/>
        <w:tblCaption w:val="Table 2.1: Social blocs in Switzerland during the 70s and 80s. Classification based on Rennwald (2014), Tawfiq (2019)."/>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01"/>
              </w:numPr>
              <w:pStyle w:val="Compact"/>
              <w:jc w:val="left"/>
            </w:pPr>
            <w:r>
              <w:t xml:space="preserve">Large industrial, competitive and export-oriented firms</w:t>
            </w:r>
          </w:p>
        </w:tc>
        <w:tc>
          <w:tcPr/>
          <w:p>
            <w:pPr>
              <w:numPr>
                <w:ilvl w:val="0"/>
                <w:numId w:val="1002"/>
              </w:numPr>
              <w:jc w:val="left"/>
            </w:pPr>
            <w:r>
              <w:t xml:space="preserve">Low employment protection</w:t>
            </w:r>
          </w:p>
          <w:p>
            <w:pPr>
              <w:numPr>
                <w:ilvl w:val="0"/>
                <w:numId w:val="1002"/>
              </w:numPr>
              <w:jc w:val="left"/>
            </w:pPr>
            <w:r>
              <w:t xml:space="preserve">Limited redistribution</w:t>
            </w:r>
          </w:p>
          <w:p>
            <w:pPr>
              <w:numPr>
                <w:ilvl w:val="0"/>
                <w:numId w:val="1002"/>
              </w:numPr>
              <w:jc w:val="left"/>
            </w:pPr>
            <w:r>
              <w:t xml:space="preserve">Low tax level</w:t>
            </w:r>
          </w:p>
          <w:p>
            <w:pPr>
              <w:numPr>
                <w:ilvl w:val="0"/>
                <w:numId w:val="1002"/>
              </w:numPr>
              <w:jc w:val="left"/>
            </w:pPr>
            <w:r>
              <w:t xml:space="preserve">Free-trade</w:t>
            </w:r>
          </w:p>
        </w:tc>
      </w:tr>
      <w:tr>
        <w:tc>
          <w:tcPr/>
          <w:p>
            <w:pPr>
              <w:pStyle w:val="Compact"/>
            </w:pPr>
          </w:p>
        </w:tc>
        <w:tc>
          <w:tcPr/>
          <w:p>
            <w:pPr>
              <w:numPr>
                <w:ilvl w:val="0"/>
                <w:numId w:val="1003"/>
              </w:numPr>
              <w:pStyle w:val="Compact"/>
              <w:jc w:val="left"/>
            </w:pPr>
            <w:r>
              <w:t xml:space="preserve">Medium and small domestic-oriented firms, farmers</w:t>
            </w:r>
          </w:p>
        </w:tc>
        <w:tc>
          <w:tcPr/>
          <w:p>
            <w:pPr>
              <w:numPr>
                <w:ilvl w:val="0"/>
                <w:numId w:val="1004"/>
              </w:numPr>
              <w:jc w:val="left"/>
            </w:pPr>
            <w:r>
              <w:t xml:space="preserve">Low tax level</w:t>
            </w:r>
          </w:p>
          <w:p>
            <w:pPr>
              <w:numPr>
                <w:ilvl w:val="0"/>
                <w:numId w:val="1004"/>
              </w:numPr>
              <w:jc w:val="left"/>
            </w:pPr>
            <w:r>
              <w:t xml:space="preserve">Low employment protection</w:t>
            </w:r>
          </w:p>
          <w:p>
            <w:pPr>
              <w:numPr>
                <w:ilvl w:val="0"/>
                <w:numId w:val="1004"/>
              </w:numPr>
              <w:jc w:val="left"/>
            </w:pPr>
            <w:r>
              <w:t xml:space="preserve">Public transfers (subsidies)</w:t>
            </w:r>
          </w:p>
          <w:p>
            <w:pPr>
              <w:numPr>
                <w:ilvl w:val="0"/>
                <w:numId w:val="1004"/>
              </w:numPr>
              <w:jc w:val="left"/>
            </w:pPr>
            <w:r>
              <w:t xml:space="preserve">Protection from international competition</w:t>
            </w:r>
          </w:p>
        </w:tc>
      </w:tr>
      <w:tr>
        <w:tc>
          <w:tcPr/>
          <w:p>
            <w:pPr>
              <w:pStyle w:val="Compact"/>
            </w:pPr>
          </w:p>
        </w:tc>
        <w:tc>
          <w:tcPr/>
          <w:p>
            <w:pPr>
              <w:numPr>
                <w:ilvl w:val="0"/>
                <w:numId w:val="1005"/>
              </w:numPr>
              <w:pStyle w:val="Compact"/>
              <w:jc w:val="left"/>
            </w:pPr>
            <w:r>
              <w:t xml:space="preserve">Skilled workers from the private sector</w:t>
            </w:r>
          </w:p>
        </w:tc>
        <w:tc>
          <w:tcPr/>
          <w:p>
            <w:pPr>
              <w:numPr>
                <w:ilvl w:val="0"/>
                <w:numId w:val="1006"/>
              </w:numPr>
              <w:pStyle w:val="Compact"/>
              <w:jc w:val="left"/>
            </w:pPr>
            <w:r>
              <w:t xml:space="preserve">Lower taxes</w:t>
            </w:r>
          </w:p>
        </w:tc>
      </w:tr>
      <w:tr>
        <w:tc>
          <w:tcPr/>
          <w:p>
            <w:pPr>
              <w:pStyle w:val="Compact"/>
              <w:jc w:val="left"/>
            </w:pPr>
            <w:r>
              <w:t xml:space="preserve">Left bloc</w:t>
            </w:r>
          </w:p>
        </w:tc>
        <w:tc>
          <w:tcPr/>
          <w:p>
            <w:pPr>
              <w:numPr>
                <w:ilvl w:val="0"/>
                <w:numId w:val="1007"/>
              </w:numPr>
              <w:pStyle w:val="Compact"/>
              <w:jc w:val="left"/>
            </w:pPr>
            <w:r>
              <w:t xml:space="preserve">Socio-cultural professionals, workers from the public sector</w:t>
            </w:r>
          </w:p>
        </w:tc>
        <w:tc>
          <w:tcPr/>
          <w:p>
            <w:pPr>
              <w:numPr>
                <w:ilvl w:val="0"/>
                <w:numId w:val="1008"/>
              </w:numPr>
              <w:jc w:val="left"/>
            </w:pPr>
            <w:r>
              <w:t xml:space="preserve">State intervention</w:t>
            </w:r>
          </w:p>
          <w:p>
            <w:pPr>
              <w:numPr>
                <w:ilvl w:val="0"/>
                <w:numId w:val="1008"/>
              </w:numPr>
              <w:jc w:val="left"/>
            </w:pPr>
            <w:r>
              <w:t xml:space="preserve">Increase in real wages</w:t>
            </w:r>
          </w:p>
          <w:p>
            <w:pPr>
              <w:numPr>
                <w:ilvl w:val="0"/>
                <w:numId w:val="1008"/>
              </w:numPr>
              <w:jc w:val="left"/>
            </w:pPr>
            <w:r>
              <w:t xml:space="preserve">Expansionary macroeconomic policy</w:t>
            </w:r>
          </w:p>
        </w:tc>
      </w:tr>
      <w:tr>
        <w:tc>
          <w:tcPr/>
          <w:p>
            <w:pPr>
              <w:pStyle w:val="Compact"/>
            </w:pPr>
          </w:p>
        </w:tc>
        <w:tc>
          <w:tcPr/>
          <w:p>
            <w:pPr>
              <w:numPr>
                <w:ilvl w:val="0"/>
                <w:numId w:val="1009"/>
              </w:numPr>
              <w:pStyle w:val="Compact"/>
              <w:jc w:val="left"/>
            </w:pPr>
            <w:r>
              <w:t xml:space="preserve">Production workers from the private sector</w:t>
            </w:r>
          </w:p>
        </w:tc>
        <w:tc>
          <w:tcPr/>
          <w:p>
            <w:pPr>
              <w:numPr>
                <w:ilvl w:val="0"/>
                <w:numId w:val="1010"/>
              </w:numPr>
              <w:jc w:val="left"/>
            </w:pPr>
            <w:r>
              <w:t xml:space="preserve">Increase in real wage</w:t>
            </w:r>
          </w:p>
          <w:p>
            <w:pPr>
              <w:numPr>
                <w:ilvl w:val="0"/>
                <w:numId w:val="1010"/>
              </w:numPr>
              <w:jc w:val="left"/>
            </w:pPr>
            <w:r>
              <w:t xml:space="preserve">Social and employment protection</w:t>
            </w:r>
          </w:p>
          <w:p>
            <w:pPr>
              <w:numPr>
                <w:ilvl w:val="0"/>
                <w:numId w:val="1010"/>
              </w:numPr>
              <w:jc w:val="left"/>
            </w:pPr>
            <w:r>
              <w:t xml:space="preserve">Protection from external competition</w:t>
            </w:r>
          </w:p>
        </w:tc>
      </w:tr>
    </w:tbl>
    <w:bookmarkEnd w:id="39"/>
    <w:p>
      <w:pPr>
        <w:pStyle w:val="FirstParagraph"/>
      </w:pPr>
      <w:r>
        <w:t xml:space="preserve">On the other hand, the main social bloc excluded from the DSB was the Left bloc, constituted by socio-cultural professionals, workers from the public sector, and production workers from the private sector. These groups were mediated by the Swiss Socialist party, which was incorporated into the government during the Post-war period, but never really managed to dominate the parliament and government.</w:t>
      </w:r>
    </w:p>
    <w:p>
      <w:pPr>
        <w:pStyle w:val="BodyText"/>
      </w:pPr>
      <w:r>
        <w:t xml:space="preserve">In its early days, the Swiss Socialist party had strong communist stances. Its second program (1904) had strong Marxist and anti-capitalist inspirations: it advocated nationalizations, collectivization, economic planning as ways out of capitalism. In the post-war period, the party moderated its program and became more a social-democratic reformist party. The main policy demands of the revised program of 1959 were focused on social reforms and expansionary policies within the capitalist framework: extending social protection; promote economic growth and anti-cyclical Keynesian macroeconomic policies and ensure full employment</w:t>
      </w:r>
      <w:r>
        <w:t xml:space="preserve"> </w:t>
      </w:r>
      <w:r>
        <w:t xml:space="preserve">(Degen 2022)</w:t>
      </w:r>
      <w:r>
        <w:t xml:space="preserve">.</w:t>
      </w:r>
    </w:p>
    <w:bookmarkEnd w:id="40"/>
    <w:bookmarkStart w:id="65" w:name="Xac48953cc1344d3e906a1574380eb4db4208561"/>
    <w:p>
      <w:pPr>
        <w:pStyle w:val="Heading2"/>
      </w:pPr>
      <w:r>
        <w:t xml:space="preserve">2.2 Swiss social blocs and socio-economic factors: 1980-2016</w:t>
      </w:r>
    </w:p>
    <w:p>
      <w:pPr>
        <w:pStyle w:val="FirstParagraph"/>
      </w:pPr>
      <w:r>
        <w:t xml:space="preserve">How have the social bases of the Liberal-Conservative and Left blocs evolved since the 70s? How are the support for the main Swiss social blocs influenced by socio-economic characteristics? The objective of this section is to explore the composition of the Swiss social blocs in terms of socio-economic characteristics and assess their evolution since the post-war period.</w:t>
      </w:r>
    </w:p>
    <w:p>
      <w:pPr>
        <w:pStyle w:val="BodyText"/>
      </w:pPr>
      <w:r>
        <w:t xml:space="preserve">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federal election of 2023 marked the end of the</w:t>
      </w:r>
      <w:r>
        <w:t xml:space="preserve"> </w:t>
      </w:r>
      <w:r>
        <w:t xml:space="preserve">“</w:t>
      </w:r>
      <w:r>
        <w:t xml:space="preserve">green wave</w:t>
      </w:r>
      <w:r>
        <w:t xml:space="preserve">”</w:t>
      </w:r>
      <w:r>
        <w:t xml:space="preserve"> </w:t>
      </w:r>
      <w:r>
        <w:t xml:space="preserve">and a sharp decline green parties.</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p>
    <w:p>
      <w:pPr>
        <w:pStyle w:val="BodyText"/>
      </w:pPr>
      <w:r>
        <w:t xml:space="preserve">Inglehart notably argued that strong economic growth and increase in standard-of-living experienced by advanced capitalist countries in the post-war period made the latter’s populations less likely to hold</w:t>
      </w:r>
      <w:r>
        <w:t xml:space="preserve"> </w:t>
      </w:r>
      <w:r>
        <w:t xml:space="preserve">“</w:t>
      </w:r>
      <w:r>
        <w:t xml:space="preserve">materialist</w:t>
      </w:r>
      <w:r>
        <w:t xml:space="preserve">”</w:t>
      </w:r>
      <w:r>
        <w:t xml:space="preserve"> </w:t>
      </w:r>
      <w:r>
        <w:t xml:space="preserve">values, as better living conditions shifted their preoccupations and values towards what the author famously called</w:t>
      </w:r>
      <w:r>
        <w:t xml:space="preserve"> </w:t>
      </w:r>
      <w:r>
        <w:t xml:space="preserve">“</w:t>
      </w:r>
      <w:r>
        <w:t xml:space="preserve">post-materialism</w:t>
      </w:r>
      <w:r>
        <w:t xml:space="preserve">”</w:t>
      </w:r>
      <w:r>
        <w:t xml:space="preserve"> </w:t>
      </w:r>
      <w:r>
        <w:t xml:space="preserve">(R. Inglehart 1971, 1990; R. Inglehart and Flanagan 1987)</w:t>
      </w:r>
      <w:r>
        <w:t xml:space="preserve">. Kitschelt then claimed that</w:t>
      </w:r>
      <w:r>
        <w:t xml:space="preserve"> </w:t>
      </w:r>
      <w:r>
        <w:t xml:space="preserve">“</w:t>
      </w:r>
      <w:r>
        <w:t xml:space="preserve">increasing affluence, greater educational accomplishments, changes in the sectoral composition of labor markets, and again the welfare state</w:t>
      </w:r>
      <w:r>
        <w:t xml:space="preserve">”</w:t>
      </w:r>
      <w:r>
        <w:t xml:space="preserve"> </w:t>
      </w:r>
      <w:r>
        <w:t xml:space="preserve">(Kitschelt 1994, 21)</w:t>
      </w:r>
      <w:r>
        <w:t xml:space="preserve"> </w:t>
      </w:r>
      <w:r>
        <w:t xml:space="preserve">influence citizens’ preferences on a new cleavage axis relatively independent from the economic (in Kitschelt’s terms</w:t>
      </w:r>
      <w:r>
        <w:t xml:space="preserve"> </w:t>
      </w:r>
      <w:r>
        <w:t xml:space="preserve">“</w:t>
      </w:r>
      <w:r>
        <w:t xml:space="preserve">distributive</w:t>
      </w:r>
      <w:r>
        <w:t xml:space="preserve">”</w:t>
      </w:r>
      <w:r>
        <w:t xml:space="preserve">) divide: the</w:t>
      </w:r>
      <w:r>
        <w:t xml:space="preserve"> </w:t>
      </w:r>
      <w:r>
        <w:t xml:space="preserve">“</w:t>
      </w:r>
      <w:r>
        <w:t xml:space="preserve">libertarian-authoritarian</w:t>
      </w:r>
      <w:r>
        <w:t xml:space="preserve">”</w:t>
      </w:r>
      <w:r>
        <w:t xml:space="preserve"> </w:t>
      </w:r>
      <w:r>
        <w:t xml:space="preserve">cleavage. Preferences on this new cleavage, Kitschelt hold, are shaped by an interdependence between market and organizational experiences, or</w:t>
      </w:r>
      <w:r>
        <w:t xml:space="preserve"> </w:t>
      </w:r>
      <w:r>
        <w:t xml:space="preserve">“</w:t>
      </w:r>
      <w:r>
        <w:t xml:space="preserve">job situations</w:t>
      </w:r>
      <w:r>
        <w:t xml:space="preserve">”</w:t>
      </w:r>
      <w:r>
        <w:t xml:space="preserve">. For instance, less skilled employees in</w:t>
      </w:r>
      <w:r>
        <w:t xml:space="preserve"> </w:t>
      </w:r>
      <w:r>
        <w:t xml:space="preserve">“</w:t>
      </w:r>
      <w:r>
        <w:t xml:space="preserve">object-processing job situations</w:t>
      </w:r>
      <w:r>
        <w:t xml:space="preserve">”</w:t>
      </w:r>
      <w:r>
        <w:t xml:space="preserve"> </w:t>
      </w:r>
      <w:r>
        <w:t xml:space="preserve">are more likely to hold authoritarian values whereas:</w:t>
      </w:r>
      <w:r>
        <w:t xml:space="preserve"> </w:t>
      </w:r>
      <w:r>
        <w:t xml:space="preserve">“</w:t>
      </w:r>
      <w:r>
        <w:t xml:space="preserve">individuals in people-processing occupations with higher education tend to be more libertarian</w:t>
      </w:r>
      <w:r>
        <w:t xml:space="preserve">”</w:t>
      </w:r>
      <w:r>
        <w:t xml:space="preserve"> </w:t>
      </w:r>
      <w:r>
        <w:t xml:space="preserve">(Kitschelt 1994, 25)</w:t>
      </w:r>
      <w:r>
        <w:t xml:space="preserve">.</w:t>
      </w:r>
    </w:p>
    <w:p>
      <w:pPr>
        <w:pStyle w:val="BodyText"/>
      </w:pPr>
      <w:r>
        <w:t xml:space="preserve">A certain branch of the literature on political cleavages suggested that this cultural divide is not new, and that political space has always been reducible to two dimensions. Rather, it is the meaning of the cultural divide that transforms over time</w:t>
      </w:r>
      <w:r>
        <w:t xml:space="preserve"> </w:t>
      </w:r>
      <w:r>
        <w:t xml:space="preserve">Kriesi et al. (2006)</w:t>
      </w:r>
      <w:r>
        <w:t xml:space="preserve">. In fact, the idea of a cultural cleavage goes back at least to</w:t>
      </w:r>
      <w:r>
        <w:t xml:space="preserve"> </w:t>
      </w:r>
      <w:r>
        <w:t xml:space="preserve">Lipset and Rokkan (1967)</w:t>
      </w:r>
      <w:r>
        <w:t xml:space="preserve">‘</w:t>
      </w:r>
      <w:r>
        <w:t xml:space="preserve">s seminal work on the origins of political divides in Western societies.</w:t>
      </w:r>
      <w:r>
        <w:t xml:space="preserve"> </w:t>
      </w:r>
      <w:r>
        <w:t xml:space="preserve">Lipset and Rokkan (1967)</w:t>
      </w:r>
      <w:r>
        <w:t xml:space="preserve"> </w:t>
      </w:r>
      <w:r>
        <w:t xml:space="preserve">notably argued that the national revolution (beginning with the French revolution) gave birth to two cleavages centered around cultural values: the conflict between the nation-state builders and the church, and the conflict between the promoters of the central state’s culture and the culture of the peripheral regions</w:t>
      </w:r>
      <w:r>
        <w:t xml:space="preserve">’</w:t>
      </w:r>
      <w:r>
        <w:t xml:space="preserve"> </w:t>
      </w:r>
      <w:r>
        <w:t xml:space="preserve">inhabitants. The industrial revolution, on the other hand, gave birth to two economic cleavages: a class conflict between capitalists and workers, and another class conflict between the urban and rural elites (or between the primary and secondary sector). The cultural divide therefore originally took the form of a religious conflict, which could totally or partially coincide with a center-periphery cleavage</w:t>
      </w:r>
      <w:r>
        <w:t xml:space="preserve"> </w:t>
      </w:r>
      <w:r>
        <w:t xml:space="preserve">(Lipset and Rokkan 1967)</w:t>
      </w:r>
      <w:r>
        <w:t xml:space="preserve">.</w:t>
      </w:r>
    </w:p>
    <w:p>
      <w:pPr>
        <w:pStyle w:val="BodyText"/>
      </w:pPr>
      <w:r>
        <w:t xml:space="preserve">Kriesi et al. (2008)</w:t>
      </w:r>
      <w:r>
        <w:t xml:space="preserve"> </w:t>
      </w:r>
      <w:r>
        <w:t xml:space="preserve">have emphasized the impact of globalization on the transformation of the cleavages’ meanings. The threefold aspects of globalization, increasing international competition between economic actors; increasing migration; and integration to supra-national organizations, led to the emergence of a</w:t>
      </w:r>
      <w:r>
        <w:t xml:space="preserve"> </w:t>
      </w:r>
      <w:r>
        <w:t xml:space="preserve">“</w:t>
      </w:r>
      <w:r>
        <w:t xml:space="preserve">integration-demarcation</w:t>
      </w:r>
      <w:r>
        <w:t xml:space="preserve">”</w:t>
      </w:r>
      <w:r>
        <w:t xml:space="preserve"> </w:t>
      </w:r>
      <w:r>
        <w:t xml:space="preserve">divide between the</w:t>
      </w:r>
      <w:r>
        <w:t xml:space="preserve"> </w:t>
      </w:r>
      <w:r>
        <w:t xml:space="preserve">“</w:t>
      </w:r>
      <w:r>
        <w:t xml:space="preserve">winners</w:t>
      </w:r>
      <w:r>
        <w:t xml:space="preserve">”</w:t>
      </w:r>
      <w:r>
        <w:t xml:space="preserve"> </w:t>
      </w:r>
      <w:r>
        <w:t xml:space="preserve">of globalization, who are likely to include</w:t>
      </w:r>
      <w:r>
        <w:t xml:space="preserve"> </w:t>
      </w:r>
      <w:r>
        <w:t xml:space="preserve">“</w:t>
      </w:r>
      <w:r>
        <w:t xml:space="preserve">entrepreneurs and qualified employees in sectors open to international competition, as well as all cosmopolitan citizens</w:t>
      </w:r>
      <w:r>
        <w:t xml:space="preserve">”</w:t>
      </w:r>
      <w:r>
        <w:t xml:space="preserve"> </w:t>
      </w:r>
      <w:r>
        <w:t xml:space="preserve">and the</w:t>
      </w:r>
      <w:r>
        <w:t xml:space="preserve"> </w:t>
      </w:r>
      <w:r>
        <w:t xml:space="preserve">“</w:t>
      </w:r>
      <w:r>
        <w:t xml:space="preserve">losers</w:t>
      </w:r>
      <w:r>
        <w:t xml:space="preserve">”</w:t>
      </w:r>
      <w:r>
        <w:t xml:space="preserve"> </w:t>
      </w:r>
      <w:r>
        <w:t xml:space="preserve">of globalization which include</w:t>
      </w:r>
      <w:r>
        <w:t xml:space="preserve"> </w:t>
      </w:r>
      <w:r>
        <w:t xml:space="preserve">“</w:t>
      </w:r>
      <w:r>
        <w:t xml:space="preserve">entrepreneurs and qualified employees in traditionally protected sectors, all unqualified employees, and citizens who strongly identify themselves with their national community</w:t>
      </w:r>
      <w:r>
        <w:t xml:space="preserve">”</w:t>
      </w:r>
      <w:r>
        <w:t xml:space="preserve"> </w:t>
      </w:r>
      <w:r>
        <w:t xml:space="preserve">(Kriesi et al. 2008, 8)</w:t>
      </w:r>
      <w:r>
        <w:t xml:space="preserve">. Exploring the socio-economic determinants behind this globalization divide,</w:t>
      </w:r>
      <w:r>
        <w:t xml:space="preserve"> </w:t>
      </w:r>
      <w:r>
        <w:t xml:space="preserve">Teney, Lacewell, and Wilde (2014)</w:t>
      </w:r>
      <w:r>
        <w:t xml:space="preserve"> </w:t>
      </w:r>
      <w:r>
        <w:t xml:space="preserve">showed that opponents of globalization are more likely to be unemployed, less educated and more attached to national identity. Other scholars have labelled this cleavage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Going back to Piketty’s framework, 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a relatively minor role in Switzerland. In Switzerland, class conflict was always cut across a wide variety of other divides, the most important one being the religious cleavage</w:t>
      </w:r>
      <w:r>
        <w:t xml:space="preserve"> </w:t>
      </w:r>
      <w:r>
        <w:t xml:space="preserve">(Lijphart 1979)</w:t>
      </w:r>
      <w:r>
        <w:t xml:space="preserve">.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 Following Inglehart Silent Revolution’s argument and empirical estimations, Switzerland shows relatively high level of post-materialism due to its high level of economic development</w:t>
      </w:r>
      <w:r>
        <w:t xml:space="preserve"> </w:t>
      </w:r>
      <w:r>
        <w:t xml:space="preserve">(R. F. Inglehart 2009)</w:t>
      </w:r>
      <w:r>
        <w:t xml:space="preserve">.</w:t>
      </w:r>
    </w:p>
    <w:p>
      <w:pPr>
        <w:pStyle w:val="BodyText"/>
      </w:pPr>
      <w:r>
        <w:t xml:space="preserve">As a team part of the WPID project puts it, Switzerland is the country where</w:t>
      </w:r>
      <w:r>
        <w:t xml:space="preserve"> </w:t>
      </w:r>
      <w:r>
        <w:t xml:space="preserve">“</w:t>
      </w:r>
      <w:r>
        <w:t xml:space="preserve">the shift of the higher educated towards the left has been the most dramatic</w:t>
      </w:r>
      <w:r>
        <w:t xml:space="preserve">”</w:t>
      </w:r>
      <w:r>
        <w:t xml:space="preserve"> </w:t>
      </w:r>
      <w:r>
        <w:t xml:space="preserve">(Durrer de la Sota, Gethin, and Martinez-Toledano 2021, 4)</w:t>
      </w:r>
      <w:r>
        <w:t xml:space="preserve">.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41" w:name="tbl-socialblocs2"/>
    <w:p>
      <w:pPr>
        <w:pStyle w:val="TableCaption"/>
      </w:pPr>
      <w:r>
        <w:t xml:space="preserve">Table 2.2: The four possible social blocs based on a bi-dimensional political divide and income and education levels. This classification is based on</w:t>
      </w:r>
      <w:r>
        <w:t xml:space="preserve"> </w:t>
      </w:r>
      <w:r>
        <w:t xml:space="preserve">Durrer de la Sota, Gethin, and Martinez-Toledano (2021)</w:t>
      </w:r>
      <w:r>
        <w:t xml:space="preserve"> </w:t>
      </w:r>
      <w:r>
        <w:t xml:space="preserve">results (see their appendix). The term bourgeois bloc and this table were inspired by</w:t>
      </w:r>
      <w:r>
        <w:t xml:space="preserve"> </w:t>
      </w:r>
      <w:r>
        <w:t xml:space="preserve">Amable and Darcillon (2022a)</w:t>
      </w:r>
      <w:r>
        <w:t xml:space="preserve">.</w:t>
      </w:r>
    </w:p>
    <w:tbl>
      <w:tblPr>
        <w:tblStyle w:val="Table"/>
        <w:tblW w:type="pct" w:w="4965"/>
        <w:tblLook w:firstRow="1" w:lastRow="0" w:firstColumn="0" w:lastColumn="0" w:noHBand="0" w:noVBand="0" w:val="0020"/>
        <w:jc w:val="start"/>
        <w:tblCaption w:val="Table 2.2: The four possible social blocs based on a bi-dimensional political divide and income and education levels. This classification is based on Durrer de la Sota, Gethin, and Martinez-Toledano (2021) results (see their appendix). The term bourgeois bloc and this table were inspired by Amable and Darcillon (2022a)."/>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11"/>
              </w:numPr>
              <w:jc w:val="left"/>
            </w:pPr>
            <w:r>
              <w:t xml:space="preserve">PLR-PRD</w:t>
            </w:r>
          </w:p>
          <w:p>
            <w:pPr>
              <w:numPr>
                <w:ilvl w:val="0"/>
                <w:numId w:val="1011"/>
              </w:numPr>
              <w:jc w:val="left"/>
            </w:pPr>
            <w:r>
              <w:t xml:space="preserve">Greens since 2011-2019</w:t>
            </w:r>
          </w:p>
          <w:p>
            <w:pPr>
              <w:jc w:val="left"/>
            </w:pPr>
          </w:p>
          <w:p>
            <w:pPr>
              <w:jc w:val="left"/>
            </w:pPr>
            <w:r>
              <w:t xml:space="preserve">Policy preferences:</w:t>
            </w:r>
          </w:p>
          <w:p>
            <w:pPr>
              <w:jc w:val="left"/>
            </w:pPr>
          </w:p>
          <w:p>
            <w:pPr>
              <w:numPr>
                <w:ilvl w:val="0"/>
                <w:numId w:val="1012"/>
              </w:numPr>
              <w:jc w:val="left"/>
            </w:pPr>
            <w:r>
              <w:t xml:space="preserve">Against redistribution</w:t>
            </w:r>
          </w:p>
          <w:p>
            <w:pPr>
              <w:numPr>
                <w:ilvl w:val="0"/>
                <w:numId w:val="1012"/>
              </w:numPr>
              <w:jc w:val="left"/>
            </w:pPr>
            <w:r>
              <w:t xml:space="preserve">Against state intervention</w:t>
            </w:r>
          </w:p>
          <w:p>
            <w:pPr>
              <w:numPr>
                <w:ilvl w:val="0"/>
                <w:numId w:val="1012"/>
              </w:numPr>
              <w:jc w:val="left"/>
            </w:pPr>
            <w:r>
              <w:t xml:space="preserve">For equal rights &amp; chances CH-foreigners</w:t>
            </w:r>
          </w:p>
        </w:tc>
        <w:tc>
          <w:tcPr/>
          <w:p>
            <w:pPr>
              <w:jc w:val="left"/>
            </w:pPr>
            <w:r>
              <w:rPr>
                <w:bCs/>
                <w:b/>
              </w:rPr>
              <w:t xml:space="preserve">Brahmin</w:t>
            </w:r>
          </w:p>
          <w:p>
            <w:pPr>
              <w:jc w:val="left"/>
            </w:pPr>
          </w:p>
          <w:p>
            <w:pPr>
              <w:numPr>
                <w:ilvl w:val="0"/>
                <w:numId w:val="1013"/>
              </w:numPr>
              <w:pStyle w:val="Compact"/>
              <w:jc w:val="left"/>
            </w:pPr>
            <w:r>
              <w:t xml:space="preserve">PS since the 90s</w:t>
            </w:r>
          </w:p>
          <w:p>
            <w:pPr>
              <w:numPr>
                <w:ilvl w:val="0"/>
                <w:numId w:val="1014"/>
              </w:numPr>
              <w:pStyle w:val="Compact"/>
              <w:jc w:val="left"/>
            </w:pPr>
            <w:r>
              <w:t xml:space="preserve">Greens until 2011-2019</w:t>
            </w:r>
          </w:p>
          <w:p>
            <w:pPr>
              <w:jc w:val="left"/>
            </w:pPr>
            <w:r>
              <w:t xml:space="preserve">Policy preferences:</w:t>
            </w:r>
          </w:p>
          <w:p>
            <w:pPr>
              <w:numPr>
                <w:ilvl w:val="0"/>
                <w:numId w:val="1015"/>
              </w:numPr>
              <w:pStyle w:val="Compact"/>
              <w:jc w:val="left"/>
            </w:pPr>
            <w:r>
              <w:t xml:space="preserve">For redistribution</w:t>
            </w:r>
          </w:p>
          <w:p>
            <w:pPr>
              <w:numPr>
                <w:ilvl w:val="0"/>
                <w:numId w:val="1016"/>
              </w:numPr>
              <w:jc w:val="left"/>
            </w:pPr>
            <w:r>
              <w:t xml:space="preserve">For state intervention</w:t>
            </w:r>
          </w:p>
          <w:p>
            <w:pPr>
              <w:numPr>
                <w:ilvl w:val="0"/>
                <w:numId w:val="101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17"/>
              </w:numPr>
              <w:pStyle w:val="Compact"/>
              <w:jc w:val="left"/>
            </w:pPr>
            <w:r>
              <w:t xml:space="preserve">None</w:t>
            </w:r>
          </w:p>
          <w:p>
            <w:pPr>
              <w:jc w:val="left"/>
            </w:pPr>
          </w:p>
          <w:p>
            <w:pPr>
              <w:jc w:val="left"/>
            </w:pPr>
            <w:r>
              <w:t xml:space="preserve">Policy preferences:</w:t>
            </w:r>
          </w:p>
          <w:p>
            <w:pPr>
              <w:numPr>
                <w:ilvl w:val="0"/>
                <w:numId w:val="1018"/>
              </w:numPr>
              <w:jc w:val="left"/>
            </w:pPr>
            <w:r>
              <w:t xml:space="preserve">Against redistribution</w:t>
            </w:r>
          </w:p>
          <w:p>
            <w:pPr>
              <w:numPr>
                <w:ilvl w:val="0"/>
                <w:numId w:val="1018"/>
              </w:numPr>
              <w:jc w:val="left"/>
            </w:pPr>
            <w:r>
              <w:t xml:space="preserve">Against state intervention</w:t>
            </w:r>
          </w:p>
          <w:p>
            <w:pPr>
              <w:numPr>
                <w:ilvl w:val="0"/>
                <w:numId w:val="1018"/>
              </w:numPr>
              <w:jc w:val="left"/>
            </w:pPr>
            <w:r>
              <w:t xml:space="preserve">For more rights and better chances for the Swiss</w:t>
            </w:r>
          </w:p>
        </w:tc>
        <w:tc>
          <w:tcPr/>
          <w:p>
            <w:pPr>
              <w:jc w:val="left"/>
            </w:pPr>
            <w:r>
              <w:rPr>
                <w:bCs/>
                <w:b/>
              </w:rPr>
              <w:t xml:space="preserve">Popular groups</w:t>
            </w:r>
          </w:p>
          <w:p>
            <w:pPr>
              <w:jc w:val="left"/>
            </w:pPr>
          </w:p>
          <w:p>
            <w:pPr>
              <w:numPr>
                <w:ilvl w:val="0"/>
                <w:numId w:val="1019"/>
              </w:numPr>
              <w:jc w:val="left"/>
            </w:pPr>
            <w:r>
              <w:t xml:space="preserve">UDC</w:t>
            </w:r>
          </w:p>
          <w:p>
            <w:pPr>
              <w:numPr>
                <w:ilvl w:val="0"/>
                <w:numId w:val="1019"/>
              </w:numPr>
              <w:jc w:val="left"/>
            </w:pPr>
            <w:r>
              <w:t xml:space="preserve">Abstention</w:t>
            </w:r>
          </w:p>
          <w:p>
            <w:pPr>
              <w:numPr>
                <w:ilvl w:val="0"/>
                <w:numId w:val="1019"/>
              </w:numPr>
              <w:jc w:val="left"/>
            </w:pPr>
            <w:r>
              <w:t xml:space="preserve">PS until the 90s</w:t>
            </w:r>
          </w:p>
          <w:p>
            <w:pPr>
              <w:numPr>
                <w:ilvl w:val="0"/>
                <w:numId w:val="1019"/>
              </w:numPr>
              <w:jc w:val="left"/>
            </w:pPr>
            <w:r>
              <w:t xml:space="preserve">Christian parties until the 90s</w:t>
            </w:r>
          </w:p>
          <w:p>
            <w:pPr>
              <w:jc w:val="left"/>
            </w:pPr>
            <w:r>
              <w:t xml:space="preserve">Policy preferences:</w:t>
            </w:r>
          </w:p>
          <w:p>
            <w:pPr>
              <w:numPr>
                <w:ilvl w:val="0"/>
                <w:numId w:val="1020"/>
              </w:numPr>
              <w:jc w:val="left"/>
            </w:pPr>
            <w:r>
              <w:t xml:space="preserve">For redistribution</w:t>
            </w:r>
          </w:p>
          <w:p>
            <w:pPr>
              <w:numPr>
                <w:ilvl w:val="0"/>
                <w:numId w:val="1020"/>
              </w:numPr>
              <w:jc w:val="left"/>
            </w:pPr>
            <w:r>
              <w:t xml:space="preserve">For state intervention</w:t>
            </w:r>
          </w:p>
          <w:p>
            <w:pPr>
              <w:numPr>
                <w:ilvl w:val="0"/>
                <w:numId w:val="1020"/>
              </w:numPr>
              <w:jc w:val="left"/>
            </w:pPr>
            <w:r>
              <w:t xml:space="preserve">For more rights and better chances for the Swiss</w:t>
            </w:r>
          </w:p>
        </w:tc>
      </w:tr>
    </w:tbl>
    <w:bookmarkEnd w:id="41"/>
    <w:p>
      <w:pPr>
        <w:pStyle w:val="FirstParagraph"/>
      </w:pPr>
      <w:r>
        <w:t xml:space="preserve">The transformation of party systems into a mutli-elite and tripolar political space came with important change in the structural basis of party support.</w:t>
      </w:r>
      <w:r>
        <w:t xml:space="preserve"> </w:t>
      </w:r>
      <w:r>
        <w:t xml:space="preserve">Oesch and Rennwald (2010)</w:t>
      </w:r>
      <w:r>
        <w:t xml:space="preserve"> </w:t>
      </w:r>
      <w:r>
        <w:t xml:space="preserve">show that, in Switzerland, the cultural cleavage is rooted in the class structure, and caused a re-alignment between class and party support. Before this shift took place, the traditional left bloc politically represented by the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w:t>
      </w:r>
    </w:p>
    <w:p>
      <w:pPr>
        <w:pStyle w:val="BodyText"/>
      </w:pPr>
      <w:r>
        <w:t xml:space="preserve">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2015,</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21"/>
        </w:numPr>
      </w:pPr>
      <w:r>
        <w:rPr>
          <w:iCs/>
          <w:i/>
        </w:rPr>
        <w:t xml:space="preserve">Brahmin left versus merchant right hypotheses</w:t>
      </w:r>
    </w:p>
    <w:p>
      <w:pPr>
        <w:numPr>
          <w:ilvl w:val="1"/>
          <w:numId w:val="1022"/>
        </w:numPr>
        <w:pStyle w:val="Compact"/>
      </w:pPr>
      <w:r>
        <w:t xml:space="preserve">BvsM1. The support for the left and left-wing parties should be negatively associated with education and income levels in the first time periods. The negative association with education should then decrease and become positive over time.</w:t>
      </w:r>
    </w:p>
    <w:p>
      <w:pPr>
        <w:numPr>
          <w:ilvl w:val="1"/>
          <w:numId w:val="1022"/>
        </w:numPr>
        <w:pStyle w:val="Compact"/>
      </w:pPr>
      <w:r>
        <w:t xml:space="preserve">BvsM2. The support for the right and right-wing parties should be positively associated with education and income in the first time periods and the positive association with education should decrease over time.</w:t>
      </w:r>
    </w:p>
    <w:p>
      <w:pPr>
        <w:numPr>
          <w:ilvl w:val="0"/>
          <w:numId w:val="1021"/>
        </w:numPr>
      </w:pPr>
      <w:r>
        <w:rPr>
          <w:iCs/>
          <w:i/>
        </w:rPr>
        <w:t xml:space="preserve">Bourgeois bloc hypotheses</w:t>
      </w:r>
    </w:p>
    <w:p>
      <w:pPr>
        <w:numPr>
          <w:ilvl w:val="1"/>
          <w:numId w:val="1023"/>
        </w:numPr>
        <w:pStyle w:val="Compact"/>
      </w:pPr>
      <w:r>
        <w:t xml:space="preserve">BB1. The support for redistribution and state intervention should decrease with education and income. Support for equal rights between Swiss citizen and foreigners should increase with education and income.</w:t>
      </w:r>
    </w:p>
    <w:p>
      <w:pPr>
        <w:numPr>
          <w:ilvl w:val="1"/>
          <w:numId w:val="1023"/>
        </w:numPr>
        <w:pStyle w:val="Compact"/>
      </w:pPr>
      <w:r>
        <w:t xml:space="preserve">BB2. Support for right-wing parties and the right should increase with both income and education levels.</w:t>
      </w:r>
    </w:p>
    <w:bookmarkStart w:id="64"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level with 6 categories ranging from primary school to university. It is important here to underline the peculiarities of the Swiss education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5" w:name="fig-educ"/>
          <w:p>
            <w:pPr>
              <w:jc w:val="center"/>
            </w:pPr>
            <w:r>
              <w:drawing>
                <wp:inline>
                  <wp:extent cx="4620126" cy="3696101"/>
                  <wp:effectExtent b="0" l="0" r="0" t="0"/>
                  <wp:docPr descr="" title="" id="43" name="Picture"/>
                  <a:graphic>
                    <a:graphicData uri="http://schemas.openxmlformats.org/drawingml/2006/picture">
                      <pic:pic>
                        <pic:nvPicPr>
                          <pic:cNvPr descr="part1_files/figure-docx/fig-educ-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Education Levels in Switzerland: 1981-2016</w:t>
            </w:r>
          </w:p>
          <w:bookmarkEnd w:id="45"/>
        </w:tc>
      </w:tr>
    </w:tbl>
    <w:p>
      <w:pPr>
        <w:pStyle w:val="BodyText"/>
      </w:pPr>
      <w:hyperlink w:anchor="fig-educ">
        <w:r>
          <w:rPr>
            <w:rStyle w:val="Hyperlink"/>
          </w:rPr>
          <w:t xml:space="preserve">Figure 2.1</w:t>
        </w:r>
      </w:hyperlink>
      <w:r>
        <w:t xml:space="preserve"> </w:t>
      </w:r>
      <w:r>
        <w:t xml:space="preserve">shows the proportions of each level of education and their evolution over time. In the 1980s, most of the Swiss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is still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dependent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49" w:name="fig-inc"/>
          <w:p>
            <w:pPr>
              <w:jc w:val="center"/>
            </w:pPr>
            <w:r>
              <w:drawing>
                <wp:inline>
                  <wp:extent cx="4620126" cy="3696101"/>
                  <wp:effectExtent b="0" l="0" r="0" t="0"/>
                  <wp:docPr descr="" title="" id="47" name="Picture"/>
                  <a:graphic>
                    <a:graphicData uri="http://schemas.openxmlformats.org/drawingml/2006/picture">
                      <pic:pic>
                        <pic:nvPicPr>
                          <pic:cNvPr descr="part1_files/figure-docx/fig-inc-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Descriptive statistics: variable nivmena and revenu</w:t>
            </w:r>
          </w:p>
          <w:bookmarkEnd w:id="49"/>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50" w:name="eq-1"/>
      <m:oMathPara>
        <m:oMathParaPr>
          <m:jc m:val="center"/>
        </m:oMathParaPr>
        <m:oMath>
          <m:sSub>
            <m:e>
              <m:r>
                <m:t>Y</m:t>
              </m:r>
            </m:e>
            <m:sub>
              <m:r>
                <m:t>i</m:t>
              </m:r>
              <m:r>
                <m:t>t</m:t>
              </m:r>
            </m:sub>
          </m:sSub>
          <m:r>
            <m:rPr>
              <m:sty m:val="p"/>
            </m:rPr>
            <m:t>=</m:t>
          </m:r>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r>
            <m:rPr>
              <m:sty m:val="p"/>
            </m:rPr>
            <m:t>+</m:t>
          </m:r>
          <m:sSub>
            <m:e>
              <m:r>
                <m:t>ϵ</m:t>
              </m:r>
            </m:e>
            <m:sub>
              <m:r>
                <m:t>i</m:t>
              </m:r>
              <m:r>
                <m:t>t</m:t>
              </m:r>
            </m:sub>
          </m:sSub>
          <m:r>
            <m:t>  </m:t>
          </m:r>
          <m:d>
            <m:dPr>
              <m:begChr m:val="("/>
              <m:endChr m:val=")"/>
              <m:sepChr m:val=""/>
              <m:grow/>
            </m:dPr>
            <m:e>
              <m:r>
                <m:t>2.1</m:t>
              </m:r>
            </m:e>
          </m:d>
        </m:oMath>
      </m:oMathPara>
      <w:bookmarkEnd w:id="50"/>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or Italian), marital status and house ownership.</w:t>
      </w:r>
      <w:r>
        <w:t xml:space="preserve"> </w:t>
      </w:r>
      <m:oMath>
        <m:r>
          <m:t>Y</m:t>
        </m:r>
        <m:r>
          <m:t>e</m:t>
        </m:r>
        <m:r>
          <m:t>a</m:t>
        </m:r>
        <m:r>
          <m:t>r</m:t>
        </m:r>
      </m:oMath>
      <w:r>
        <w:t xml:space="preserve"> </w:t>
      </w:r>
      <w:r>
        <w:t xml:space="preserve">are dummy variables for the time periods and</w:t>
      </w:r>
      <w:r>
        <w:t xml:space="preserve"> </w:t>
      </w:r>
      <m:oMath>
        <m:sSub>
          <m:e>
            <m:r>
              <m:t>ϵ</m:t>
            </m:r>
          </m:e>
          <m:sub>
            <m:r>
              <m:t>i</m:t>
            </m:r>
            <m:r>
              <m:t>t</m:t>
            </m:r>
          </m:sub>
        </m:sSub>
      </m:oMath>
      <w:r>
        <w:t xml:space="preserve"> </w:t>
      </w:r>
      <w:r>
        <w:t xml:space="preserve">is the error term.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categories. The results are presented in the form of average marginal contrasts which allow to compare the difference in average predicted probabilities between groups of interests, in our case, between highest and lowest income groups and between university graduates and vocational training graduates.</w:t>
      </w:r>
    </w:p>
    <w:p>
      <w:pPr>
        <w:pStyle w:val="BodyText"/>
      </w:pPr>
      <w:r>
        <w:t xml:space="preserve">Before running the model presented above (</w:t>
      </w:r>
      <w:hyperlink w:anchor="eq-1">
        <w:r>
          <w:rPr>
            <w:rStyle w:val="Hyperlink"/>
          </w:rPr>
          <w:t xml:space="preserve">Equation 2.1</w:t>
        </w:r>
      </w:hyperlink>
      <w:r>
        <w:t xml:space="preserve">), simple linear models regressing the dependent variables on years were estimated as a descriptive way to evaluate the proportions’ overall time trends in the sample. The results (see the figures in the appendix) for party support show that Swiss citizen are most likely to not support any party, even though the proportion of no party support has declined over time. Among political parties, the Swiss Socialist party has the highest proportions of support, whereas The Radical-Democrats rank second until 2001, when the UDC becomes the second largest party in the sample. The difference between the estimated proportions for party support and actual party strength during the national elections suggests that UDC support is strongly underestimated in the sample (see</w:t>
      </w:r>
      <w:r>
        <w:t xml:space="preserve"> </w:t>
      </w:r>
      <w:hyperlink w:anchor="fig-partystrength">
        <w:r>
          <w:rPr>
            <w:rStyle w:val="Hyperlink"/>
          </w:rPr>
          <w:t xml:space="preserve">Figure 2.6</w:t>
        </w:r>
      </w:hyperlink>
      <w:r>
        <w:t xml:space="preserve"> </w:t>
      </w:r>
      <w:r>
        <w:t xml:space="preserve">and</w:t>
      </w:r>
      <w:r>
        <w:t xml:space="preserve"> </w:t>
      </w:r>
      <w:hyperlink w:anchor="fig-plotdescrparties">
        <w:r>
          <w:rPr>
            <w:rStyle w:val="Hyperlink"/>
          </w:rPr>
          <w:t xml:space="preserve">Figure 4.1</w:t>
        </w:r>
      </w:hyperlink>
      <w:r>
        <w:t xml:space="preserve"> </w:t>
      </w:r>
      <w:r>
        <w:t xml:space="preserve">in the appendix).</w:t>
      </w:r>
    </w:p>
    <w:p>
      <w:pPr>
        <w:pStyle w:val="BodyText"/>
      </w:pPr>
      <w:r>
        <w:t xml:space="preserve">Regarding political leaning, identification with neither the left nor the right increased until 2000 (50%) and then gradually declines 2016 (at around 30%). Left leaning has slightly increased over time while right leaning declined until 2000, and then increased until recovering in 2016 about the same percentage (slightly below 35%) as in 1988. As for issue positions, the percentage of Swiss citizen supporting income redistribution remains rather stable above 50%. The proportion regarding support for equal rights and chances for foreigners has overall increased above 50% since 1993, even though it fell below 50% from 2010 to 2014. Interestingly, the proportion for state intervention’s support has increased rather significantly since the 90s, but remains below 40% (see</w:t>
      </w:r>
      <w:r>
        <w:t xml:space="preserve"> </w:t>
      </w:r>
      <w:hyperlink w:anchor="fig-plotdescrleaning">
        <w:r>
          <w:rPr>
            <w:rStyle w:val="Hyperlink"/>
          </w:rPr>
          <w:t xml:space="preserve">Figure 4.2</w:t>
        </w:r>
      </w:hyperlink>
      <w:r>
        <w:t xml:space="preserve"> </w:t>
      </w:r>
      <w:r>
        <w:t xml:space="preserve">and</w:t>
      </w:r>
      <w:r>
        <w:t xml:space="preserve"> </w:t>
      </w:r>
      <w:hyperlink w:anchor="fig-plotdescrIP">
        <w:r>
          <w:rPr>
            <w:rStyle w:val="Hyperlink"/>
          </w:rPr>
          <w:t xml:space="preserve">Figure 4.3</w:t>
        </w:r>
      </w:hyperlink>
      <w:r>
        <w:t xml:space="preserve"> </w:t>
      </w:r>
      <w:r>
        <w:t xml:space="preserve">in the appendix).</w:t>
      </w:r>
    </w:p>
    <w:tbl>
      <w:tblPr>
        <w:tblStyle w:val="Table"/>
        <w:tblW w:type="pct" w:w="5000"/>
        <w:tblLook w:firstRow="0" w:lastRow="0" w:firstColumn="0" w:lastColumn="0" w:noHBand="0" w:noVBand="0" w:val="0000"/>
        <w:jc w:val="start"/>
      </w:tblPr>
      <w:tblGrid>
        <w:gridCol w:w="7920"/>
      </w:tblGrid>
      <w:tr>
        <w:tc>
          <w:tcPr/>
          <w:bookmarkStart w:id="54" w:name="fig-ameparties"/>
          <w:p>
            <w:pPr>
              <w:jc w:val="center"/>
            </w:pPr>
            <w:r>
              <w:drawing>
                <wp:inline>
                  <wp:extent cx="4620126" cy="5544151"/>
                  <wp:effectExtent b="0" l="0" r="0" t="0"/>
                  <wp:docPr descr="" title="" id="52" name="Picture"/>
                  <a:graphic>
                    <a:graphicData uri="http://schemas.openxmlformats.org/drawingml/2006/picture">
                      <pic:pic>
                        <pic:nvPicPr>
                          <pic:cNvPr descr="part1_files/figure-docx/fig-ameparties-1.png" id="53" name="Picture"/>
                          <pic:cNvPicPr>
                            <a:picLocks noChangeArrowheads="1" noChangeAspect="1"/>
                          </pic:cNvPicPr>
                        </pic:nvPicPr>
                        <pic:blipFill>
                          <a:blip r:embed="rId51"/>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support in Switzerland: 1981-2016. Average difference in predicted probabilities between the highest and lowest income groups and between university and vocational training graduates.</w:t>
            </w:r>
          </w:p>
          <w:bookmarkEnd w:id="54"/>
        </w:tc>
      </w:tr>
    </w:tbl>
    <w:p>
      <w:pPr>
        <w:pStyle w:val="BodyText"/>
      </w:pPr>
      <w:hyperlink w:anchor="fig-ameparties">
        <w:r>
          <w:rPr>
            <w:rStyle w:val="Hyperlink"/>
          </w:rPr>
          <w:t xml:space="preserve">Figure 2.3</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w:t>
      </w:r>
      <w:r>
        <w:t xml:space="preserve">and hypotheses BvsM1 and BvsM2.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w:t>
      </w:r>
    </w:p>
    <w:p>
      <w:pPr>
        <w:pStyle w:val="BodyText"/>
      </w:pPr>
      <w:r>
        <w:t xml:space="preserve">Second, the Liberal-Radical party (Radical-Democratic and Swiss Liberal Party before the latter merged in 2008) (PLR) shows a clear bourgeois basis for almost all time periods. The PLR is thus indeed the party of the wealthiest and most educated groups and is the only party that shows this pattern. However, the PLR seems to gradually become a merchant right party in the last time periods. In</w:t>
      </w:r>
      <w:r>
        <w:t xml:space="preserve"> </w:t>
      </w:r>
      <w:r>
        <w:t xml:space="preserve">Durrer de la Sota, Gethin, and Martinez-Toledano (2021)</w:t>
      </w:r>
      <w:r>
        <w:t xml:space="preserve">, another party, the Greens,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2.3</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contrasts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8" w:name="fig-amepolleaning"/>
          <w:p>
            <w:pPr>
              <w:jc w:val="center"/>
            </w:pPr>
            <w:r>
              <w:drawing>
                <wp:inline>
                  <wp:extent cx="4620126" cy="3696101"/>
                  <wp:effectExtent b="0" l="0" r="0" t="0"/>
                  <wp:docPr descr="" title="" id="56" name="Picture"/>
                  <a:graphic>
                    <a:graphicData uri="http://schemas.openxmlformats.org/drawingml/2006/picture">
                      <pic:pic>
                        <pic:nvPicPr>
                          <pic:cNvPr descr="part1_files/figure-docx/fig-amepolleaning-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8"/>
        </w:tc>
      </w:tr>
    </w:tbl>
    <w:p>
      <w:pPr>
        <w:pStyle w:val="BodyText"/>
      </w:pPr>
      <w:hyperlink w:anchor="fig-amepolleaning">
        <w:r>
          <w:rPr>
            <w:rStyle w:val="Hyperlink"/>
          </w:rPr>
          <w:t xml:space="preserve">Figure 2.4</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62" w:name="fig-ameIP"/>
          <w:p>
            <w:pPr>
              <w:jc w:val="center"/>
            </w:pPr>
            <w:r>
              <w:drawing>
                <wp:inline>
                  <wp:extent cx="4620126" cy="3696101"/>
                  <wp:effectExtent b="0" l="0" r="0" t="0"/>
                  <wp:docPr descr="" title="" id="60" name="Picture"/>
                  <a:graphic>
                    <a:graphicData uri="http://schemas.openxmlformats.org/drawingml/2006/picture">
                      <pic:pic>
                        <pic:nvPicPr>
                          <pic:cNvPr descr="part1_files/figure-docx/fig-ameIP-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Opinion on several social issues in Switzerland: 1992-2016. Average difference in predicted probabilities between the highest and lowest income groups (less than 3000CHF per month vs more than 9000CHF) and between university and vocational training graduates.</w:t>
            </w:r>
          </w:p>
          <w:bookmarkEnd w:id="62"/>
        </w:tc>
      </w:tr>
    </w:tbl>
    <w:p>
      <w:pPr>
        <w:pStyle w:val="BodyText"/>
      </w:pPr>
      <w:r>
        <w:t xml:space="preserve">Finally,</w:t>
      </w:r>
      <w:r>
        <w:t xml:space="preserve"> </w:t>
      </w:r>
      <w:hyperlink w:anchor="fig-ameIP">
        <w:r>
          <w:rPr>
            <w:rStyle w:val="Hyperlink"/>
          </w:rPr>
          <w:t xml:space="preserve">Figure 2.5</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hyperlink w:anchor="tbl-socialblocs1">
        <w:r>
          <w:rPr>
            <w:rStyle w:val="Hyperlink"/>
          </w:rPr>
          <w:t xml:space="preserve">Table 2.1</w:t>
        </w:r>
      </w:hyperlink>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bookmarkStart w:id="63" w:name="tbl-socialblocs3"/>
    <w:p>
      <w:pPr>
        <w:pStyle w:val="TableCaption"/>
      </w:pPr>
      <w:r>
        <w:t xml:space="preserve">Table 2.3: The four possible social blocs based on a bi-dimensional political divide and income and education levels. Results from regression analysis of VoxIt data</w:t>
      </w:r>
    </w:p>
    <w:tbl>
      <w:tblPr>
        <w:tblStyle w:val="Table"/>
        <w:tblW w:type="pct" w:w="4963"/>
        <w:tblLook w:firstRow="1" w:lastRow="0" w:firstColumn="0" w:lastColumn="0" w:noHBand="0" w:noVBand="0" w:val="0020"/>
        <w:jc w:val="start"/>
        <w:tblCaption w:val="Table 2.3: The four possible social blocs based on a bi-dimensional political divide and income and education levels. Results from regression analysis of VoxIt data"/>
      </w:tblPr>
      <w:tblGrid>
        <w:gridCol w:w="1536"/>
        <w:gridCol w:w="2955"/>
        <w:gridCol w:w="3368"/>
      </w:tblGrid>
      <w:tr>
        <w:trPr>
          <w:tblHeader w:val="true"/>
        </w:trPr>
        <w:tc>
          <w:tcPr/>
          <w:p>
            <w:pPr>
              <w:jc w:val="left"/>
            </w:pPr>
            <w:r>
              <w:t xml:space="preserve">Income/</w:t>
            </w:r>
          </w:p>
          <w:p>
            <w:pPr>
              <w:jc w:val="left"/>
            </w:pPr>
            <w:r>
              <w:t xml:space="preserve">Education</w:t>
            </w:r>
          </w:p>
        </w:tc>
        <w:tc>
          <w:tcPr/>
          <w:p>
            <w:pPr>
              <w:pStyle w:val="Compact"/>
              <w:jc w:val="left"/>
            </w:pPr>
            <w:r>
              <w:t xml:space="preserve">High level of income</w:t>
            </w:r>
          </w:p>
        </w:tc>
        <w:tc>
          <w:tcPr/>
          <w:p>
            <w:pPr>
              <w:pStyle w:val="Compact"/>
              <w:jc w:val="left"/>
            </w:pPr>
            <w:r>
              <w:t xml:space="preserve">Low level of income</w:t>
            </w:r>
          </w:p>
        </w:tc>
      </w:tr>
      <w:tr>
        <w:tc>
          <w:tcPr/>
          <w:p>
            <w:pPr>
              <w:pStyle w:val="Compact"/>
              <w:jc w:val="left"/>
            </w:pPr>
            <w:r>
              <w:t xml:space="preserve">High level of education</w:t>
            </w:r>
          </w:p>
        </w:tc>
        <w:tc>
          <w:tcPr/>
          <w:p>
            <w:pPr>
              <w:jc w:val="left"/>
            </w:pPr>
            <w:r>
              <w:rPr>
                <w:bCs/>
                <w:b/>
              </w:rPr>
              <w:t xml:space="preserve">Bloc Bourgeois</w:t>
            </w:r>
          </w:p>
          <w:p>
            <w:pPr>
              <w:numPr>
                <w:ilvl w:val="0"/>
                <w:numId w:val="1024"/>
              </w:numPr>
              <w:pStyle w:val="Compact"/>
              <w:jc w:val="left"/>
            </w:pPr>
            <w:r>
              <w:t xml:space="preserve">PRD-PLR from 1986 to 2006</w:t>
            </w:r>
          </w:p>
          <w:p>
            <w:pPr>
              <w:jc w:val="left"/>
            </w:pPr>
            <w:r>
              <w:rPr>
                <w:bCs/>
                <w:b/>
              </w:rPr>
              <w:t xml:space="preserve">Policy preferences:</w:t>
            </w:r>
          </w:p>
          <w:p>
            <w:pPr>
              <w:numPr>
                <w:ilvl w:val="0"/>
                <w:numId w:val="1025"/>
              </w:numPr>
              <w:pStyle w:val="Compact"/>
              <w:jc w:val="left"/>
            </w:pPr>
            <w:r>
              <w:t xml:space="preserve">For equal rights &amp; chances Swiss-foreigners</w:t>
            </w:r>
          </w:p>
        </w:tc>
        <w:tc>
          <w:tcPr/>
          <w:p>
            <w:pPr>
              <w:jc w:val="left"/>
            </w:pPr>
            <w:r>
              <w:rPr>
                <w:bCs/>
                <w:b/>
              </w:rPr>
              <w:t xml:space="preserve">Brahmin</w:t>
            </w:r>
          </w:p>
          <w:p>
            <w:pPr>
              <w:numPr>
                <w:ilvl w:val="0"/>
                <w:numId w:val="1026"/>
              </w:numPr>
              <w:jc w:val="left"/>
            </w:pPr>
            <w:r>
              <w:t xml:space="preserve">Greens</w:t>
            </w:r>
          </w:p>
          <w:p>
            <w:pPr>
              <w:numPr>
                <w:ilvl w:val="0"/>
                <w:numId w:val="1026"/>
              </w:numPr>
              <w:jc w:val="left"/>
            </w:pPr>
            <w:r>
              <w:t xml:space="preserve">PS since the 80s</w:t>
            </w:r>
          </w:p>
          <w:p>
            <w:pPr>
              <w:jc w:val="left"/>
            </w:pPr>
            <w:r>
              <w:rPr>
                <w:bCs/>
                <w:b/>
              </w:rPr>
              <w:t xml:space="preserve">Policy preferences:</w:t>
            </w:r>
            <w:r>
              <w:t xml:space="preserve"> </w:t>
            </w:r>
            <w:r>
              <w:t xml:space="preserve">|</w:t>
            </w:r>
          </w:p>
          <w:p>
            <w:pPr>
              <w:numPr>
                <w:ilvl w:val="0"/>
                <w:numId w:val="1027"/>
              </w:numPr>
              <w:jc w:val="left"/>
            </w:pPr>
            <w:r>
              <w:t xml:space="preserve">For equal rights &amp; chances Swiss-foreigners |</w:t>
            </w:r>
          </w:p>
          <w:p>
            <w:pPr>
              <w:numPr>
                <w:ilvl w:val="0"/>
                <w:numId w:val="1027"/>
              </w:numPr>
              <w:jc w:val="left"/>
            </w:pPr>
            <w:r>
              <w:t xml:space="preserve">Support state intervention</w:t>
            </w:r>
          </w:p>
          <w:p>
            <w:pPr>
              <w:numPr>
                <w:ilvl w:val="0"/>
                <w:numId w:val="1027"/>
              </w:numPr>
              <w:jc w:val="left"/>
            </w:pPr>
            <w:r>
              <w:t xml:space="preserve">Support redistribution in some periods</w:t>
            </w:r>
          </w:p>
        </w:tc>
      </w:tr>
      <w:tr>
        <w:tc>
          <w:tcPr/>
          <w:p>
            <w:pPr>
              <w:pStyle w:val="Compact"/>
              <w:jc w:val="left"/>
            </w:pPr>
            <w:r>
              <w:t xml:space="preserve">Low level of education</w:t>
            </w:r>
          </w:p>
        </w:tc>
        <w:tc>
          <w:tcPr/>
          <w:p>
            <w:pPr>
              <w:jc w:val="left"/>
            </w:pPr>
            <w:r>
              <w:rPr>
                <w:bCs/>
                <w:b/>
              </w:rPr>
              <w:t xml:space="preserve">Merchant</w:t>
            </w:r>
          </w:p>
          <w:p>
            <w:pPr>
              <w:numPr>
                <w:ilvl w:val="0"/>
                <w:numId w:val="1028"/>
              </w:numPr>
              <w:jc w:val="left"/>
            </w:pPr>
            <w:r>
              <w:t xml:space="preserve">PRD-PLR since 2006 UDC in 1986-1991</w:t>
            </w:r>
          </w:p>
          <w:p>
            <w:pPr>
              <w:numPr>
                <w:ilvl w:val="0"/>
                <w:numId w:val="1028"/>
              </w:numPr>
              <w:jc w:val="left"/>
            </w:pPr>
            <w:r>
              <w:t xml:space="preserve">Self-identification to the right</w:t>
            </w:r>
          </w:p>
          <w:p>
            <w:pPr>
              <w:jc w:val="left"/>
            </w:pPr>
            <w:r>
              <w:rPr>
                <w:bCs/>
                <w:b/>
              </w:rPr>
              <w:t xml:space="preserve">Policy preferences:</w:t>
            </w:r>
          </w:p>
          <w:p>
            <w:pPr>
              <w:numPr>
                <w:ilvl w:val="0"/>
                <w:numId w:val="1029"/>
              </w:numPr>
              <w:jc w:val="left"/>
            </w:pPr>
            <w:r>
              <w:t xml:space="preserve">Against state intervention</w:t>
            </w:r>
          </w:p>
          <w:p>
            <w:pPr>
              <w:numPr>
                <w:ilvl w:val="0"/>
                <w:numId w:val="1029"/>
              </w:numPr>
              <w:jc w:val="left"/>
            </w:pPr>
            <w:r>
              <w:t xml:space="preserve">Against redistribution</w:t>
            </w:r>
          </w:p>
        </w:tc>
        <w:tc>
          <w:tcPr/>
          <w:p>
            <w:pPr>
              <w:jc w:val="left"/>
            </w:pPr>
            <w:r>
              <w:rPr>
                <w:bCs/>
                <w:b/>
              </w:rPr>
              <w:t xml:space="preserve">Popular classes</w:t>
            </w:r>
          </w:p>
          <w:p>
            <w:pPr>
              <w:numPr>
                <w:ilvl w:val="0"/>
                <w:numId w:val="1030"/>
              </w:numPr>
              <w:jc w:val="left"/>
            </w:pPr>
            <w:r>
              <w:t xml:space="preserve">UDC since the 90s</w:t>
            </w:r>
          </w:p>
          <w:p>
            <w:pPr>
              <w:numPr>
                <w:ilvl w:val="0"/>
                <w:numId w:val="1030"/>
              </w:numPr>
              <w:jc w:val="left"/>
            </w:pPr>
            <w:r>
              <w:t xml:space="preserve">No party support</w:t>
            </w:r>
          </w:p>
          <w:p>
            <w:pPr>
              <w:jc w:val="left"/>
            </w:pPr>
            <w:r>
              <w:rPr>
                <w:bCs/>
                <w:b/>
              </w:rPr>
              <w:t xml:space="preserve">Policy preferences:</w:t>
            </w:r>
          </w:p>
          <w:p>
            <w:pPr>
              <w:numPr>
                <w:ilvl w:val="0"/>
                <w:numId w:val="1031"/>
              </w:numPr>
              <w:pStyle w:val="Compact"/>
              <w:jc w:val="left"/>
            </w:pPr>
            <w:r>
              <w:t xml:space="preserve">Better rights &amp; chances for the Swiss (until 2008)</w:t>
            </w:r>
          </w:p>
          <w:p>
            <w:pPr>
              <w:numPr>
                <w:ilvl w:val="0"/>
                <w:numId w:val="1031"/>
              </w:numPr>
              <w:pStyle w:val="Compact"/>
              <w:jc w:val="left"/>
            </w:pPr>
            <w:r>
              <w:t xml:space="preserve">Support redistribution in some periods (2004-2008)</w:t>
            </w:r>
          </w:p>
        </w:tc>
      </w:tr>
    </w:tbl>
    <w:bookmarkEnd w:id="63"/>
    <w:p>
      <w:pPr>
        <w:pStyle w:val="FirstParagraph"/>
      </w:pPr>
      <w:r>
        <w:t xml:space="preserve">Overall, the regression analysis conducted in this section, using a different data source from the WPID project offers a new way to describe the evolution of the Swiss version of the brahmin left vs merchant right divide, which is summarized in</w:t>
      </w:r>
      <w:r>
        <w:t xml:space="preserve"> </w:t>
      </w:r>
      <w:hyperlink w:anchor="tbl-socialblocs3">
        <w:r>
          <w:rPr>
            <w:rStyle w:val="Hyperlink"/>
          </w:rPr>
          <w:t xml:space="preserve">Table 2.3</w:t>
        </w:r>
      </w:hyperlink>
      <w:r>
        <w:t xml:space="preserve">.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a latent class analysis for the late 90s.</w:t>
      </w:r>
    </w:p>
    <w:bookmarkEnd w:id="64"/>
    <w:bookmarkEnd w:id="65"/>
    <w:bookmarkStart w:id="84" w:name="X1948c5745db5504dc48f006cba99aece3f08b63"/>
    <w:p>
      <w:pPr>
        <w:pStyle w:val="Heading2"/>
      </w:pPr>
      <w:r>
        <w:t xml:space="preserve">2.3 In search of the liberal-conservative and left blocs</w:t>
      </w:r>
    </w:p>
    <w:p>
      <w:pPr>
        <w:pStyle w:val="FirstParagraph"/>
      </w:pPr>
      <w:r>
        <w:t xml:space="preserve">The objective of the present section is to assess empirically the reconfiguration of the Swiss social blocs during the 90s. More specifically, the objective is to analyze how the dominant Swiss social bloc was able to recompose during the crisis using a bottom-up approach different from the previous section, and more aligned with the neorealist approach. One of the main limitations of the regression analysis of the previous section was to consider social groups as pre-defined based on different income and educational levels, or occupation, and only two cleavage dimensions.</w:t>
      </w:r>
    </w:p>
    <w:p>
      <w:pPr>
        <w:pStyle w:val="BodyText"/>
      </w:pPr>
      <w:r>
        <w:t xml:space="preserve">As explained in the introduction, the neorealist approach starts from the diversity of social expectations emanating from the heterogeneity of the social structure. Socio-political groups could be endogenously defined based on the proximity of Swiss citizen’s preferences regarding economic and public policies. A method that allow such procedure is latent class analysis (LCA). LCA is rarely used in the social sciences, but has recently been applied as part of the neorealist approach to infer socio-political groups based on a set of policy preferences variables from post-electoral surveys. It was first used by</w:t>
      </w:r>
      <w:r>
        <w:t xml:space="preserve"> </w:t>
      </w:r>
      <w:r>
        <w:t xml:space="preserve">Amable, Guillaud, and Palombarini (2012)</w:t>
      </w:r>
      <w:r>
        <w:t xml:space="preserve"> </w:t>
      </w:r>
      <w:r>
        <w:t xml:space="preserve">to identify socio-political groups in France and Italy. The analysis resulted in the identification of twelve groups for France, and seven for Italy. The analysis of France socio-political groups and social blocs was then improved in a subsequent paper by</w:t>
      </w:r>
      <w:r>
        <w:t xml:space="preserve"> </w:t>
      </w:r>
      <w:r>
        <w:t xml:space="preserve">Amable (2021)</w:t>
      </w:r>
      <w:r>
        <w:t xml:space="preserve">.</w:t>
      </w:r>
    </w:p>
    <w:p>
      <w:pPr>
        <w:pStyle w:val="BodyText"/>
      </w:pPr>
      <w:r>
        <w:t xml:space="preserve">This section has for ambition to extend the contribution of</w:t>
      </w:r>
      <w:r>
        <w:t xml:space="preserve"> </w:t>
      </w:r>
      <w:r>
        <w:t xml:space="preserve">Amable, Guillaud, and Palombarini (2012)</w:t>
      </w:r>
      <w:r>
        <w:t xml:space="preserve"> </w:t>
      </w:r>
      <w:r>
        <w:t xml:space="preserve">and</w:t>
      </w:r>
      <w:r>
        <w:t xml:space="preserve"> </w:t>
      </w:r>
      <w:r>
        <w:t xml:space="preserve">Amable (2021)</w:t>
      </w:r>
      <w:r>
        <w:t xml:space="preserve"> </w:t>
      </w:r>
      <w:r>
        <w:t xml:space="preserve">to Switzerland by conducting LCA analysis using Swiss election studies data. The methodology and approach used here closely follow the approach taken in</w:t>
      </w:r>
      <w:r>
        <w:t xml:space="preserve"> </w:t>
      </w:r>
      <w:r>
        <w:t xml:space="preserve">Amable (2021)</w:t>
      </w:r>
      <w:r>
        <w:t xml:space="preserve">.</w:t>
      </w:r>
    </w:p>
    <w:bookmarkStart w:id="68" w:name="Xf707227713dcc91c64a70bb57fd31a56f14b294"/>
    <w:p>
      <w:pPr>
        <w:pStyle w:val="Heading3"/>
      </w:pPr>
      <w:r>
        <w:t xml:space="preserve">2.3.1 The latent class model and estimation method</w:t>
      </w:r>
    </w:p>
    <w:p>
      <w:pPr>
        <w:pStyle w:val="FirstParagraph"/>
      </w:pPr>
      <w:r>
        <w:t xml:space="preserve">LCA allows to find a categorical structure from a set of categorical variables. The idea is that the Swiss population can be divided into different subgroups (socio-political groups given our theoretical framework), but that the latter are unobserved and can be indirectly estimated through a set of questions regarding policy preferences. The method employed here takes the following form:</w:t>
      </w:r>
    </w:p>
    <w:p>
      <w:pPr>
        <w:pStyle w:val="BodyText"/>
      </w:pPr>
      <w:bookmarkStart w:id="66" w:name="eq-lca"/>
      <m:oMathPara>
        <m:oMathParaPr>
          <m:jc m:val="center"/>
        </m:oMathParaPr>
        <m:oMath>
          <m:r>
            <m:t>f</m:t>
          </m:r>
          <m:d>
            <m:dPr>
              <m:begChr m:val="("/>
              <m:endChr m:val=")"/>
              <m:sepChr m:val=""/>
              <m:grow/>
            </m:dPr>
            <m:e>
              <m:sSub>
                <m:e>
                  <m:r>
                    <m:t>y</m:t>
                  </m:r>
                </m:e>
                <m:sub>
                  <m:r>
                    <m:t>i</m:t>
                  </m:r>
                </m:sub>
              </m:sSub>
            </m:e>
          </m:d>
          <m:r>
            <m:rPr>
              <m:sty m:val="p"/>
            </m:rPr>
            <m:t>=</m:t>
          </m:r>
          <m:nary>
            <m:naryPr>
              <m:chr m:val="∑"/>
              <m:limLoc m:val="undOvr"/>
              <m:subHide m:val="0"/>
              <m:supHide m:val="0"/>
            </m:naryPr>
            <m:sub>
              <m:r>
                <m:t>x</m:t>
              </m:r>
              <m:r>
                <m:rPr>
                  <m:sty m:val="p"/>
                </m:rPr>
                <m:t>=</m:t>
              </m:r>
              <m:r>
                <m:t>1</m:t>
              </m:r>
            </m:sub>
            <m:sup>
              <m:r>
                <m:t>K</m:t>
              </m:r>
            </m:sup>
            <m:e>
              <m:r>
                <m:t>P</m:t>
              </m:r>
            </m:e>
          </m:nary>
          <m:d>
            <m:dPr>
              <m:begChr m:val="("/>
              <m:endChr m:val=")"/>
              <m:sepChr m:val=""/>
              <m:grow/>
            </m:dPr>
            <m:e>
              <m:r>
                <m:t>x</m:t>
              </m:r>
            </m:e>
          </m:d>
          <m:nary>
            <m:naryPr>
              <m:chr m:val="∏"/>
              <m:limLoc m:val="undOvr"/>
              <m:subHide m:val="0"/>
              <m:supHide m:val="0"/>
            </m:naryPr>
            <m:sub>
              <m:r>
                <m:t>t</m:t>
              </m:r>
              <m:r>
                <m:rPr>
                  <m:sty m:val="p"/>
                </m:rPr>
                <m:t>=</m:t>
              </m:r>
              <m:r>
                <m:t>1</m:t>
              </m:r>
            </m:sub>
            <m:sup>
              <m:r>
                <m:t>T</m:t>
              </m:r>
            </m:sup>
            <m:e>
              <m:r>
                <m:t>P</m:t>
              </m:r>
            </m:e>
          </m:nary>
          <m:d>
            <m:dPr>
              <m:begChr m:val="("/>
              <m:endChr m:val=")"/>
              <m:sepChr m:val=""/>
              <m:grow/>
            </m:dPr>
            <m:e>
              <m:sSub>
                <m:e>
                  <m:r>
                    <m:t>y</m:t>
                  </m:r>
                </m:e>
                <m:sub>
                  <m:r>
                    <m:t>i</m:t>
                  </m:r>
                  <m:r>
                    <m:t>t</m:t>
                  </m:r>
                </m:sub>
              </m:sSub>
              <m:r>
                <m:rPr>
                  <m:sty m:val="p"/>
                </m:rPr>
                <m:t>|</m:t>
              </m:r>
              <m:r>
                <m:t>x</m:t>
              </m:r>
            </m:e>
          </m:d>
          <m:r>
            <m:t>  </m:t>
          </m:r>
          <m:d>
            <m:dPr>
              <m:begChr m:val="("/>
              <m:endChr m:val=")"/>
              <m:sepChr m:val=""/>
              <m:grow/>
            </m:dPr>
            <m:e>
              <m:r>
                <m:t>2.2</m:t>
              </m:r>
            </m:e>
          </m:d>
        </m:oMath>
      </m:oMathPara>
      <w:bookmarkEnd w:id="66"/>
    </w:p>
    <w:p>
      <w:pPr>
        <w:pStyle w:val="FirstParagraph"/>
      </w:pPr>
      <w:r>
        <w:t xml:space="preserve">With</w:t>
      </w:r>
      <w:r>
        <w:t xml:space="preserve"> </w:t>
      </w:r>
      <m:oMath>
        <m:r>
          <m:t>f</m:t>
        </m:r>
        <m:d>
          <m:dPr>
            <m:begChr m:val="("/>
            <m:endChr m:val=")"/>
            <m:sepChr m:val=""/>
            <m:grow/>
          </m:dPr>
          <m:e>
            <m:sSub>
              <m:e>
                <m:r>
                  <m:t>y</m:t>
                </m:r>
              </m:e>
              <m:sub>
                <m:r>
                  <m:t>i</m:t>
                </m:r>
              </m:sub>
            </m:sSub>
          </m:e>
        </m:d>
      </m:oMath>
      <w:r>
        <w:t xml:space="preserve"> </w:t>
      </w:r>
      <w:r>
        <w:t xml:space="preserve">the probability density function corresponding to a particular response pattern</w:t>
      </w:r>
      <w:r>
        <w:t xml:space="preserve"> </w:t>
      </w:r>
      <m:oMath>
        <m:sSub>
          <m:e>
            <m:r>
              <m:t>y</m:t>
            </m:r>
          </m:e>
          <m:sub>
            <m:r>
              <m:t>i</m:t>
            </m:r>
          </m:sub>
        </m:sSub>
      </m:oMath>
      <w:r>
        <w:t xml:space="preserve">.</w:t>
      </w:r>
      <w:r>
        <w:t xml:space="preserve"> </w:t>
      </w:r>
      <m:oMath>
        <m:sSub>
          <m:e>
            <m:r>
              <m:t>y</m:t>
            </m:r>
          </m:e>
          <m:sub>
            <m:r>
              <m:t>i</m:t>
            </m:r>
            <m:r>
              <m:t>t</m:t>
            </m:r>
          </m:sub>
        </m:sSub>
      </m:oMath>
      <w:r>
        <w:t xml:space="preserve"> </w:t>
      </w:r>
      <w:r>
        <w:t xml:space="preserve">is the response pattern of individual</w:t>
      </w:r>
      <w:r>
        <w:t xml:space="preserve"> </w:t>
      </w:r>
      <m:oMath>
        <m:r>
          <m:t>i</m:t>
        </m:r>
      </m:oMath>
      <w:r>
        <w:t xml:space="preserve"> </w:t>
      </w:r>
      <w:r>
        <w:t xml:space="preserve">to a set of</w:t>
      </w:r>
      <w:r>
        <w:t xml:space="preserve"> </w:t>
      </w:r>
      <m:oMath>
        <m:r>
          <m:t>T</m:t>
        </m:r>
      </m:oMath>
      <w:r>
        <w:t xml:space="preserve"> </w:t>
      </w:r>
      <w:r>
        <w:t xml:space="preserve">survey questions taken as indicators in the model.</w:t>
      </w:r>
      <w:r>
        <w:t xml:space="preserve"> </w:t>
      </w:r>
      <m:oMath>
        <m:r>
          <m:t>P</m:t>
        </m:r>
        <m:d>
          <m:dPr>
            <m:begChr m:val="("/>
            <m:endChr m:val=")"/>
            <m:sepChr m:val=""/>
            <m:grow/>
          </m:dPr>
          <m:e>
            <m:r>
              <m:t>X</m:t>
            </m:r>
          </m:e>
        </m:d>
      </m:oMath>
      <w:r>
        <w:t xml:space="preserve"> </w:t>
      </w:r>
      <w:r>
        <w:t xml:space="preserve">is the probability to belong to a certain cluster given by the latent discrete variable</w:t>
      </w:r>
      <w:r>
        <w:t xml:space="preserve"> </w:t>
      </w:r>
      <m:oMath>
        <m:r>
          <m:t>x</m:t>
        </m:r>
      </m:oMath>
      <w:r>
        <w:t xml:space="preserve">, with</w:t>
      </w:r>
      <w:r>
        <w:t xml:space="preserve"> </w:t>
      </w:r>
      <m:oMath>
        <m:r>
          <m:t>1</m:t>
        </m:r>
        <m:r>
          <m:rPr>
            <m:sty m:val="p"/>
          </m:rPr>
          <m:t>≤</m:t>
        </m:r>
        <m:r>
          <m:t>x</m:t>
        </m:r>
        <m:r>
          <m:rPr>
            <m:sty m:val="p"/>
          </m:rPr>
          <m:t>≤</m:t>
        </m:r>
        <m:r>
          <m:t>K</m:t>
        </m:r>
      </m:oMath>
      <w:r>
        <w:t xml:space="preserve">. The association between the latent class variable and the indicators</w:t>
      </w:r>
      <w:r>
        <w:t xml:space="preserve"> </w:t>
      </w:r>
      <m:oMath>
        <m:r>
          <m:t>T</m:t>
        </m:r>
      </m:oMath>
      <w:r>
        <w:t xml:space="preserve"> </w:t>
      </w:r>
      <w:r>
        <w:t xml:space="preserve">is estimated through binary logistic regressions (if the indicators are dichotomous) or, in our case, through multinomial logistic regressions (if the indicators have more than two un-ordered categories)</w:t>
      </w:r>
      <w:r>
        <w:t xml:space="preserve"> </w:t>
      </w:r>
      <w:r>
        <w:t xml:space="preserve">(Vermunt and Magidson 2016)</w:t>
      </w:r>
      <w:r>
        <w:t xml:space="preserve">.</w:t>
      </w:r>
    </w:p>
    <w:p>
      <w:pPr>
        <w:pStyle w:val="BodyText"/>
      </w:pPr>
      <w:r>
        <w:t xml:space="preserve">An important step of LCA is model selection, that is, choosing the model with the appropriate number of clusters. The criteria chosen to determine the number of clusters in this section is a bootstrap likelihood ratio test, a test which, according to the simulation tests performed by</w:t>
      </w:r>
      <w:r>
        <w:t xml:space="preserve"> </w:t>
      </w:r>
      <w:r>
        <w:t xml:space="preserve">Nylund, Asparouhov, and Muthén (2007)</w:t>
      </w:r>
      <w:r>
        <w:t xml:space="preserve">, is the most suited compared model selection based on information criteria (AIC, BIC…). A series of models are thus estimated, increasing the number of clusters with each new model until the bootstrap likelihood ratio test showed no significance of adding a supplementary cluster to the model</w:t>
      </w:r>
      <w:r>
        <w:rPr>
          <w:rStyle w:val="FootnoteReference"/>
        </w:rPr>
        <w:footnoteReference w:id="67"/>
      </w:r>
      <w:r>
        <w:t xml:space="preserve">.</w:t>
      </w:r>
    </w:p>
    <w:bookmarkEnd w:id="68"/>
    <w:bookmarkStart w:id="83" w:name="X874e7f9a90c7642bd45e7cca2ab48ed22f7b8fc"/>
    <w:p>
      <w:pPr>
        <w:pStyle w:val="Heading3"/>
      </w:pPr>
      <w:r>
        <w:t xml:space="preserve">2.3.2 Estimation of Swiss socio-political groups in 1999: the 12 clusters model</w:t>
      </w:r>
    </w:p>
    <w:p>
      <w:pPr>
        <w:pStyle w:val="FirstParagraph"/>
      </w:pPr>
      <w:r>
        <w:t xml:space="preserve">For the LCA estimation, the Swiss post-electoral study of 1999</w:t>
      </w:r>
      <w:r>
        <w:t xml:space="preserve"> </w:t>
      </w:r>
      <w:r>
        <w:t xml:space="preserve">(Hardmeier et al. 2022)</w:t>
      </w:r>
      <w:r>
        <w:t xml:space="preserve"> </w:t>
      </w:r>
      <w:r>
        <w:t xml:space="preserve">is chosen. The reasons behind this choice are technical, but first and foremost historical since the 90s represent a turning point in Swiss history and the evolution of the Swiss social blocs.</w:t>
      </w:r>
    </w:p>
    <w:p>
      <w:pPr>
        <w:pStyle w:val="BodyText"/>
      </w:pPr>
      <w:r>
        <w:t xml:space="preserve">As explained in section 2.1, the Swiss socio-political landscape was structured around two social blocs before the 90s: a dominant liberal-conservative and a subordinate left bloc. These two blocs were able to cooperate in what Pietro Boschetti famously called the Swiss variant of the</w:t>
      </w:r>
      <w:r>
        <w:t xml:space="preserve"> </w:t>
      </w:r>
      <w:r>
        <w:t xml:space="preserve">“</w:t>
      </w:r>
      <w:r>
        <w:t xml:space="preserve">historical compromise</w:t>
      </w:r>
      <w:r>
        <w:t xml:space="preserve">”</w:t>
      </w:r>
      <w:r>
        <w:t xml:space="preserve"> </w:t>
      </w:r>
      <w:r>
        <w:t xml:space="preserve">between the Swiss left and right-wing parties. On the one hand, the PRD, PDC and Agrarian parties were willing to cooperate with the Swiss Socialist party and develop social security to a certain extent. On the other hand, the Swiss Socialist party abandoned its anti-capitalist stances and became a moderate and social-democrat reformist party aimed at promoting the creation of a Swiss welfare state, increase in real wage and promote the public sector and employment protection</w:t>
      </w:r>
      <w:r>
        <w:t xml:space="preserve"> </w:t>
      </w:r>
      <w:r>
        <w:t xml:space="preserve">(Boschetti 2007)</w:t>
      </w:r>
      <w:r>
        <w:t xml:space="preserve">. However, this compromise should not be overestimated, as the liberal-conservative bloc remained largely dominant, this compromise corresponded more to a</w:t>
      </w:r>
      <w:r>
        <w:t xml:space="preserve"> </w:t>
      </w:r>
      <w:r>
        <w:t xml:space="preserve">“</w:t>
      </w:r>
      <w:r>
        <w:t xml:space="preserve">asymmetrical class compromise</w:t>
      </w:r>
      <w:r>
        <w:t xml:space="preserve">”</w:t>
      </w:r>
      <w:r>
        <w:t xml:space="preserve"> </w:t>
      </w:r>
      <w:r>
        <w:t xml:space="preserve">(Kergomard 2022, 3)</w:t>
      </w:r>
      <w:r>
        <w:t xml:space="preserve"> </w:t>
      </w:r>
      <w:r>
        <w:t xml:space="preserve">between the two blocs.</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liberal-conservative and left blocs are undergoing important transformations, that some authors interpreted as various forms of latent political crises. The Swiss political scene is still marked by the rise of the Swiss People Party (UDC), one of the most successful far-right populist parties in Europe, and the Greens. The electoral success of the UDC is often associated with the destabilization of the liberal-conservative bloc, which entered during the 90s into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72" w:name="fig-partystrength"/>
          <w:p>
            <w:pPr>
              <w:jc w:val="center"/>
            </w:pPr>
            <w:r>
              <w:drawing>
                <wp:inline>
                  <wp:extent cx="4620126" cy="3696101"/>
                  <wp:effectExtent b="0" l="0" r="0" t="0"/>
                  <wp:docPr descr="" title="" id="70" name="Picture"/>
                  <a:graphic>
                    <a:graphicData uri="http://schemas.openxmlformats.org/drawingml/2006/picture">
                      <pic:pic>
                        <pic:nvPicPr>
                          <pic:cNvPr descr="part1_files/figure-docx/fig-partystrength-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Party Strength: 1918-2019</w:t>
            </w:r>
          </w:p>
          <w:bookmarkEnd w:id="72"/>
        </w:tc>
      </w:tr>
    </w:tbl>
    <w:p>
      <w:pPr>
        <w:pStyle w:val="BodyText"/>
      </w:pPr>
      <w:r>
        <w:t xml:space="preserve">In fact, all the Swiss traditional main government parties, the Swiss Socialist Party (PS) The Radical-Liberals (PRD-PLR) and the PDC, are in decline since the post-war period (see</w:t>
      </w:r>
      <w:r>
        <w:t xml:space="preserve"> </w:t>
      </w:r>
      <w:hyperlink w:anchor="fig-partystrength">
        <w:r>
          <w:rPr>
            <w:rStyle w:val="Hyperlink"/>
          </w:rPr>
          <w:t xml:space="preserve">Figure 2.6</w:t>
        </w:r>
      </w:hyperlink>
      <w:r>
        <w:t xml:space="preserve">). On the right, the crisis can be seen through the fall in vote shares (apart from the UDC);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p>
      <w:pPr>
        <w:pStyle w:val="BodyText"/>
      </w:pPr>
      <w:r>
        <w:t xml:space="preserve">The crisis of the 90s marked an important turning point in the history and evolution of the Swiss social blocs described in</w:t>
      </w:r>
      <w:r>
        <w:t xml:space="preserve"> </w:t>
      </w:r>
      <w:hyperlink w:anchor="tbl-socialblocs1">
        <w:r>
          <w:rPr>
            <w:rStyle w:val="Hyperlink"/>
          </w:rPr>
          <w:t xml:space="preserve">Table 2.1</w:t>
        </w:r>
      </w:hyperlink>
      <w:r>
        <w:t xml:space="preserve">. In fact, both the Liberal-Conservative and Left blocs were based on internal compromises between their socio-political groups which shattered under the pressure of structural and external pressures.</w:t>
      </w:r>
    </w:p>
    <w:p>
      <w:pPr>
        <w:pStyle w:val="BodyText"/>
      </w:pPr>
      <w:r>
        <w:t xml:space="preserve">In the Liberal-Conservative bloc, the demands of the large export-oriented industries and sectors producing essentially for the internal market converged in terms of labor market flexibility, low employment protection and weak welfare state, but they differed in terms of commercial and industrial policies. In fact, the dualist structure of the Swiss economy, split between a protected sector producing for the domestic market and a competitive and export-led sector, implied some important contradictory policy demands within the bloc. This internal cleavage was reflected in the structure of the Swiss business interests associations, divided between those (like the</w:t>
      </w:r>
      <w:r>
        <w:t xml:space="preserve"> </w:t>
      </w:r>
      <w:r>
        <w:rPr>
          <w:iCs/>
          <w:i/>
        </w:rPr>
        <w:t xml:space="preserve">Vorort</w:t>
      </w:r>
      <w:r>
        <w:t xml:space="preserve">) defending the large export-oriented industries and thus asked for liberal, free-trade commercial policies and those defending the farmers, medium and small firms, and small business owners producing for the internal Swiss market who asked for protection and subsidies. These contradictory demands were temporarily compatible during the post-war period and, as a result, reinforced the dual structure of the Swiss economy which combined a highly liberalized and free-trade exporting sector with a subsidized and highly protected internal sector</w:t>
      </w:r>
      <w:r>
        <w:t xml:space="preserve"> </w:t>
      </w:r>
      <w:r>
        <w:t xml:space="preserve">(Mach and Eichenberger 2011)</w:t>
      </w:r>
      <w:r>
        <w:t xml:space="preserve">.</w:t>
      </w:r>
    </w:p>
    <w:p>
      <w:pPr>
        <w:pStyle w:val="BodyText"/>
      </w:pPr>
      <w:r>
        <w:t xml:space="preserve">However, as globalization, financialization and European integration intensified in the late 20th, the social groups attached to the interests of the internationalized Swiss industries gradually dissociated themselves from the groups attached to the internal sector. This rupture was made explicit by the publication of a series of</w:t>
      </w:r>
      <w:r>
        <w:t xml:space="preserve"> </w:t>
      </w:r>
      <w:r>
        <w:t xml:space="preserve">“</w:t>
      </w:r>
      <w:r>
        <w:t xml:space="preserve">white-books</w:t>
      </w:r>
      <w:r>
        <w:t xml:space="preserve">”</w:t>
      </w:r>
      <w:r>
        <w:t xml:space="preserve"> </w:t>
      </w:r>
      <w:r>
        <w:t xml:space="preserve">by political and economic actors defending the interests of the Swiss multinational corporations. These white books advocated a dismantling of the Swiss Hybrid model by promoting a series of neoliberal reforms. The main policy demands of the white books were to increase competition in the international sector by dismantling Swiss cartels, reform the taxation system, reduce employment protection and social security, and privatize the public sector</w:t>
      </w:r>
      <w:r>
        <w:t xml:space="preserve"> </w:t>
      </w:r>
      <w:r>
        <w:t xml:space="preserve">(Mach 2007)</w:t>
      </w:r>
      <w:r>
        <w:t xml:space="preserve">.</w:t>
      </w:r>
    </w:p>
    <w:p>
      <w:pPr>
        <w:pStyle w:val="BodyText"/>
      </w:pPr>
      <w:r>
        <w:t xml:space="preserve">Furthermore, the Swiss post-electoral study of 1999</w:t>
      </w:r>
      <w:r>
        <w:t xml:space="preserve"> </w:t>
      </w:r>
      <w:r>
        <w:t xml:space="preserve">(Hardmeier et al. 2022)</w:t>
      </w:r>
      <w:r>
        <w:t xml:space="preserve"> </w:t>
      </w:r>
      <w:r>
        <w:t xml:space="preserve">has the advantage of having enough observation (3258 records) and containing issue position variables with good enough qualities to infer socio-political groups quiet fairly. The ideal data set would be the one containing issue position variables which cover a good range of institutional areas, such as the one considered in</w:t>
      </w:r>
      <w:r>
        <w:t xml:space="preserve"> </w:t>
      </w:r>
      <w:r>
        <w:t xml:space="preserve">Amable (2003)</w:t>
      </w:r>
      <w:r>
        <w:t xml:space="preserve">: products market, social protection, labour market, the financial system and the educational system along with general policy orientations</w:t>
      </w:r>
      <w:r>
        <w:t xml:space="preserve"> </w:t>
      </w:r>
      <w:r>
        <w:t xml:space="preserve">(Amable 2021)</w:t>
      </w:r>
      <w:r>
        <w:t xml:space="preserve">. Although the Swiss post-electoral study of 1999 is the most relevant for the present research, it is still limited by the questions available.</w:t>
      </w:r>
    </w:p>
    <w:p>
      <w:pPr>
        <w:pStyle w:val="BodyText"/>
      </w:pPr>
      <w:r>
        <w:t xml:space="preserve">Nine questions were considered relevant to be taken as indicators. Of the nine questions, three concern economic policy. One question asked the respondent whether they were in favor of increasing or reducing social spending by the confederation, the second one whether taxes on high income should be increased or decreased, and the third one whether the respondent was in favor of more state intervention of for free market.</w:t>
      </w:r>
    </w:p>
    <w:p>
      <w:pPr>
        <w:pStyle w:val="BodyText"/>
      </w:pPr>
      <w:r>
        <w:t xml:space="preserve">One interesting question is about the role of the Swiss army. The question asked the respondents whether they preferred a strong army or no army at all. This question is relevant regarding the historical context since the 90s represented a turbulent period for the Swiss army. Switzerland is known for its militia-based army and remains one of the few Western countries to retain this system.</w:t>
      </w:r>
    </w:p>
    <w:p>
      <w:pPr>
        <w:pStyle w:val="BodyText"/>
      </w:pPr>
      <w:r>
        <w:t xml:space="preserve">But in 1986, the</w:t>
      </w:r>
      <w:r>
        <w:t xml:space="preserve"> </w:t>
      </w:r>
      <w:r>
        <w:rPr>
          <w:iCs/>
          <w:i/>
        </w:rPr>
        <w:t xml:space="preserve">Group for a Switzerland without an army</w:t>
      </w:r>
      <w:r>
        <w:t xml:space="preserve"> </w:t>
      </w:r>
      <w:r>
        <w:t xml:space="preserve">launched a popular initiative called</w:t>
      </w:r>
      <w:r>
        <w:t xml:space="preserve"> </w:t>
      </w:r>
      <w:r>
        <w:rPr>
          <w:iCs/>
          <w:i/>
        </w:rPr>
        <w:t xml:space="preserve">For a Switzerland Without an Army and an Overall Peaceful Political Stance</w:t>
      </w:r>
      <w:r>
        <w:t xml:space="preserve"> </w:t>
      </w:r>
      <w:r>
        <w:t xml:space="preserve">which, three years later, unexpectedly gathered 35.5% positive votes with a majority of yes in two cantons: Jura (55.5%) and Geneva (50.4%). These stunning results (no one would have expected such a high share of yes) greatly disturbed the government and the Swiss army, and the latter underwent a process of important reforms thereafter. Despite the rejection of this initiative, the debate over the role and the future of the Swiss army was still very heated in the late 90s and still frequently comes up in public debates nowadays</w:t>
      </w:r>
      <w:r>
        <w:rPr>
          <w:rStyle w:val="FootnoteReference"/>
        </w:rPr>
        <w:footnoteReference w:id="73"/>
      </w:r>
      <w:r>
        <w:t xml:space="preserve">.</w:t>
      </w:r>
    </w:p>
    <w:p>
      <w:pPr>
        <w:pStyle w:val="BodyText"/>
      </w:pPr>
      <w:r>
        <w:t xml:space="preserve">Another question is about European integration. In surely one of the most important and disputed referendum in Swiss history, Swiss citizen were to vote on their country’s adhesion to the European Economic Area (EEA) in 1992. As in other European countries, European integration became an important cleavage which destabilized both the liberal-conservative and left blocs. In the former, the UDC was the only major party to oppose the adhesion, while, in the latter, the Swiss Socialist party and labor unions were strongly in favor, with the exception of the Greens. This party was however divided over this issue, with a cleavage between the German-speaking cantons which strongly opposed the adhesion while the French-speaking cantons were in favor. The attitude towards European integration was included to assess the extent to which Switzerland displays a similar pattern than France in terms of European integration cleavage and the break-up of the traditional social blocs. As underlined by</w:t>
      </w:r>
      <w:r>
        <w:t xml:space="preserve"> </w:t>
      </w:r>
      <w:r>
        <w:t xml:space="preserve">Amable and Palombarini (2018)</w:t>
      </w:r>
      <w:r>
        <w:t xml:space="preserve"> </w:t>
      </w:r>
      <w:r>
        <w:t xml:space="preserve">and</w:t>
      </w:r>
      <w:r>
        <w:t xml:space="preserve"> </w:t>
      </w:r>
      <w:r>
        <w:t xml:space="preserve">Amable (2017)</w:t>
      </w:r>
      <w:r>
        <w:t xml:space="preserve">, European integration played an important role in the break-up of the traditional left and right blocs in France. The popular groups of the two blocs tended to opposed European integration while the most skilled and wealthiest elements were united around the pursuit of EU integration, which is one of the main policy demand of the bloc bourgeois, along with neoliberal reforms and progressive</w:t>
      </w:r>
      <w:r>
        <w:t xml:space="preserve"> </w:t>
      </w:r>
      <w:r>
        <w:t xml:space="preserve">“</w:t>
      </w:r>
      <w:r>
        <w:t xml:space="preserve">cultural attitude</w:t>
      </w:r>
      <w:r>
        <w:t xml:space="preserve">”</w:t>
      </w:r>
      <w:r>
        <w:t xml:space="preserve">.</w:t>
      </w:r>
    </w:p>
    <w:p>
      <w:pPr>
        <w:pStyle w:val="BodyText"/>
      </w:pPr>
      <w:r>
        <w:t xml:space="preserve">Two questions are about environmental issues. One of them was a trade-off question which asked whether the respondent was in favor of environmental protection or economic growth. The other one asked whether the respondent was in favor or against nuclear energy.</w:t>
      </w:r>
    </w:p>
    <w:p>
      <w:pPr>
        <w:pStyle w:val="BodyText"/>
      </w:pPr>
      <w:r>
        <w:t xml:space="preserve">The two last questions concern</w:t>
      </w:r>
      <w:r>
        <w:t xml:space="preserve"> </w:t>
      </w:r>
      <w:r>
        <w:t xml:space="preserve">“</w:t>
      </w:r>
      <w:r>
        <w:t xml:space="preserve">cultural</w:t>
      </w:r>
      <w:r>
        <w:t xml:space="preserve">”</w:t>
      </w:r>
      <w:r>
        <w:t xml:space="preserve"> </w:t>
      </w:r>
      <w:r>
        <w:t xml:space="preserve">issues: attitude towards Swiss traditions and foreigners. The former asked the respondents whether they preferred Swiss traditions or modernity. The latter asked the respondents whether they were in favor of unequal rights between Swiss citizen and foreigners and better chances for the Swiss or equal rights and chances. Switzerland stands out for its high proportion of foreigners who have less rights than Swiss citizen. During the Post-war period, Switzerland became a country of immigration due to high sustained growth and labor shortages. Immigrants were mainly seasonal workers on temporary residence permits, with no right to family reunification and no voting rights. They were expelled as soon as their labor force was no longer needed. It is often said that, in this way, Switzerland maintain full employment by exporting its unemployed foreign labor force. As soon as the Swiss economy overheated in the late 60s, restrictive immigration policies were adopted, while certain rights for foreign residents were improved, under pressure from negotiations with neighboring countries</w:t>
      </w:r>
      <w:r>
        <w:t xml:space="preserve"> </w:t>
      </w:r>
      <w:r>
        <w:t xml:space="preserve">(Piguet 2013)</w:t>
      </w:r>
      <w:r>
        <w:t xml:space="preserve">. Including these two cultural issue positions variables are important to situate the socio-political groups on the so-called</w:t>
      </w:r>
      <w:r>
        <w:t xml:space="preserve"> </w:t>
      </w:r>
      <w:r>
        <w:t xml:space="preserve">“</w:t>
      </w:r>
      <w:r>
        <w:t xml:space="preserve">cultural</w:t>
      </w:r>
      <w:r>
        <w:t xml:space="preserve">”</w:t>
      </w:r>
      <w:r>
        <w:t xml:space="preserve"> </w:t>
      </w:r>
      <w:r>
        <w:t xml:space="preserve">cleavage, which may be important to assess the transformations of the traditional Swiss social blocs.</w:t>
      </w:r>
    </w:p>
    <w:bookmarkStart w:id="79" w:name="description-of-the-12-clusters-model"/>
    <w:p>
      <w:pPr>
        <w:pStyle w:val="Heading4"/>
      </w:pPr>
      <w:r>
        <w:t xml:space="preserve">2.3.2.1 Description of the 12 clusters model</w:t>
      </w:r>
    </w:p>
    <w:p>
      <w:pPr>
        <w:pStyle w:val="FirstParagraph"/>
      </w:pPr>
      <w:r>
        <w:t xml:space="preserve">A series of models were thus estimated, increasing the number of clusters by one until the bootstrap likelihood ratio test indicated a lack of significance of adding a supplementary cluster to the model. By doing so, the 12 cluster model described below was selected.</w:t>
      </w:r>
    </w:p>
    <w:tbl>
      <w:tblPr>
        <w:tblStyle w:val="Table"/>
        <w:tblW w:type="pct" w:w="5000"/>
        <w:tblLook w:firstRow="0" w:lastRow="0" w:firstColumn="0" w:lastColumn="0" w:noHBand="0" w:noVBand="0" w:val="0000"/>
        <w:jc w:val="start"/>
      </w:tblPr>
      <w:tblGrid>
        <w:gridCol w:w="7920"/>
      </w:tblGrid>
      <w:tr>
        <w:tc>
          <w:tcPr/>
          <w:bookmarkStart w:id="77" w:name="fig-clusters"/>
          <w:p>
            <w:pPr>
              <w:jc w:val="center"/>
            </w:pPr>
            <w:r>
              <w:drawing>
                <wp:inline>
                  <wp:extent cx="5334000" cy="6984206"/>
                  <wp:effectExtent b="0" l="0" r="0" t="0"/>
                  <wp:docPr descr="" title="" id="75" name="Picture"/>
                  <a:graphic>
                    <a:graphicData uri="http://schemas.openxmlformats.org/drawingml/2006/picture">
                      <pic:pic>
                        <pic:nvPicPr>
                          <pic:cNvPr descr="dataclustertable.png" id="76" name="Picture"/>
                          <pic:cNvPicPr>
                            <a:picLocks noChangeArrowheads="1" noChangeAspect="1"/>
                          </pic:cNvPicPr>
                        </pic:nvPicPr>
                        <pic:blipFill>
                          <a:blip r:embed="rId74"/>
                          <a:stretch>
                            <a:fillRect/>
                          </a:stretch>
                        </pic:blipFill>
                        <pic:spPr bwMode="auto">
                          <a:xfrm>
                            <a:off x="0" y="0"/>
                            <a:ext cx="5334000" cy="69842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Cluster description</w:t>
            </w:r>
          </w:p>
          <w:bookmarkEnd w:id="77"/>
        </w:tc>
      </w:tr>
    </w:tbl>
    <w:p>
      <w:pPr>
        <w:pStyle w:val="BodyText"/>
      </w:pPr>
      <w:hyperlink w:anchor="fig-clusters">
        <w:r>
          <w:rPr>
            <w:rStyle w:val="Hyperlink"/>
          </w:rPr>
          <w:t xml:space="preserve">Figure 2.7</w:t>
        </w:r>
      </w:hyperlink>
      <w:r>
        <w:t xml:space="preserve"> </w:t>
      </w:r>
      <w:r>
        <w:t xml:space="preserve">gives a description of each cluster’s relative weight, policy preferences and overall socio-economic characteristics. The largest cluster (cluster 1) represents 17.8% of the total sample. This cluster shows ambivalent policy preferences, but can be said to belong to the center-left since it supports an increase in social spending by the Confederation and also in taxes on high income, but remains supportive of free markets rather than state intervention. Cluster 1 is, in majority, in favor of European integration, but with an appreciable minority (around 40%) who is against. This cluster support equal rights and chances between Swiss citizen and foreigner, but is attached to traditions. Finally, it prefers environment protection over growth and is strongly against nuclear energy.</w:t>
      </w:r>
    </w:p>
    <w:p>
      <w:pPr>
        <w:pStyle w:val="BodyText"/>
      </w:pPr>
      <w:r>
        <w:t xml:space="preserve">Cluster 2, the second largest group (13,7%) supports increase in social spending, higher taxes on high income and, conversely to cluster 1, supports more state intervention. It is also very much in favor of equal rights and opportunities for foreigners, questioning Swiss traditions, and is also pro-environment and against nuclear energy. Cluster 3 is similar to cluster 1 regarding higher taxes, but has a higher proportion of members in favor of state intervention, and differs in its preference for cutting social spending, for being more in favor of a strong army and is more skeptical about EU integration. It differs from cluster 1 by being also against foreigners’ equal rights and chances.</w:t>
      </w:r>
    </w:p>
    <w:p>
      <w:pPr>
        <w:pStyle w:val="BodyText"/>
      </w:pPr>
      <w:r>
        <w:t xml:space="preserve">Cluster 4 is rather similar to cluster 2, but what sets it apart is its preference for free markets over state intervention. Cluster 5 members are rather similar to cluster 3, but they are more divided over environmental issues and they strongly support nuclear energy.</w:t>
      </w:r>
    </w:p>
    <w:p>
      <w:pPr>
        <w:pStyle w:val="BodyText"/>
      </w:pPr>
      <w:r>
        <w:t xml:space="preserve">Cluster 6 has no clear opinion on social spending, rather supports higher taxes but not state intervention. It supports EU integration, equal chances and rights for foreigners, rather wants to defend traditions. It has no preferences between environment vs economic growth, but is supportive of nuclear energy.</w:t>
      </w:r>
    </w:p>
    <w:p>
      <w:pPr>
        <w:pStyle w:val="BodyText"/>
      </w:pPr>
      <w:r>
        <w:t xml:space="preserve">Cluster 7 supports higher taxes on high income, is rather for free markets, supports a strong army, the defense of traditions, better chances and rights for the Swiss and wants to stay out of the EU.</w:t>
      </w:r>
    </w:p>
    <w:p>
      <w:pPr>
        <w:pStyle w:val="BodyText"/>
      </w:pPr>
      <w:r>
        <w:t xml:space="preserve">Cluster 8 is the only cluster which, like cluster 2, is strongly in favor of a Switzerland without an army. Conversely to cluster 2, cluster 8 is nonetheless less in favor of state intervention.</w:t>
      </w:r>
    </w:p>
    <w:p>
      <w:pPr>
        <w:pStyle w:val="BodyText"/>
      </w:pPr>
      <w:r>
        <w:t xml:space="preserve">Cluster 9 and 10 broadly support neoliberal economic policies (lower taxes high income, cut social spending, for free markets). However, cluster 9 is more in favor of a strong Swiss army, against EU integration and equal rights and chances for foreigners. It also supports nuclear energy.</w:t>
      </w:r>
    </w:p>
    <w:p>
      <w:pPr>
        <w:pStyle w:val="BodyText"/>
      </w:pPr>
      <w:r>
        <w:t xml:space="preserve">Cluster 11 expresses no clear preferences, except for EU integration (stay out), attitude towards foreigners (better chances for the Swiss) and taxes on high income (rather in favor, but also strongly undecided).</w:t>
      </w:r>
    </w:p>
    <w:p>
      <w:pPr>
        <w:pStyle w:val="BodyText"/>
      </w:pPr>
      <w:r>
        <w:t xml:space="preserve">Like cluster 2, cluster 12 supports left-wing economic policies, environment protection and is also rather against the army. However, this cluster prefers better chances for the Swiss and to defend traditions.</w:t>
      </w:r>
    </w:p>
    <w:p>
      <w:pPr>
        <w:pStyle w:val="BodyText"/>
      </w:pPr>
      <w:r>
        <w:t xml:space="preserve">The socio-economic characteristics for each group can be precised by taking into account variables that have not been considered as active indicators, but can define some general characteristics within each cluster by comparing the proportions within the clusters with the overall proportion of the sample.</w:t>
      </w:r>
    </w:p>
    <w:p>
      <w:pPr>
        <w:pStyle w:val="BodyText"/>
      </w:pPr>
      <w:r>
        <w:t xml:space="preserve">Cluster 1 members are older than average. This cluster has an over-representation of women, lower income groups</w:t>
      </w:r>
      <w:r>
        <w:rPr>
          <w:rStyle w:val="FootnoteReference"/>
        </w:rPr>
        <w:footnoteReference w:id="78"/>
      </w:r>
      <w:r>
        <w:t xml:space="preserve">, and of low to medium levels of education. Cluster 2 is the youngest (on average seven years old younger than the total average). It also has a strong proportion of female (59% percent compared to an overall proportion of 54%) and of high income groups. University graduates are over-represented in cluster 2, with a proportion of 24% compared to an overall proportion of 11%. Cluster 2 is predominantly French-speaking, with a proportion of 48% (compared to an overall proportion of 28,6%), non religious and urban.</w:t>
      </w:r>
    </w:p>
    <w:p>
      <w:pPr>
        <w:pStyle w:val="BodyText"/>
      </w:pPr>
      <w:r>
        <w:t xml:space="preserve">Cluster 3 is composed of female, low income groups, vocational training and compulsory school graduates.</w:t>
      </w:r>
    </w:p>
    <w:p>
      <w:pPr>
        <w:pStyle w:val="BodyText"/>
      </w:pPr>
      <w:r>
        <w:t xml:space="preserve">The wealthiest clusters in terms of income are (in descending order) cluster 10, 9, 8, 2 and 6. Cluster 10 is especially wealthy and well educated, with 33,8% of its member belonging to the highest income group (overall proportion of this income bracket is 16,8%) and a high representation of university and higher vocational training graduates. Cluster 9 is also wealthy is well educated, but less than cluster 10. Clusters 9 and 10 also have strong proportion of males and self-employed. The poorest clusters are cluster 3, 7, and 12. Farmers and skilled workers and retired people are strongly represented in cluster 7.</w:t>
      </w:r>
    </w:p>
    <w:bookmarkEnd w:id="79"/>
    <w:bookmarkStart w:id="81" w:name="aggregation-into-social-blocs"/>
    <w:p>
      <w:pPr>
        <w:pStyle w:val="Heading4"/>
      </w:pPr>
      <w:r>
        <w:t xml:space="preserve">2.3.2.2 Aggregation into social blocs</w:t>
      </w:r>
    </w:p>
    <w:p>
      <w:pPr>
        <w:pStyle w:val="FirstParagraph"/>
      </w:pPr>
      <w:r>
        <w:t xml:space="preserve">The political identification of each cluster can be assessed by regressing cluster membership on left-right self-identification recoded into 4 categories; left (0 to 2), center-left (3 and 4), center (5), center-right (6 and 7) and right (8 to 10). To do so, the so-called three-step approach is used: after clusters are defined (step one), each cluster membership posterior probabilities are assigned to every observations (second step). Then, cluster membership can be regressed on a set of independent variables.</w:t>
      </w:r>
    </w:p>
    <w:bookmarkStart w:id="80" w:name="tbl-3stepl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center-right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right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2.2273</w:t>
            </w:r>
          </w:p>
        </w:tc>
      </w:tr>
    </w:tbl>
    <w:p>
      <w:pPr>
        <w:pStyle w:val="BodyText"/>
      </w:pPr>
      <w:r>
        <w:rPr>
          <w:bCs/>
          <w:b/>
        </w:rPr>
        <w:t xml:space="preserve">?(caption)</w:t>
      </w:r>
    </w:p>
    <w:bookmarkEnd w:id="80"/>
    <w:p>
      <w:pPr>
        <w:pStyle w:val="BodyText"/>
      </w:pPr>
      <w:r>
        <w:t xml:space="preserve">The results are presented in</w:t>
      </w:r>
      <w:r>
        <w:t xml:space="preserve"> </w:t>
      </w:r>
      <w:r>
        <w:rPr>
          <w:bCs/>
          <w:b/>
        </w:rPr>
        <w:t xml:space="preserve">?@tbl-3steplr</w:t>
      </w:r>
      <w:r>
        <w:t xml:space="preserve"> </w:t>
      </w:r>
      <w:r>
        <w:t xml:space="preserve">and can be resumed as follows: clusters 2, 8 and 12 lean to the left; cluster 4 to the center-left; cluster 10 to the center-right and clusters 3, 5, 7 and 9 to the right.</w:t>
      </w:r>
    </w:p>
    <w:p>
      <w:pPr>
        <w:pStyle w:val="BodyText"/>
      </w:pPr>
      <w:r>
        <w:t xml:space="preserve">Cluster 2 constitutes the core of the left bloc: its members have strong left-wing preferences regarding all issue positions, which broadly correspond to the program of the Swiss Socialist party during the 90s.</w:t>
      </w:r>
    </w:p>
    <w:p>
      <w:pPr>
        <w:pStyle w:val="BodyText"/>
      </w:pPr>
      <w:r>
        <w:t xml:space="preserve">Cluster 8 could also easily fit into the left bloc since it only differs from cluster 2 by its less pronounced support for environment protection (although it is still against nuclear energy). The left could also include cluster 12, which has however a dissenting position vis-à-vis EU integration and cultural issues (more conservative). All these three clusters combined, the left bloc constitutes 22.3% of the sample, which approximately corresponds to the party’s share of the vote of the Socialist party in the 1999 elections (22.5%). An extended left bloc would include cluster 1 (17,8%) and/or 4 (12,36%), which support social expenditure, taxes on high income and EU integration, but are more in favor of free markets and of defending traditions.</w:t>
      </w:r>
    </w:p>
    <w:p>
      <w:pPr>
        <w:pStyle w:val="BodyText"/>
      </w:pPr>
      <w:r>
        <w:t xml:space="preserve">The heart of the bloc bourgeois is constituted by cluster 10 since it is the only cluster being strongly in favor of neoliberal policies, European integration, and which has broad</w:t>
      </w:r>
      <w:r>
        <w:t xml:space="preserve"> </w:t>
      </w:r>
      <w:r>
        <w:t xml:space="preserve">“</w:t>
      </w:r>
      <w:r>
        <w:t xml:space="preserve">culturally progressive</w:t>
      </w:r>
      <w:r>
        <w:t xml:space="preserve">”</w:t>
      </w:r>
      <w:r>
        <w:t xml:space="preserve"> </w:t>
      </w:r>
      <w:r>
        <w:t xml:space="preserve">preferences while being socially composed by the highest income and educational groups. This cluster is however rather limited in size (4.9%) and isolated from the other right-wing clusters regarding EU integration and cultural preferences. Cluster 9 is the core of the conservative branch within the Liberal-Conservatives: it is in favor of neoliberal policies while being against EU integration and equal rights and chances for foreigners, and strongly for defending traditions. Its preferences are close to clusters 3 and 5 and these three clusters could easily be aggregated into a neoliberal and conservative bloc that would represent 25.7% of the sample. This bloc could also include cluster 7 (7%), which is however more divided over neoliberal policies (it is for instance strongly in favor of increasing taxes on high income).</w:t>
      </w:r>
    </w:p>
    <w:bookmarkEnd w:id="81"/>
    <w:bookmarkStart w:id="82" w:name="discussion-of-the-results"/>
    <w:p>
      <w:pPr>
        <w:pStyle w:val="Heading4"/>
      </w:pPr>
      <w:r>
        <w:t xml:space="preserve">2.3.2.3 Discussion of the results</w:t>
      </w:r>
    </w:p>
    <w:p>
      <w:pPr>
        <w:pStyle w:val="FirstParagraph"/>
      </w:pPr>
      <w:r>
        <w:t xml:space="preserve">The results of the LCA analysis using post-election survey data for 1999 shows how the post-war left and liberal-conservative blocs recomposed during the 90s. The left bloc seemed less destabilized than the liberal-conservative bloc. The former, which includes clusters 2 and 8 (19.67%) had two alternative strategies to extend the bloc by including other socio-political groups. One the one hand, it could have tried to include cluster 12, which has left-wing economic policy preferences, but is limited in size (2,6%) and is less in favor of EU integration and more conservative culturally. On the other hand, it could have tried to include more center or center-left groups like clusters 1 and 4, but at the expense of dampening its economic program by being more in favor of free markets to meet their expectations.</w:t>
      </w:r>
    </w:p>
    <w:p>
      <w:pPr>
        <w:pStyle w:val="BodyText"/>
      </w:pPr>
      <w:r>
        <w:t xml:space="preserve">This strategy would have corresponded to a Swiss variant of the</w:t>
      </w:r>
      <w:r>
        <w:t xml:space="preserve"> </w:t>
      </w:r>
      <w:r>
        <w:t xml:space="preserve">“</w:t>
      </w:r>
      <w:r>
        <w:t xml:space="preserve">Third Way</w:t>
      </w:r>
      <w:r>
        <w:t xml:space="preserve">”</w:t>
      </w:r>
      <w:r>
        <w:t xml:space="preserve">, incarnated by Tony Blair’s Labour Party in the UK and Schröder’s SPD in Germany. In the years following the 1999 national elections, this strategy was attempted by certain members of the Socialist Party, most notably by Simonetta Sommaruga, who published in 2001 the</w:t>
      </w:r>
      <w:r>
        <w:t xml:space="preserve"> </w:t>
      </w:r>
      <w:r>
        <w:rPr>
          <w:iCs/>
          <w:i/>
        </w:rPr>
        <w:t xml:space="preserve">Gurten Manifesto, for a new and progressive SP policy</w:t>
      </w:r>
      <w:r>
        <w:t xml:space="preserve">. This manifesto, co-authored with the political scientist Wolf Linder, the historian Tobias Kaestli and Henri Huber, was a clear call for a Third Way in Switzerland. However, the Third Way was never fully endorsed by the Swiss Socialist Party, at least compared to other countries</w:t>
      </w:r>
      <w:r>
        <w:t xml:space="preserve"> </w:t>
      </w:r>
      <w:r>
        <w:t xml:space="preserve">(Oesch and Rennwald 2010, 347)</w:t>
      </w:r>
      <w:r>
        <w:t xml:space="preserve">. The cluster analysis performed here shows why a third way strategy was a dead end for the Swiss left, considering the diversity of socio-political groups’ preferences. To attract clusters 1 or 4, the Swiss Socialist Party had to be more conservative not only economically, but also</w:t>
      </w:r>
      <w:r>
        <w:t xml:space="preserve"> </w:t>
      </w:r>
      <w:r>
        <w:rPr>
          <w:iCs/>
          <w:i/>
        </w:rPr>
        <w:t xml:space="preserve">culturally</w:t>
      </w:r>
      <w:r>
        <w:t xml:space="preserve"> </w:t>
      </w:r>
      <w:r>
        <w:t xml:space="preserve">since these clusters are in favor of defending Swiss traditions. This strategy would have hence come with the risk for the Socialist Party to lose its fundamental base constituted by cluster 2. The other strategy, attract cluster 12, seemed more feasible, as the left bloc could have attracted this cluster thanks to their proximity in terms of economic issues.</w:t>
      </w:r>
    </w:p>
    <w:p>
      <w:pPr>
        <w:pStyle w:val="BodyText"/>
      </w:pPr>
      <w:r>
        <w:t xml:space="preserve">The divisions within the liberal-conservative clusters marked a shift in power balance within the bloc: the core of the bourgeois bloc was very limited (5%) whereas the neoliberal, conservative and anti-EU clusters (3, 5, 10) became a majority within the bloc. This shows that the neoliberal strategy based on the revitalization program and combined with a pro-EU and culturally progressive agenda was not sustainable as its social base was not large enough. This could explain why Switzerland, under the leadership of the UDC, rapidly adopted some forms of conservative neoliberalism.</w:t>
      </w:r>
    </w:p>
    <w:bookmarkEnd w:id="82"/>
    <w:bookmarkEnd w:id="83"/>
    <w:bookmarkEnd w:id="84"/>
    <w:bookmarkEnd w:id="85"/>
    <w:bookmarkStart w:id="86" w:name="conclusion"/>
    <w:p>
      <w:pPr>
        <w:pStyle w:val="Heading1"/>
      </w:pPr>
      <w:r>
        <w:t xml:space="preserve">3. Conclusion</w:t>
      </w:r>
    </w:p>
    <w:p>
      <w:pPr>
        <w:pStyle w:val="FirstParagraph"/>
      </w:pPr>
      <w:r>
        <w:t xml:space="preserve">The aim of this study was to explore the social foundations of the transformation of Swiss capitalism since the 1980s. The rationale was to show that the neoliberal transformation of the Swiss hybrid model had to be founded on a strategy of institutional change supported by a sufficiently broad social base.</w:t>
      </w:r>
    </w:p>
    <w:p>
      <w:pPr>
        <w:pStyle w:val="BodyText"/>
      </w:pPr>
      <w:r>
        <w:t xml:space="preserve">The crisis of the 90s did not mark a break-up of the Swiss dominant social bloc, but a recomposition and a change in the power balance within the bloc itself. While the crisis did not destabilized the left bloc that much, the right bloc, that I named</w:t>
      </w:r>
      <w:r>
        <w:t xml:space="preserve"> </w:t>
      </w:r>
      <w:r>
        <w:t xml:space="preserve">“</w:t>
      </w:r>
      <w:r>
        <w:t xml:space="preserve">liberal-conservative</w:t>
      </w:r>
      <w:r>
        <w:t xml:space="preserve">”</w:t>
      </w:r>
      <w:r>
        <w:t xml:space="preserve"> </w:t>
      </w:r>
      <w:r>
        <w:t xml:space="preserve">throughout this work, underwent important process of change.</w:t>
      </w:r>
    </w:p>
    <w:p>
      <w:pPr>
        <w:pStyle w:val="BodyText"/>
      </w:pPr>
      <w:r>
        <w:t xml:space="preserve">In fact, the social bases of the political parties representing the liberal-conservative bloc, the PRD-PLR, PDC and UDC, changed substantially since the 80s. Unlike</w:t>
      </w:r>
      <w:r>
        <w:t xml:space="preserve"> </w:t>
      </w:r>
      <w:r>
        <w:t xml:space="preserve">Durrer de la Sota, Gethin, and Martinez-Toledano (2021)</w:t>
      </w:r>
      <w:r>
        <w:t xml:space="preserve">, who showed that the social base of right-wing government parties stayed rather stable since the 70s, the results presented in the previous section show that, while the UDC’s social basis was rather merchant in the 80s, it transformed into a popular base during the 90s. Furthermore, the social basis of the PRD (then PLR) used to be very bourgeois until the 2010s, period after which this social base showed trends towards an evolution into a merchant right. Interestingly, my results are more supportive of the brahmin left vs merchant right divide hypothesis than the WPID’s own results for the Swiss case. However, if one looks at political leaning instead of party support, the left appears to be bourgeois in the sense that it is supported by the upper-middle income groups and by university graduates, while right self-identification evolved into a merchant right pattern.</w:t>
      </w:r>
    </w:p>
    <w:p>
      <w:pPr>
        <w:pStyle w:val="BodyText"/>
      </w:pPr>
      <w:r>
        <w:t xml:space="preserve">Then, an analysis closer to the methods and conceptual framework of the neorealist approach was carried out through a latent class analysis for the late 1990s in order to assess more closely the recomposition of the left and liberal-conservative blocs during the crisis. The LCA results show…</w:t>
      </w:r>
    </w:p>
    <w:p>
      <w:pPr>
        <w:pStyle w:val="BodyText"/>
      </w:pPr>
      <w:r>
        <w:t xml:space="preserve">As stated in the introduction, the present work is a first attempt to employ neorealist framework and methodology to study institutional change in Switzerland. The present work suffers from several limitations that could be improve in further studies. First, the time span ranges from 1981 to 2016. Although the time frame can’t really go back further than 1981, it could be extended to most recent years. This could be done, for instance, by analyzing the</w:t>
      </w:r>
      <w:r>
        <w:t xml:space="preserve"> </w:t>
      </w:r>
      <w:r>
        <w:rPr>
          <w:iCs/>
          <w:i/>
        </w:rPr>
        <w:t xml:space="preserve">VOTO</w:t>
      </w:r>
      <w:r>
        <w:t xml:space="preserve"> </w:t>
      </w:r>
      <w:r>
        <w:t xml:space="preserve">studies (the successor of the</w:t>
      </w:r>
      <w:r>
        <w:t xml:space="preserve"> </w:t>
      </w:r>
      <w:r>
        <w:rPr>
          <w:iCs/>
          <w:i/>
        </w:rPr>
        <w:t xml:space="preserve">VOX</w:t>
      </w:r>
      <w:r>
        <w:t xml:space="preserve"> </w:t>
      </w:r>
      <w:r>
        <w:t xml:space="preserve">studies since 2017) which collected post-voting survey data from 2017 to 2020. This analysis of the</w:t>
      </w:r>
      <w:r>
        <w:t xml:space="preserve"> </w:t>
      </w:r>
      <w:r>
        <w:rPr>
          <w:iCs/>
          <w:i/>
        </w:rPr>
        <w:t xml:space="preserve">VOTO</w:t>
      </w:r>
      <w:r>
        <w:t xml:space="preserve"> </w:t>
      </w:r>
      <w:r>
        <w:t xml:space="preserve">studies could be complemented, as done in this work, by a latent class analysis using more recent data, for instance the SELECTS 2019 panel study, which offers even better questions than the SELECTS post-election data for 1999 used in the previous section. Overall, more recent data analysis would be a good complement to the present study.</w:t>
      </w:r>
    </w:p>
    <w:p>
      <w:pPr>
        <w:pStyle w:val="BodyText"/>
      </w:pPr>
      <w:r>
        <w:t xml:space="preserve">Finally, the present work tends to overlook the crucial role of ideology and political strategies. On the one hand, the different political strategies aimed at promoting a new Swiss socio-economic model, both on the left and the right, deserve to be more carefully explored. On the other hand, ideology, both at the Swiss and international levels, could explain the transformations of these strategies, but also the transformation of the social basis of the different blocs.</w:t>
      </w:r>
    </w:p>
    <w:bookmarkEnd w:id="86"/>
    <w:bookmarkStart w:id="120" w:name="appendix"/>
    <w:p>
      <w:pPr>
        <w:pStyle w:val="Heading1"/>
      </w:pPr>
      <w:r>
        <w:t xml:space="preserve">4. Appendix</w:t>
      </w:r>
    </w:p>
    <w:tbl>
      <w:tblPr>
        <w:tblStyle w:val="Table"/>
        <w:tblW w:type="pct" w:w="5000"/>
        <w:tblLook w:firstRow="0" w:lastRow="0" w:firstColumn="0" w:lastColumn="0" w:noHBand="0" w:noVBand="0" w:val="0000"/>
        <w:jc w:val="start"/>
      </w:tblPr>
      <w:tblGrid>
        <w:gridCol w:w="7920"/>
      </w:tblGrid>
      <w:tr>
        <w:tc>
          <w:tcPr/>
          <w:bookmarkStart w:id="90" w:name="fig-plotdescrparties"/>
          <w:p>
            <w:pPr>
              <w:jc w:val="center"/>
            </w:pPr>
            <w:r>
              <w:drawing>
                <wp:inline>
                  <wp:extent cx="4620126" cy="3696101"/>
                  <wp:effectExtent b="0" l="0" r="0" t="0"/>
                  <wp:docPr descr="" title="" id="88" name="Picture"/>
                  <a:graphic>
                    <a:graphicData uri="http://schemas.openxmlformats.org/drawingml/2006/picture">
                      <pic:pic>
                        <pic:nvPicPr>
                          <pic:cNvPr descr="conclusion_appendix_files/figure-docx/fig-plotdescrparties-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Proportions of Swiss citizen’s support for the country’s main parties: 1981:2016</w:t>
            </w:r>
          </w:p>
          <w:bookmarkEnd w:id="90"/>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4" w:name="fig-plotdescrleaning"/>
          <w:p>
            <w:pPr>
              <w:jc w:val="center"/>
            </w:pPr>
            <w:r>
              <w:drawing>
                <wp:inline>
                  <wp:extent cx="4620126" cy="3696101"/>
                  <wp:effectExtent b="0" l="0" r="0" t="0"/>
                  <wp:docPr descr="" title="" id="92" name="Picture"/>
                  <a:graphic>
                    <a:graphicData uri="http://schemas.openxmlformats.org/drawingml/2006/picture">
                      <pic:pic>
                        <pic:nvPicPr>
                          <pic:cNvPr descr="conclusion_appendix_files/figure-docx/fig-plotdescrleaning-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Proportions of Swiss citizen leaning for the left, the right or neither left or right: 1988-2016</w:t>
            </w:r>
          </w:p>
          <w:bookmarkEnd w:id="9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8" w:name="fig-plotdescrIP"/>
          <w:p>
            <w:pPr>
              <w:jc w:val="center"/>
            </w:pPr>
            <w:r>
              <w:drawing>
                <wp:inline>
                  <wp:extent cx="4620126" cy="3696101"/>
                  <wp:effectExtent b="0" l="0" r="0" t="0"/>
                  <wp:docPr descr="" title="" id="96" name="Picture"/>
                  <a:graphic>
                    <a:graphicData uri="http://schemas.openxmlformats.org/drawingml/2006/picture">
                      <pic:pic>
                        <pic:nvPicPr>
                          <pic:cNvPr descr="conclusion_appendix_files/figure-docx/fig-plotdescrIP-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Proportions of Swiss citizen supporting state intervention, equal rights &amp; chances for foreigners, and redistribution: 1993-2016</w:t>
            </w:r>
          </w:p>
          <w:bookmarkEnd w:id="98"/>
        </w:tc>
      </w:tr>
    </w:tbl>
    <w:bookmarkStart w:id="99" w:name="tbl-summarylogitpartieslef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party</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75456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96941.1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97679.6</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-30158.935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-48390.555</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99"/>
    <w:bookmarkStart w:id="100" w:name="tbl-summarylogitpartiesrigh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PRD-PLR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PDC/PCS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41848.2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42579.0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-23338.037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-17384.620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-20844.110</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00"/>
    <w:bookmarkStart w:id="101" w:name="tbl-summarylogitleaning"/>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Left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Right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leaning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58592.7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59307.8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-26407.061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-26143.026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-29214.367</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01"/>
    <w:bookmarkStart w:id="102" w:name="tbl-summarylogitI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Redistribution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Equal R&amp;C CH-foreign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 intervention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52537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64698.3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65425.6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-35483.212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-34542.213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-32267.140</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102"/>
    <w:tbl>
      <w:tblPr>
        <w:tblStyle w:val="Table"/>
        <w:tblW w:type="pct" w:w="5000"/>
        <w:tblLook w:firstRow="0" w:lastRow="0" w:firstColumn="0" w:lastColumn="0" w:noHBand="0" w:noVBand="0" w:val="0000"/>
        <w:jc w:val="start"/>
      </w:tblPr>
      <w:tblGrid>
        <w:gridCol w:w="7920"/>
      </w:tblGrid>
      <w:tr>
        <w:tc>
          <w:tcPr/>
          <w:bookmarkStart w:id="106" w:name="fig-glmerameparties"/>
          <w:p>
            <w:pPr>
              <w:jc w:val="center"/>
            </w:pPr>
            <w:r>
              <w:drawing>
                <wp:inline>
                  <wp:extent cx="4620126" cy="6468176"/>
                  <wp:effectExtent b="0" l="0" r="0" t="0"/>
                  <wp:docPr descr="" title="" id="104" name="Picture"/>
                  <a:graphic>
                    <a:graphicData uri="http://schemas.openxmlformats.org/drawingml/2006/picture">
                      <pic:pic>
                        <pic:nvPicPr>
                          <pic:cNvPr descr="conclusion_appendix_files/figure-docx/fig-glmerameparties-1.png" id="105" name="Picture"/>
                          <pic:cNvPicPr>
                            <a:picLocks noChangeArrowheads="1" noChangeAspect="1"/>
                          </pic:cNvPicPr>
                        </pic:nvPicPr>
                        <pic:blipFill>
                          <a:blip r:embed="rId103"/>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4.4: Average marginal contrasts results from multilevel probit model: party support</w:t>
            </w:r>
          </w:p>
          <w:bookmarkEnd w:id="106"/>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10" w:name="fig-glmerameleaning"/>
          <w:p>
            <w:pPr>
              <w:jc w:val="center"/>
            </w:pPr>
            <w:r>
              <w:drawing>
                <wp:inline>
                  <wp:extent cx="4620126" cy="3696101"/>
                  <wp:effectExtent b="0" l="0" r="0" t="0"/>
                  <wp:docPr descr="" title="" id="108" name="Picture"/>
                  <a:graphic>
                    <a:graphicData uri="http://schemas.openxmlformats.org/drawingml/2006/picture">
                      <pic:pic>
                        <pic:nvPicPr>
                          <pic:cNvPr descr="conclusion_appendix_files/figure-docx/fig-glmerameleaning-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4.5: Average marginal contrasts results from multilevel probit regressions: political leaning</w:t>
            </w:r>
          </w:p>
          <w:bookmarkEnd w:id="110"/>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14" w:name="fig-glmerameIP"/>
          <w:p>
            <w:pPr>
              <w:jc w:val="center"/>
            </w:pPr>
            <w:r>
              <w:drawing>
                <wp:inline>
                  <wp:extent cx="4620126" cy="3696101"/>
                  <wp:effectExtent b="0" l="0" r="0" t="0"/>
                  <wp:docPr descr="" title="" id="112" name="Picture"/>
                  <a:graphic>
                    <a:graphicData uri="http://schemas.openxmlformats.org/drawingml/2006/picture">
                      <pic:pic>
                        <pic:nvPicPr>
                          <pic:cNvPr descr="conclusion_appendix_files/figure-docx/fig-glmerameIP-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4.6: Average marginal contrasts results from multilevel probit regressions: issue position</w:t>
            </w:r>
          </w:p>
          <w:bookmarkEnd w:id="114"/>
        </w:tc>
      </w:tr>
    </w:tbl>
    <w:bookmarkStart w:id="115" w:name="tbl-modellc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L²</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L2 bootstrap 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 bootstrap p</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Entropy R²</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14058.41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12111.01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1947.3954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11173.20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937.8165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10708.48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224.0898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124.4011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116.3432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10318.10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10259.10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10208.58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47.7854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10114.68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0.6293</w:t>
            </w:r>
          </w:p>
        </w:tc>
      </w:tr>
    </w:tbl>
    <w:p>
      <w:pPr>
        <w:pStyle w:val="BodyText"/>
      </w:pPr>
      <w:r>
        <w:rPr>
          <w:bCs/>
          <w:b/>
        </w:rPr>
        <w:t xml:space="preserve">?(caption)</w:t>
      </w:r>
    </w:p>
    <w:bookmarkEnd w:id="115"/>
    <w:tbl>
      <w:tblPr>
        <w:tblStyle w:val="Table"/>
        <w:tblW w:type="pct" w:w="5000"/>
        <w:tblLook w:firstRow="0" w:lastRow="0" w:firstColumn="0" w:lastColumn="0" w:noHBand="0" w:noVBand="0" w:val="0000"/>
        <w:jc w:val="start"/>
      </w:tblPr>
      <w:tblGrid>
        <w:gridCol w:w="7920"/>
      </w:tblGrid>
      <w:tr>
        <w:tc>
          <w:tcPr/>
          <w:bookmarkStart w:id="119" w:name="fig-lcaindicators"/>
          <w:p>
            <w:pPr>
              <w:jc w:val="center"/>
            </w:pPr>
            <w:r>
              <w:drawing>
                <wp:inline>
                  <wp:extent cx="5334000" cy="1939636"/>
                  <wp:effectExtent b="0" l="0" r="0" t="0"/>
                  <wp:docPr descr="" title="" id="117" name="Picture"/>
                  <a:graphic>
                    <a:graphicData uri="http://schemas.openxmlformats.org/drawingml/2006/picture">
                      <pic:pic>
                        <pic:nvPicPr>
                          <pic:cNvPr descr="conclusion_appendix_files/figure-docx/fig-lcaindicators-1.png" id="118" name="Picture"/>
                          <pic:cNvPicPr>
                            <a:picLocks noChangeArrowheads="1" noChangeAspect="1"/>
                          </pic:cNvPicPr>
                        </pic:nvPicPr>
                        <pic:blipFill>
                          <a:blip r:embed="rId116"/>
                          <a:stretch>
                            <a:fillRect/>
                          </a:stretch>
                        </pic:blipFill>
                        <pic:spPr bwMode="auto">
                          <a:xfrm>
                            <a:off x="0" y="0"/>
                            <a:ext cx="5334000" cy="19396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4.7: Variables chosen as indicators in the Latent class model for 1999: descriptive statistics</w:t>
            </w:r>
          </w:p>
          <w:bookmarkEnd w:id="119"/>
        </w:tc>
      </w:tr>
    </w:tbl>
    <w:bookmarkEnd w:id="120"/>
    <w:bookmarkStart w:id="255" w:name="references"/>
    <w:p>
      <w:pPr>
        <w:pStyle w:val="Heading1"/>
      </w:pPr>
      <w:r>
        <w:t xml:space="preserve">References</w:t>
      </w:r>
    </w:p>
    <w:bookmarkStart w:id="254" w:name="refs"/>
    <w:bookmarkStart w:id="121" w:name="ref-albert_capitalism_2009"/>
    <w:p>
      <w:pPr>
        <w:pStyle w:val="Bibliography"/>
      </w:pPr>
      <w:r>
        <w:t xml:space="preserve">Albert, Michael. 2009.</w:t>
      </w:r>
      <w:r>
        <w:t xml:space="preserve"> </w:t>
      </w:r>
      <w:r>
        <w:rPr>
          <w:iCs/>
          <w:i/>
        </w:rPr>
        <w:t xml:space="preserve">Capitalism Against Capitalism</w:t>
      </w:r>
      <w:r>
        <w:t xml:space="preserve">. 1st edition. London: Wiley.</w:t>
      </w:r>
    </w:p>
    <w:bookmarkEnd w:id="121"/>
    <w:bookmarkStart w:id="123"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122">
        <w:r>
          <w:rPr>
            <w:rStyle w:val="Hyperlink"/>
          </w:rPr>
          <w:t xml:space="preserve">https://doi.org/10.1177/002200947901400402</w:t>
        </w:r>
      </w:hyperlink>
      <w:r>
        <w:t xml:space="preserve">.</w:t>
      </w:r>
    </w:p>
    <w:bookmarkEnd w:id="123"/>
    <w:bookmarkStart w:id="124"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124"/>
    <w:bookmarkStart w:id="126"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125">
        <w:r>
          <w:rPr>
            <w:rStyle w:val="Hyperlink"/>
          </w:rPr>
          <w:t xml:space="preserve">https://doi.org/10.1093/acprof:oso/9780198787815.001.0001</w:t>
        </w:r>
      </w:hyperlink>
      <w:r>
        <w:t xml:space="preserve">.</w:t>
      </w:r>
    </w:p>
    <w:bookmarkEnd w:id="126"/>
    <w:bookmarkStart w:id="128"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127">
        <w:r>
          <w:rPr>
            <w:rStyle w:val="Hyperlink"/>
          </w:rPr>
          <w:t xml:space="preserve">https://doi.org/10.4000/regulation.20350</w:t>
        </w:r>
      </w:hyperlink>
      <w:r>
        <w:t xml:space="preserve">.</w:t>
      </w:r>
    </w:p>
    <w:bookmarkEnd w:id="128"/>
    <w:bookmarkStart w:id="129"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129"/>
    <w:bookmarkStart w:id="131"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130">
        <w:r>
          <w:rPr>
            <w:rStyle w:val="Hyperlink"/>
          </w:rPr>
          <w:t xml:space="preserve">https://doi.org/10.1080/09692290.2021.1913440</w:t>
        </w:r>
      </w:hyperlink>
      <w:r>
        <w:t xml:space="preserve">.</w:t>
      </w:r>
    </w:p>
    <w:bookmarkEnd w:id="131"/>
    <w:bookmarkStart w:id="132"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132"/>
    <w:bookmarkStart w:id="133"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133"/>
    <w:bookmarkStart w:id="135"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134">
        <w:r>
          <w:rPr>
            <w:rStyle w:val="Hyperlink"/>
          </w:rPr>
          <w:t xml:space="preserve">https://doi.org/10.1093/ser/mwn018</w:t>
        </w:r>
      </w:hyperlink>
      <w:r>
        <w:t xml:space="preserve">.</w:t>
      </w:r>
    </w:p>
    <w:bookmarkEnd w:id="135"/>
    <w:bookmarkStart w:id="137"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136">
        <w:r>
          <w:rPr>
            <w:rStyle w:val="Hyperlink"/>
          </w:rPr>
          <w:t xml:space="preserve">https://doi.org/10.4337/9781782549925.00015</w:t>
        </w:r>
      </w:hyperlink>
      <w:r>
        <w:t xml:space="preserve">.</w:t>
      </w:r>
    </w:p>
    <w:bookmarkEnd w:id="137"/>
    <w:bookmarkStart w:id="138"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138"/>
    <w:bookmarkStart w:id="140"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139">
        <w:r>
          <w:rPr>
            <w:rStyle w:val="Hyperlink"/>
          </w:rPr>
          <w:t xml:space="preserve">https://doi.org/10.1080/13563467.2023.2215701</w:t>
        </w:r>
      </w:hyperlink>
      <w:r>
        <w:t xml:space="preserve">.</w:t>
      </w:r>
    </w:p>
    <w:bookmarkEnd w:id="140"/>
    <w:bookmarkStart w:id="141"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141"/>
    <w:bookmarkStart w:id="143"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142">
        <w:r>
          <w:rPr>
            <w:rStyle w:val="Hyperlink"/>
          </w:rPr>
          <w:t xml:space="preserve">https://doi.org/10.5169/seals-515017</w:t>
        </w:r>
      </w:hyperlink>
      <w:r>
        <w:t xml:space="preserve">.</w:t>
      </w:r>
    </w:p>
    <w:bookmarkEnd w:id="143"/>
    <w:bookmarkStart w:id="145"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144">
        <w:r>
          <w:rPr>
            <w:rStyle w:val="Hyperlink"/>
          </w:rPr>
          <w:t xml:space="preserve">http://gen.lib.rus.ec/book/index.php?md5=ee123095cfe9fb8d6bcd03d6579a0705</w:t>
        </w:r>
      </w:hyperlink>
      <w:r>
        <w:t xml:space="preserve">.</w:t>
      </w:r>
    </w:p>
    <w:bookmarkEnd w:id="145"/>
    <w:bookmarkStart w:id="146"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146"/>
    <w:bookmarkStart w:id="148"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147">
        <w:r>
          <w:rPr>
            <w:rStyle w:val="Hyperlink"/>
          </w:rPr>
          <w:t xml:space="preserve">https://doi.org/10.23662/FORS-DS-688-2</w:t>
        </w:r>
      </w:hyperlink>
      <w:r>
        <w:t xml:space="preserve">.</w:t>
      </w:r>
    </w:p>
    <w:bookmarkEnd w:id="148"/>
    <w:bookmarkStart w:id="150"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149">
        <w:r>
          <w:rPr>
            <w:rStyle w:val="Hyperlink"/>
          </w:rPr>
          <w:t xml:space="preserve">https://doi.org/10.1002/j.1662-6370.1997.tb00198.x</w:t>
        </w:r>
      </w:hyperlink>
      <w:r>
        <w:t xml:space="preserve">.</w:t>
      </w:r>
    </w:p>
    <w:bookmarkEnd w:id="150"/>
    <w:bookmarkStart w:id="152"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151">
        <w:r>
          <w:rPr>
            <w:rStyle w:val="Hyperlink"/>
          </w:rPr>
          <w:t xml:space="preserve">https://oec.world/en/rankings/eci/hs6/hs96</w:t>
        </w:r>
      </w:hyperlink>
      <w:r>
        <w:t xml:space="preserve">.</w:t>
      </w:r>
    </w:p>
    <w:bookmarkEnd w:id="152"/>
    <w:bookmarkStart w:id="153"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153"/>
    <w:bookmarkStart w:id="155" w:name="ref-degen_parti_2022"/>
    <w:p>
      <w:pPr>
        <w:pStyle w:val="Bibliography"/>
      </w:pPr>
      <w:r>
        <w:t xml:space="preserve">Degen, Bernard. 2022.</w:t>
      </w:r>
      <w:r>
        <w:t xml:space="preserve"> </w:t>
      </w:r>
      <w:r>
        <w:t xml:space="preserve">“Parti socialiste (</w:t>
      </w:r>
      <w:r>
        <w:t xml:space="preserve">PS</w:t>
      </w:r>
      <w:r>
        <w:t xml:space="preserve">). hls-dhs-dss.ch.”</w:t>
      </w:r>
      <w:r>
        <w:t xml:space="preserve"> </w:t>
      </w:r>
      <w:r>
        <w:t xml:space="preserve">January 24, 2022.</w:t>
      </w:r>
      <w:r>
        <w:t xml:space="preserve"> </w:t>
      </w:r>
      <w:hyperlink r:id="rId154">
        <w:r>
          <w:rPr>
            <w:rStyle w:val="Hyperlink"/>
          </w:rPr>
          <w:t xml:space="preserve">https://hls-dhs-dss.ch/articles/017393/2022-01-24/</w:t>
        </w:r>
      </w:hyperlink>
      <w:r>
        <w:t xml:space="preserve">.</w:t>
      </w:r>
    </w:p>
    <w:bookmarkEnd w:id="155"/>
    <w:bookmarkStart w:id="157"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56">
        <w:r>
          <w:rPr>
            <w:rStyle w:val="Hyperlink"/>
          </w:rPr>
          <w:t xml:space="preserve">https://wid.world/wp-content/uploads/2021/03/WorldInequalityLab_WP2021_08_PoliticalCleavages_AustriaBelgiumNLSwitzerland.pdf</w:t>
        </w:r>
      </w:hyperlink>
      <w:r>
        <w:t xml:space="preserve">.</w:t>
      </w:r>
    </w:p>
    <w:bookmarkEnd w:id="157"/>
    <w:bookmarkStart w:id="159"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58">
        <w:r>
          <w:rPr>
            <w:rStyle w:val="Hyperlink"/>
          </w:rPr>
          <w:t xml:space="preserve">https://www.letemps.ch/economie/gerhard-schwarz-une-suisse-neoliberale-cest-une-fake-news</w:t>
        </w:r>
      </w:hyperlink>
      <w:r>
        <w:t xml:space="preserve">.</w:t>
      </w:r>
    </w:p>
    <w:bookmarkEnd w:id="159"/>
    <w:bookmarkStart w:id="161"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60">
        <w:r>
          <w:rPr>
            <w:rStyle w:val="Hyperlink"/>
          </w:rPr>
          <w:t xml:space="preserve">https://doi.org/10.1093/qje/qjab036</w:t>
        </w:r>
      </w:hyperlink>
      <w:r>
        <w:t xml:space="preserve">.</w:t>
      </w:r>
    </w:p>
    <w:bookmarkEnd w:id="161"/>
    <w:bookmarkStart w:id="162"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62"/>
    <w:bookmarkStart w:id="164"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63">
        <w:r>
          <w:rPr>
            <w:rStyle w:val="Hyperlink"/>
          </w:rPr>
          <w:t xml:space="preserve">https://www.avenir-suisse.ch/fr/7-bonnes-raisons-de-privatiser-lenergie/</w:t>
        </w:r>
      </w:hyperlink>
      <w:r>
        <w:t xml:space="preserve">.</w:t>
      </w:r>
    </w:p>
    <w:bookmarkEnd w:id="164"/>
    <w:bookmarkStart w:id="165"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65"/>
    <w:bookmarkStart w:id="167" w:name="ref-hardmeier_befragung_2022"/>
    <w:p>
      <w:pPr>
        <w:pStyle w:val="Bibliography"/>
      </w:pPr>
      <w:r>
        <w:t xml:space="preserve">Hardmeier, Sibylle, Ulrich Klöti, Hanspeter Kriesi, Wolf Linder, Pascal Sciarini, and Adrian Vatter. 2022.</w:t>
      </w:r>
      <w:r>
        <w:t xml:space="preserve"> </w:t>
      </w:r>
      <w:r>
        <w:t xml:space="preserve">“Befragung der Wählerinnen und Wähler nach den Wahlen - 1999.”</w:t>
      </w:r>
      <w:r>
        <w:t xml:space="preserve"> </w:t>
      </w:r>
      <w:r>
        <w:t xml:space="preserve">FORS</w:t>
      </w:r>
      <w:r>
        <w:t xml:space="preserve">.</w:t>
      </w:r>
      <w:r>
        <w:t xml:space="preserve"> </w:t>
      </w:r>
      <w:hyperlink r:id="rId166">
        <w:r>
          <w:rPr>
            <w:rStyle w:val="Hyperlink"/>
          </w:rPr>
          <w:t xml:space="preserve">https://doi.org/10.48573/9EX9-FP54</w:t>
        </w:r>
      </w:hyperlink>
      <w:r>
        <w:t xml:space="preserve">.</w:t>
      </w:r>
    </w:p>
    <w:bookmarkEnd w:id="167"/>
    <w:bookmarkStart w:id="168"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68"/>
    <w:bookmarkStart w:id="170"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69">
        <w:r>
          <w:rPr>
            <w:rStyle w:val="Hyperlink"/>
          </w:rPr>
          <w:t xml:space="preserve">https://doi.org/10.1080/13501763.2017.1310279</w:t>
        </w:r>
      </w:hyperlink>
      <w:r>
        <w:t xml:space="preserve">.</w:t>
      </w:r>
    </w:p>
    <w:bookmarkEnd w:id="170"/>
    <w:bookmarkStart w:id="172"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71">
        <w:r>
          <w:rPr>
            <w:rStyle w:val="Hyperlink"/>
          </w:rPr>
          <w:t xml:space="preserve">https://doi.org/10.2307/1953494</w:t>
        </w:r>
      </w:hyperlink>
      <w:r>
        <w:t xml:space="preserve">.</w:t>
      </w:r>
    </w:p>
    <w:bookmarkEnd w:id="172"/>
    <w:bookmarkStart w:id="174"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73">
        <w:r>
          <w:rPr>
            <w:rStyle w:val="Hyperlink"/>
          </w:rPr>
          <w:t xml:space="preserve">https://doi.org/10.2307/j.ctv346rbz</w:t>
        </w:r>
      </w:hyperlink>
      <w:r>
        <w:t xml:space="preserve">.</w:t>
      </w:r>
    </w:p>
    <w:bookmarkEnd w:id="174"/>
    <w:bookmarkStart w:id="175" w:name="ref-inglehart_changing_2009"/>
    <w:p>
      <w:pPr>
        <w:pStyle w:val="Bibliography"/>
      </w:pPr>
      <w:r>
        <w:t xml:space="preserve">Inglehart, Ronald F. 2009.</w:t>
      </w:r>
      <w:r>
        <w:t xml:space="preserve"> </w:t>
      </w:r>
      <w:r>
        <w:t xml:space="preserve">“Changing Values Among Western Publics from 1970 to 2006.”</w:t>
      </w:r>
      <w:r>
        <w:t xml:space="preserve"> </w:t>
      </w:r>
      <w:r>
        <w:t xml:space="preserve">In</w:t>
      </w:r>
      <w:r>
        <w:t xml:space="preserve"> </w:t>
      </w:r>
      <w:r>
        <w:rPr>
          <w:iCs/>
          <w:i/>
        </w:rPr>
        <w:t xml:space="preserve">European Politics</w:t>
      </w:r>
      <w:r>
        <w:t xml:space="preserve">. Routledge.</w:t>
      </w:r>
    </w:p>
    <w:bookmarkEnd w:id="175"/>
    <w:bookmarkStart w:id="177"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76">
        <w:r>
          <w:rPr>
            <w:rStyle w:val="Hyperlink"/>
          </w:rPr>
          <w:t xml:space="preserve">https://doi.org/10.2307/1962590</w:t>
        </w:r>
      </w:hyperlink>
      <w:r>
        <w:t xml:space="preserve">.</w:t>
      </w:r>
    </w:p>
    <w:bookmarkEnd w:id="177"/>
    <w:bookmarkStart w:id="179" w:name="ref-juilland__2012"/>
    <w:p>
      <w:pPr>
        <w:pStyle w:val="Bibliography"/>
      </w:pPr>
      <w:r>
        <w:t xml:space="preserve">Juilland, Dominique. 2012.</w:t>
      </w:r>
      <w:r>
        <w:t xml:space="preserve"> </w:t>
      </w:r>
      <w:r>
        <w:t xml:space="preserve">“« La Suisse n’a pas d’armée, elle est une armée ! ».”</w:t>
      </w:r>
      <w:r>
        <w:t xml:space="preserve"> </w:t>
      </w:r>
      <w:r>
        <w:rPr>
          <w:iCs/>
          <w:i/>
        </w:rPr>
        <w:t xml:space="preserve">Inflexions</w:t>
      </w:r>
      <w:r>
        <w:t xml:space="preserve"> </w:t>
      </w:r>
      <w:r>
        <w:t xml:space="preserve">20 (2): 183–95.</w:t>
      </w:r>
      <w:r>
        <w:t xml:space="preserve"> </w:t>
      </w:r>
      <w:hyperlink r:id="rId178">
        <w:r>
          <w:rPr>
            <w:rStyle w:val="Hyperlink"/>
          </w:rPr>
          <w:t xml:space="preserve">https://doi.org/10.3917/infle.020.0183</w:t>
        </w:r>
      </w:hyperlink>
      <w:r>
        <w:t xml:space="preserve">.</w:t>
      </w:r>
    </w:p>
    <w:bookmarkEnd w:id="179"/>
    <w:bookmarkStart w:id="180"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80"/>
    <w:bookmarkStart w:id="181"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81"/>
    <w:bookmarkStart w:id="183" w:name="ref-kergomard_ni_2022"/>
    <w:p>
      <w:pPr>
        <w:pStyle w:val="Bibliography"/>
      </w:pPr>
      <w:r>
        <w:t xml:space="preserve">Kergomard, Zoé. 2022.</w:t>
      </w:r>
      <w:r>
        <w:t xml:space="preserve"> </w:t>
      </w:r>
      <w:r>
        <w:t xml:space="preserve">“Ni « rouge » ni « pauvre type » ? Le parti socialiste suisse à la recherche de son électorat (1947-1983).”</w:t>
      </w:r>
      <w:r>
        <w:t xml:space="preserve"> </w:t>
      </w:r>
      <w:r>
        <w:rPr>
          <w:iCs/>
          <w:i/>
        </w:rPr>
        <w:t xml:space="preserve">Histoire Politique. Revue du Centre d’histoire de Sciences Po</w:t>
      </w:r>
      <w:r>
        <w:t xml:space="preserve">, no. 47 (June).</w:t>
      </w:r>
      <w:r>
        <w:t xml:space="preserve"> </w:t>
      </w:r>
      <w:hyperlink r:id="rId182">
        <w:r>
          <w:rPr>
            <w:rStyle w:val="Hyperlink"/>
          </w:rPr>
          <w:t xml:space="preserve">https://doi.org/10.4000/histoirepolitique.7344</w:t>
        </w:r>
      </w:hyperlink>
      <w:r>
        <w:t xml:space="preserve">.</w:t>
      </w:r>
    </w:p>
    <w:bookmarkEnd w:id="183"/>
    <w:bookmarkStart w:id="185"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84">
        <w:r>
          <w:rPr>
            <w:rStyle w:val="Hyperlink"/>
          </w:rPr>
          <w:t xml:space="preserve">http://gen.lib.rus.ec/book/index.php?md5=672bb6ec977ceddc83c745ffc8db0022</w:t>
        </w:r>
      </w:hyperlink>
      <w:r>
        <w:t xml:space="preserve">.</w:t>
      </w:r>
    </w:p>
    <w:bookmarkEnd w:id="185"/>
    <w:bookmarkStart w:id="187"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86">
        <w:r>
          <w:rPr>
            <w:rStyle w:val="Hyperlink"/>
          </w:rPr>
          <w:t xml:space="preserve">https://doi.org/10.1111/j.1475-6765.2006.00644.x</w:t>
        </w:r>
      </w:hyperlink>
      <w:r>
        <w:t xml:space="preserve">.</w:t>
      </w:r>
    </w:p>
    <w:bookmarkEnd w:id="187"/>
    <w:bookmarkStart w:id="189" w:name="ref-kriesi_west_2008"/>
    <w:p>
      <w:pPr>
        <w:pStyle w:val="Bibliography"/>
      </w:pPr>
      <w:r>
        <w:t xml:space="preserve">Kriesi, Hanspeter,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88">
        <w:r>
          <w:rPr>
            <w:rStyle w:val="Hyperlink"/>
          </w:rPr>
          <w:t xml:space="preserve">https://doi.org/10.1017/CBO9780511790720</w:t>
        </w:r>
      </w:hyperlink>
      <w:r>
        <w:t xml:space="preserve">.</w:t>
      </w:r>
    </w:p>
    <w:bookmarkEnd w:id="189"/>
    <w:bookmarkStart w:id="190"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90"/>
    <w:bookmarkStart w:id="192" w:name="ref-lijphart_religious_1979"/>
    <w:p>
      <w:pPr>
        <w:pStyle w:val="Bibliography"/>
      </w:pPr>
      <w:r>
        <w:t xml:space="preserve">Lijphart, Arend. 1979.</w:t>
      </w:r>
      <w:r>
        <w:t xml:space="preserve"> </w:t>
      </w:r>
      <w:r>
        <w:t xml:space="preserve">“Religious Vs. Linguistic Vs. Class Voting: The "Crucial Experiment" of Comparing Belgium, Canada, South Africa, and Switzerland.”</w:t>
      </w:r>
      <w:r>
        <w:t xml:space="preserve"> </w:t>
      </w:r>
      <w:r>
        <w:rPr>
          <w:iCs/>
          <w:i/>
        </w:rPr>
        <w:t xml:space="preserve">The American Political Science Review</w:t>
      </w:r>
      <w:r>
        <w:t xml:space="preserve"> </w:t>
      </w:r>
      <w:r>
        <w:t xml:space="preserve">73 (2): 442–58.</w:t>
      </w:r>
      <w:r>
        <w:t xml:space="preserve"> </w:t>
      </w:r>
      <w:hyperlink r:id="rId191">
        <w:r>
          <w:rPr>
            <w:rStyle w:val="Hyperlink"/>
          </w:rPr>
          <w:t xml:space="preserve">https://doi.org/10.2307/1954890</w:t>
        </w:r>
      </w:hyperlink>
      <w:r>
        <w:t xml:space="preserve">.</w:t>
      </w:r>
    </w:p>
    <w:bookmarkEnd w:id="192"/>
    <w:bookmarkStart w:id="193" w:name="ref-lijphart_patterns_2012"/>
    <w:p>
      <w:pPr>
        <w:pStyle w:val="Bibliography"/>
      </w:pPr>
      <w:r>
        <w:t xml:space="preserve">———. 2012.</w:t>
      </w:r>
      <w:r>
        <w:t xml:space="preserve"> </w:t>
      </w:r>
      <w:r>
        <w:rPr>
          <w:iCs/>
          <w:i/>
        </w:rPr>
        <w:t xml:space="preserve">Patterns of Democracy: Government Forms and Performance in Thirty-Six Countries</w:t>
      </w:r>
      <w:r>
        <w:t xml:space="preserve">. Second edition. New Haven: Yale University Press.</w:t>
      </w:r>
    </w:p>
    <w:bookmarkEnd w:id="193"/>
    <w:bookmarkStart w:id="194" w:name="ref-lipset_party_1967"/>
    <w:p>
      <w:pPr>
        <w:pStyle w:val="Bibliography"/>
      </w:pPr>
      <w:r>
        <w:t xml:space="preserve">Lipset, Seymour Martin, and Stein Rokkan, eds. 1967.</w:t>
      </w:r>
      <w:r>
        <w:t xml:space="preserve"> </w:t>
      </w:r>
      <w:r>
        <w:rPr>
          <w:iCs/>
          <w:i/>
        </w:rPr>
        <w:t xml:space="preserve">Party Systems and Voter Alignments: Cross-National Perspectives</w:t>
      </w:r>
      <w:r>
        <w:t xml:space="preserve">. New-York: The Free Press.</w:t>
      </w:r>
    </w:p>
    <w:bookmarkEnd w:id="194"/>
    <w:bookmarkStart w:id="195"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95"/>
    <w:bookmarkStart w:id="196" w:name="ref-mach_organized_2011"/>
    <w:p>
      <w:pPr>
        <w:pStyle w:val="Bibliography"/>
      </w:pPr>
      <w:r>
        <w:t xml:space="preserve">Mach, André, and Pierre Eichenberger. 2011.</w:t>
      </w:r>
      <w:r>
        <w:t xml:space="preserve"> </w:t>
      </w:r>
      <w:r>
        <w:t xml:space="preserve">“Organized Capital and Coordinated Market Economy: Swiss Business Interest Associations Between Socio-Economic Regulation and Political Influence.”</w:t>
      </w:r>
      <w:r>
        <w:t xml:space="preserve"> </w:t>
      </w:r>
      <w:r>
        <w:t xml:space="preserve">In</w:t>
      </w:r>
      <w:r>
        <w:t xml:space="preserve"> </w:t>
      </w:r>
      <w:r>
        <w:rPr>
          <w:iCs/>
          <w:i/>
        </w:rPr>
        <w:t xml:space="preserve">Switzerland in Europe</w:t>
      </w:r>
      <w:r>
        <w:t xml:space="preserve">. Routledge.</w:t>
      </w:r>
    </w:p>
    <w:bookmarkEnd w:id="196"/>
    <w:bookmarkStart w:id="198"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97">
        <w:r>
          <w:rPr>
            <w:rStyle w:val="Hyperlink"/>
          </w:rPr>
          <w:t xml:space="preserve">https://doi.org/10.1080/1350176032000059053</w:t>
        </w:r>
      </w:hyperlink>
      <w:r>
        <w:t xml:space="preserve">.</w:t>
      </w:r>
    </w:p>
    <w:bookmarkEnd w:id="198"/>
    <w:bookmarkStart w:id="200" w:name="ref-mach_transformations_2007"/>
    <w:p>
      <w:pPr>
        <w:pStyle w:val="Bibliography"/>
      </w:pPr>
      <w:r>
        <w:t xml:space="preserve">Mach, André,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99">
        <w:r>
          <w:rPr>
            <w:rStyle w:val="Hyperlink"/>
          </w:rPr>
          <w:t xml:space="preserve">https://doi.org/10.2202/1935-6226.1022</w:t>
        </w:r>
      </w:hyperlink>
      <w:r>
        <w:t xml:space="preserve">.</w:t>
      </w:r>
    </w:p>
    <w:bookmarkEnd w:id="200"/>
    <w:bookmarkStart w:id="201"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201"/>
    <w:bookmarkStart w:id="203" w:name="ref-mettral_dubois_oeuvre_2015"/>
    <w:p>
      <w:pPr>
        <w:pStyle w:val="Bibliography"/>
      </w:pPr>
      <w:r>
        <w:t xml:space="preserve">Mettral Dubois, Véronique. 2015.</w:t>
      </w:r>
      <w:r>
        <w:t xml:space="preserve"> </w:t>
      </w:r>
      <w:r>
        <w:rPr>
          <w:iCs/>
          <w:i/>
        </w:rPr>
        <w:t xml:space="preserve">L’oeuvre Politique de James Fazy (1794-1878) Et Son Apport à l’avènement Des Droits Fondamentaux à Genève : Sources Doctrinales Et Contexte Historique</w:t>
      </w:r>
      <w:r>
        <w:t xml:space="preserve">. Collection Genevoise. Droit Et Histoire. Schulthess.</w:t>
      </w:r>
      <w:r>
        <w:t xml:space="preserve"> </w:t>
      </w:r>
      <w:hyperlink r:id="rId202">
        <w:r>
          <w:rPr>
            <w:rStyle w:val="Hyperlink"/>
          </w:rPr>
          <w:t xml:space="preserve">https://archive-ouverte.unige.ch/unige:83364</w:t>
        </w:r>
      </w:hyperlink>
      <w:r>
        <w:t xml:space="preserve">.</w:t>
      </w:r>
    </w:p>
    <w:bookmarkEnd w:id="203"/>
    <w:bookmarkStart w:id="204"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204"/>
    <w:bookmarkStart w:id="205" w:name="ref-meuwly_les_2010"/>
    <w:p>
      <w:pPr>
        <w:pStyle w:val="Bibliography"/>
      </w:pPr>
      <w:r>
        <w:t xml:space="preserve">———. 2010.</w:t>
      </w:r>
      <w:r>
        <w:t xml:space="preserve"> </w:t>
      </w:r>
      <w:r>
        <w:rPr>
          <w:iCs/>
          <w:i/>
        </w:rPr>
        <w:t xml:space="preserve">Les partis politiques: acteurs de l’histoire suisse</w:t>
      </w:r>
      <w:r>
        <w:t xml:space="preserve">. Le savoir suisse. Lausanne: Presses polytechniques et universitaires romandes.</w:t>
      </w:r>
    </w:p>
    <w:bookmarkEnd w:id="205"/>
    <w:bookmarkStart w:id="206"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206"/>
    <w:bookmarkStart w:id="208" w:name="ref-muller_grutli_2010"/>
    <w:p>
      <w:pPr>
        <w:pStyle w:val="Bibliography"/>
      </w:pPr>
      <w:r>
        <w:t xml:space="preserve">Müller, Felix. 2010.</w:t>
      </w:r>
      <w:r>
        <w:t xml:space="preserve"> </w:t>
      </w:r>
      <w:r>
        <w:t xml:space="preserve">“Grutli (société). hls-dhs-dss.ch.”</w:t>
      </w:r>
      <w:r>
        <w:t xml:space="preserve"> </w:t>
      </w:r>
      <w:r>
        <w:t xml:space="preserve">2010.</w:t>
      </w:r>
      <w:r>
        <w:t xml:space="preserve"> </w:t>
      </w:r>
      <w:hyperlink r:id="rId207">
        <w:r>
          <w:rPr>
            <w:rStyle w:val="Hyperlink"/>
          </w:rPr>
          <w:t xml:space="preserve">https://hls-dhs-dss.ch/articles/017397/2010-12-22/</w:t>
        </w:r>
      </w:hyperlink>
      <w:r>
        <w:t xml:space="preserve">.</w:t>
      </w:r>
    </w:p>
    <w:bookmarkEnd w:id="208"/>
    <w:bookmarkStart w:id="210"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209">
        <w:r>
          <w:rPr>
            <w:rStyle w:val="Hyperlink"/>
          </w:rPr>
          <w:t xml:space="preserve">https://hdr.undp.org/content/human-development-report-2021-22</w:t>
        </w:r>
      </w:hyperlink>
      <w:r>
        <w:t xml:space="preserve">.</w:t>
      </w:r>
    </w:p>
    <w:bookmarkEnd w:id="210"/>
    <w:bookmarkStart w:id="212" w:name="ref-nylund_deciding_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r>
        <w:t xml:space="preserve"> </w:t>
      </w:r>
      <w:hyperlink r:id="rId211">
        <w:r>
          <w:rPr>
            <w:rStyle w:val="Hyperlink"/>
          </w:rPr>
          <w:t xml:space="preserve">https://doi.org/10.1080/10705510701575396</w:t>
        </w:r>
      </w:hyperlink>
      <w:r>
        <w:t xml:space="preserve">.</w:t>
      </w:r>
    </w:p>
    <w:bookmarkEnd w:id="212"/>
    <w:bookmarkStart w:id="214"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213">
        <w:r>
          <w:rPr>
            <w:rStyle w:val="Hyperlink"/>
          </w:rPr>
          <w:t xml:space="preserve">https://doi.org/10.1017/S0143814X98000129</w:t>
        </w:r>
      </w:hyperlink>
      <w:r>
        <w:t xml:space="preserve">.</w:t>
      </w:r>
    </w:p>
    <w:bookmarkEnd w:id="214"/>
    <w:bookmarkStart w:id="216"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215">
        <w:r>
          <w:rPr>
            <w:rStyle w:val="Hyperlink"/>
          </w:rPr>
          <w:t xml:space="preserve">https://www.oecd-ilibrary.org/economics/oecd-economic-surveys-switzerland-1992_eco_surveys-che-1992-en</w:t>
        </w:r>
      </w:hyperlink>
      <w:r>
        <w:t xml:space="preserve">.</w:t>
      </w:r>
    </w:p>
    <w:bookmarkEnd w:id="216"/>
    <w:bookmarkStart w:id="218"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217">
        <w:r>
          <w:rPr>
            <w:rStyle w:val="Hyperlink"/>
          </w:rPr>
          <w:t xml:space="preserve">https://www.oecd-ilibrary.org/economics/oecd-economic-surveys-switzerland-2019_7e6fd372-en</w:t>
        </w:r>
      </w:hyperlink>
      <w:r>
        <w:t xml:space="preserve">.</w:t>
      </w:r>
    </w:p>
    <w:bookmarkEnd w:id="218"/>
    <w:bookmarkStart w:id="220"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219">
        <w:r>
          <w:rPr>
            <w:rStyle w:val="Hyperlink"/>
          </w:rPr>
          <w:t xml:space="preserve">https://www.oecd-ilibrary.org/economics/oecd-economic-surveys-switzerland-2022_1fde6924-en</w:t>
        </w:r>
      </w:hyperlink>
      <w:r>
        <w:t xml:space="preserve">.</w:t>
      </w:r>
    </w:p>
    <w:bookmarkEnd w:id="220"/>
    <w:bookmarkStart w:id="221"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221"/>
    <w:bookmarkStart w:id="223"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222">
        <w:r>
          <w:rPr>
            <w:rStyle w:val="Hyperlink"/>
          </w:rPr>
          <w:t xml:space="preserve">https://doi.org/10.1002/j.1662-6370.2010.tb00433.x</w:t>
        </w:r>
      </w:hyperlink>
      <w:r>
        <w:t xml:space="preserve">.</w:t>
      </w:r>
    </w:p>
    <w:bookmarkEnd w:id="223"/>
    <w:bookmarkStart w:id="225"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224">
        <w:r>
          <w:rPr>
            <w:rStyle w:val="Hyperlink"/>
          </w:rPr>
          <w:t xml:space="preserve">https://doi.org/10.1111/1475-6765.12259</w:t>
        </w:r>
      </w:hyperlink>
      <w:r>
        <w:t xml:space="preserve">.</w:t>
      </w:r>
    </w:p>
    <w:bookmarkEnd w:id="225"/>
    <w:bookmarkStart w:id="226"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226"/>
    <w:bookmarkStart w:id="227" w:name="ref-piguet_immigration_2013"/>
    <w:p>
      <w:pPr>
        <w:pStyle w:val="Bibliography"/>
      </w:pPr>
      <w:r>
        <w:t xml:space="preserve">Piguet, Etienne. 2013.</w:t>
      </w:r>
      <w:r>
        <w:t xml:space="preserve"> </w:t>
      </w:r>
      <w:r>
        <w:rPr>
          <w:iCs/>
          <w:i/>
        </w:rPr>
        <w:t xml:space="preserve">L’immigration En Suisse: Soixante Ans d’entrouverture.</w:t>
      </w:r>
      <w:r>
        <w:t xml:space="preserve"> Lausanne: Presses Polytechniques Romandes.</w:t>
      </w:r>
    </w:p>
    <w:bookmarkEnd w:id="227"/>
    <w:bookmarkStart w:id="228"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228"/>
    <w:bookmarkStart w:id="229"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229"/>
    <w:bookmarkStart w:id="230" w:name="ref-piketty_capital_2019"/>
    <w:p>
      <w:pPr>
        <w:pStyle w:val="Bibliography"/>
      </w:pPr>
      <w:r>
        <w:t xml:space="preserve">———. 2019.</w:t>
      </w:r>
      <w:r>
        <w:t xml:space="preserve"> </w:t>
      </w:r>
      <w:r>
        <w:rPr>
          <w:iCs/>
          <w:i/>
        </w:rPr>
        <w:t xml:space="preserve">Capital Et Idéologie</w:t>
      </w:r>
      <w:r>
        <w:t xml:space="preserve">. Le Seuil.</w:t>
      </w:r>
    </w:p>
    <w:bookmarkEnd w:id="230"/>
    <w:bookmarkStart w:id="232"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231">
        <w:r>
          <w:rPr>
            <w:rStyle w:val="Hyperlink"/>
          </w:rPr>
          <w:t xml:space="preserve">https://doi.org/10.1111/spsr.12124</w:t>
        </w:r>
      </w:hyperlink>
      <w:r>
        <w:t xml:space="preserve">.</w:t>
      </w:r>
    </w:p>
    <w:bookmarkEnd w:id="232"/>
    <w:bookmarkStart w:id="234"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233">
        <w:r>
          <w:rPr>
            <w:rStyle w:val="Hyperlink"/>
          </w:rPr>
          <w:t xml:space="preserve">http://gen.lib.rus.ec/book/index.php?md5=DC2AFED8958B9AE0932FFEFEAB45546C</w:t>
        </w:r>
      </w:hyperlink>
      <w:r>
        <w:t xml:space="preserve">.</w:t>
      </w:r>
    </w:p>
    <w:bookmarkEnd w:id="234"/>
    <w:bookmarkStart w:id="235" w:name="ref-ribeaud_quand_1998"/>
    <w:p>
      <w:pPr>
        <w:pStyle w:val="Bibliography"/>
      </w:pPr>
      <w:r>
        <w:t xml:space="preserve">Ribeaud, José. 1998.</w:t>
      </w:r>
      <w:r>
        <w:t xml:space="preserve"> </w:t>
      </w:r>
      <w:r>
        <w:rPr>
          <w:iCs/>
          <w:i/>
        </w:rPr>
        <w:t xml:space="preserve">Quand La Suisse Disparaîtra</w:t>
      </w:r>
      <w:r>
        <w:t xml:space="preserve">. Vevey: L’Aire.</w:t>
      </w:r>
    </w:p>
    <w:bookmarkEnd w:id="235"/>
    <w:bookmarkStart w:id="237"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236">
        <w:r>
          <w:rPr>
            <w:rStyle w:val="Hyperlink"/>
          </w:rPr>
          <w:t xml:space="preserve">https://www.epflpress.org/produit/1421/9782889155279/politique-suisse</w:t>
        </w:r>
      </w:hyperlink>
      <w:r>
        <w:t xml:space="preserve">.</w:t>
      </w:r>
    </w:p>
    <w:bookmarkEnd w:id="237"/>
    <w:bookmarkStart w:id="239" w:name="ref-summermatter_stampfli_2020"/>
    <w:p>
      <w:pPr>
        <w:pStyle w:val="Bibliography"/>
      </w:pPr>
      <w:r>
        <w:t xml:space="preserve">Summermatter, Stephanie. 2020.</w:t>
      </w:r>
      <w:r>
        <w:t xml:space="preserve"> </w:t>
      </w:r>
      <w:r>
        <w:t xml:space="preserve">“Stämpfli, Jakob. hls-dhs-dss.ch.”</w:t>
      </w:r>
      <w:r>
        <w:t xml:space="preserve"> </w:t>
      </w:r>
      <w:r>
        <w:t xml:space="preserve">2020.</w:t>
      </w:r>
      <w:r>
        <w:t xml:space="preserve"> </w:t>
      </w:r>
      <w:hyperlink r:id="rId238">
        <w:r>
          <w:rPr>
            <w:rStyle w:val="Hyperlink"/>
          </w:rPr>
          <w:t xml:space="preserve">https://hls-dhs-dss.ch/articles/004635/2020-04-15/</w:t>
        </w:r>
      </w:hyperlink>
      <w:r>
        <w:t xml:space="preserve">.</w:t>
      </w:r>
    </w:p>
    <w:bookmarkEnd w:id="239"/>
    <w:bookmarkStart w:id="241"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240">
        <w:r>
          <w:rPr>
            <w:rStyle w:val="Hyperlink"/>
          </w:rPr>
          <w:t xml:space="preserve">https://doi.org/10.3917/socio.103.0243</w:t>
        </w:r>
      </w:hyperlink>
      <w:r>
        <w:t xml:space="preserve">.</w:t>
      </w:r>
    </w:p>
    <w:bookmarkEnd w:id="241"/>
    <w:bookmarkStart w:id="243"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242">
        <w:r>
          <w:rPr>
            <w:rStyle w:val="Hyperlink"/>
          </w:rPr>
          <w:t xml:space="preserve">https://doi.org/10.1017/S1755773913000246</w:t>
        </w:r>
      </w:hyperlink>
      <w:r>
        <w:t xml:space="preserve">.</w:t>
      </w:r>
    </w:p>
    <w:bookmarkEnd w:id="243"/>
    <w:bookmarkStart w:id="244"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244"/>
    <w:bookmarkStart w:id="246"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245">
        <w:r>
          <w:rPr>
            <w:rStyle w:val="Hyperlink"/>
          </w:rPr>
          <w:t xml:space="preserve">https://doi.org/10.48573/PCBM-2280</w:t>
        </w:r>
      </w:hyperlink>
      <w:r>
        <w:t xml:space="preserve">.</w:t>
      </w:r>
    </w:p>
    <w:bookmarkEnd w:id="246"/>
    <w:bookmarkStart w:id="248" w:name="ref-vatter_swiss_2008"/>
    <w:p>
      <w:pPr>
        <w:pStyle w:val="Bibliography"/>
      </w:pPr>
      <w:r>
        <w:t xml:space="preserve">Vatter, Adrian. 2008.</w:t>
      </w:r>
      <w:r>
        <w:t xml:space="preserve"> </w:t>
      </w:r>
      <w:r>
        <w:t xml:space="preserve">“Swiss Consensus Democracy in Transition: A Re-Analysis of Lijphart’s Concept of Democracy for Switzerland from 1997 to 2007.”</w:t>
      </w:r>
      <w:r>
        <w:t xml:space="preserve"> </w:t>
      </w:r>
      <w:r>
        <w:rPr>
          <w:iCs/>
          <w:i/>
        </w:rPr>
        <w:t xml:space="preserve">World Political Science</w:t>
      </w:r>
      <w:r>
        <w:t xml:space="preserve"> </w:t>
      </w:r>
      <w:r>
        <w:t xml:space="preserve">4 (2).</w:t>
      </w:r>
      <w:r>
        <w:t xml:space="preserve"> </w:t>
      </w:r>
      <w:hyperlink r:id="rId247">
        <w:r>
          <w:rPr>
            <w:rStyle w:val="Hyperlink"/>
          </w:rPr>
          <w:t xml:space="preserve">https://doi.org/10.2202/1935-6226.1042</w:t>
        </w:r>
      </w:hyperlink>
      <w:r>
        <w:t xml:space="preserve">.</w:t>
      </w:r>
    </w:p>
    <w:bookmarkEnd w:id="248"/>
    <w:bookmarkStart w:id="249" w:name="ref-vermunt_technical_2016"/>
    <w:p>
      <w:pPr>
        <w:pStyle w:val="Bibliography"/>
      </w:pPr>
      <w:r>
        <w:t xml:space="preserve">Vermunt, Jeroen K, and Jay Magidson. 2016.</w:t>
      </w:r>
      <w:r>
        <w:t xml:space="preserve"> </w:t>
      </w:r>
      <w:r>
        <w:t xml:space="preserve">“Technical Guide for Latent</w:t>
      </w:r>
      <w:r>
        <w:t xml:space="preserve"> </w:t>
      </w:r>
      <w:r>
        <w:t xml:space="preserve">GOLD</w:t>
      </w:r>
      <w:r>
        <w:t xml:space="preserve"> </w:t>
      </w:r>
      <w:r>
        <w:t xml:space="preserve">5.1: Basic, Advanced, and Syntax.”</w:t>
      </w:r>
      <w:r>
        <w:t xml:space="preserve"> </w:t>
      </w:r>
      <w:r>
        <w:rPr>
          <w:iCs/>
          <w:i/>
        </w:rPr>
        <w:t xml:space="preserve">Statistical Innovations Inc</w:t>
      </w:r>
      <w:r>
        <w:t xml:space="preserve">.</w:t>
      </w:r>
    </w:p>
    <w:bookmarkEnd w:id="249"/>
    <w:bookmarkStart w:id="251" w:name="ref-widmer_why_2010"/>
    <w:p>
      <w:pPr>
        <w:pStyle w:val="Bibliography"/>
      </w:pPr>
      <w:r>
        <w:t xml:space="preserve">Widmer, Eric, and Ivan De Carlo. 2010.</w:t>
      </w:r>
      <w:r>
        <w:t xml:space="preserve"> </w:t>
      </w:r>
      <w:r>
        <w:t xml:space="preserve">“Why Do the Swiss Trust Their Government Less and Other People More Than They Used To?”</w:t>
      </w:r>
      <w:r>
        <w:t xml:space="preserve"> In</w:t>
      </w:r>
      <w:r>
        <w:t xml:space="preserve"> </w:t>
      </w:r>
      <w:r>
        <w:rPr>
          <w:iCs/>
          <w:i/>
        </w:rPr>
        <w:t xml:space="preserve">Value Change in Switzerland</w:t>
      </w:r>
      <w:r>
        <w:t xml:space="preserve">, 171. Lexington Books.</w:t>
      </w:r>
      <w:r>
        <w:t xml:space="preserve"> </w:t>
      </w:r>
      <w:hyperlink r:id="rId250">
        <w:r>
          <w:rPr>
            <w:rStyle w:val="Hyperlink"/>
          </w:rPr>
          <w:t xml:space="preserve">https://archive-ouverte.unige.ch/unige:14538</w:t>
        </w:r>
      </w:hyperlink>
      <w:r>
        <w:t xml:space="preserve">.</w:t>
      </w:r>
    </w:p>
    <w:bookmarkEnd w:id="251"/>
    <w:bookmarkStart w:id="253"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252">
        <w:r>
          <w:rPr>
            <w:rStyle w:val="Hyperlink"/>
          </w:rPr>
          <w:t xml:space="preserve">https://doi.org/10.1111/ajps.12743</w:t>
        </w:r>
      </w:hyperlink>
      <w:r>
        <w:t xml:space="preserve">.</w:t>
      </w:r>
    </w:p>
    <w:bookmarkEnd w:id="253"/>
    <w:bookmarkEnd w:id="254"/>
    <w:bookmarkEnd w:id="2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 the neoliberal Swiss think thank</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25">
    <w:p>
      <w:pPr>
        <w:pStyle w:val="FootnoteText"/>
      </w:pPr>
      <w:r>
        <w:rPr>
          <w:rStyle w:val="FootnoteReference"/>
        </w:rPr>
        <w:footnoteRef/>
      </w:r>
      <w:r>
        <w:t xml:space="preserve"> </w:t>
      </w:r>
      <w:r>
        <w:t xml:space="preserve">Lijphart described Switzerland as the</w:t>
      </w:r>
      <w:r>
        <w:t xml:space="preserve"> </w:t>
      </w:r>
      <w:r>
        <w:t xml:space="preserve">“</w:t>
      </w:r>
      <w:r>
        <w:t xml:space="preserve">clearest consensual prototype</w:t>
      </w:r>
      <w:r>
        <w:t xml:space="preserve">”</w:t>
      </w:r>
      <w:r>
        <w:t xml:space="preserve"> </w:t>
      </w:r>
      <w:r>
        <w:t xml:space="preserve">(Lijphart 2012, 245)</w:t>
      </w:r>
      <w:r>
        <w:t xml:space="preserve">. Among all the criteria chosen in the author’s typology, only the Swiss system of judicial review did not correspond to the consensual system.</w:t>
      </w:r>
    </w:p>
  </w:footnote>
  <w:footnote w:id="37">
    <w:p>
      <w:pPr>
        <w:pStyle w:val="FootnoteText"/>
      </w:pPr>
      <w:r>
        <w:rPr>
          <w:rStyle w:val="FootnoteReference"/>
        </w:rPr>
        <w:footnoteRef/>
      </w:r>
      <w:r>
        <w:t xml:space="preserve"> </w:t>
      </w:r>
      <w:r>
        <w:t xml:space="preserve">Founded in Geneva in 1938, the Grütli Union was an important patriotic association that kept a long influence over the Swiss labour movement throughout the 19th century. The agreement between the Grütli and the Radicals stemmed from their convergent interest in a more centralized state. However, the Grütli Union progressively distanced itself from the Radicals, drawing closer to the Swiss Socialist Party as soon as the latter was founded</w:t>
      </w:r>
      <w:r>
        <w:t xml:space="preserve"> </w:t>
      </w:r>
      <w:r>
        <w:t xml:space="preserve">(Müller 2010)</w:t>
      </w:r>
      <w:r>
        <w:t xml:space="preserve">.</w:t>
      </w:r>
    </w:p>
  </w:footnote>
  <w:footnote w:id="38">
    <w:p>
      <w:pPr>
        <w:pStyle w:val="FootnoteText"/>
      </w:pPr>
      <w:r>
        <w:rPr>
          <w:rStyle w:val="FootnoteReference"/>
        </w:rPr>
        <w:footnoteRef/>
      </w:r>
      <w:r>
        <w:t xml:space="preserve"> </w:t>
      </w:r>
      <w:r>
        <w:t xml:space="preserve">Major figure and leader of the Bernese Radicalism movement, Stämpfli co-founded in 1845 the Bernese journal</w:t>
      </w:r>
      <w:r>
        <w:t xml:space="preserve"> </w:t>
      </w:r>
      <w:r>
        <w:rPr>
          <w:iCs/>
          <w:i/>
        </w:rPr>
        <w:t xml:space="preserve">Berner Zeitung</w:t>
      </w:r>
      <w:r>
        <w:t xml:space="preserve">. The same year, he led the Bernese Radicals to a failed corps francs expedition in Lucerne aimed at overthrowing the canton’s catholic-conservative government. He then became an important member of the Bernese parliament and contributed to the canton’s first Radical constitution in 1846. After the Sonderbund civil war, he was an active member of the national council and then of the federal council in 1854. He gained an international reputation after his key role in the</w:t>
      </w:r>
      <w:r>
        <w:t xml:space="preserve"> </w:t>
      </w:r>
      <w:r>
        <w:rPr>
          <w:iCs/>
          <w:i/>
        </w:rPr>
        <w:t xml:space="preserve">Alabama claims</w:t>
      </w:r>
      <w:r>
        <w:t xml:space="preserve"> </w:t>
      </w:r>
      <w:r>
        <w:t xml:space="preserve">affair of 1869, which marked the beginnings of Geneva’s importance as an international center for conflict resolution</w:t>
      </w:r>
      <w:r>
        <w:t xml:space="preserve"> </w:t>
      </w:r>
      <w:r>
        <w:t xml:space="preserve">(Summermatter 2020)</w:t>
      </w:r>
      <w:r>
        <w:t xml:space="preserve">.</w:t>
      </w:r>
    </w:p>
  </w:footnote>
  <w:footnote w:id="67">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73">
    <w:p>
      <w:pPr>
        <w:pStyle w:val="FootnoteText"/>
      </w:pPr>
      <w:r>
        <w:rPr>
          <w:rStyle w:val="FootnoteReference"/>
        </w:rPr>
        <w:footnoteRef/>
      </w:r>
      <w:r>
        <w:t xml:space="preserve"> </w:t>
      </w:r>
      <w:r>
        <w:t xml:space="preserve">For a short history and overview of the current challenges and of the role of the Swiss army, see</w:t>
      </w:r>
      <w:r>
        <w:t xml:space="preserve"> </w:t>
      </w:r>
      <w:r>
        <w:t xml:space="preserve">Juilland (2012)</w:t>
      </w:r>
      <w:r>
        <w:t xml:space="preserve">.</w:t>
      </w:r>
    </w:p>
  </w:footnote>
  <w:footnote w:id="78">
    <w:p>
      <w:pPr>
        <w:pStyle w:val="FootnoteText"/>
      </w:pPr>
      <w:r>
        <w:rPr>
          <w:rStyle w:val="FootnoteReference"/>
        </w:rPr>
        <w:footnoteRef/>
      </w:r>
      <w:r>
        <w:t xml:space="preserve"> </w:t>
      </w:r>
      <w:r>
        <w:t xml:space="preserve">The income variable considered here is the gross monthly income of the household.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image" Id="rId107" Target="media/rId107.png" /><Relationship Type="http://schemas.openxmlformats.org/officeDocument/2006/relationships/image" Id="rId103" Target="media/rId103.png" /><Relationship Type="http://schemas.openxmlformats.org/officeDocument/2006/relationships/image" Id="rId116" Target="media/rId116.png" /><Relationship Type="http://schemas.openxmlformats.org/officeDocument/2006/relationships/image" Id="rId95" Target="media/rId95.png" /><Relationship Type="http://schemas.openxmlformats.org/officeDocument/2006/relationships/image" Id="rId91" Target="media/rId91.png" /><Relationship Type="http://schemas.openxmlformats.org/officeDocument/2006/relationships/image" Id="rId87" Target="media/rId87.png" /><Relationship Type="http://schemas.openxmlformats.org/officeDocument/2006/relationships/image" Id="rId74" Target="media/rId7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9" Target="media/rId69.png" /><Relationship Type="http://schemas.openxmlformats.org/officeDocument/2006/relationships/hyperlink" Id="rId184" Target="http://gen.lib.rus.ec/book/index.php?md5=672bb6ec977ceddc83c745ffc8db0022" TargetMode="External" /><Relationship Type="http://schemas.openxmlformats.org/officeDocument/2006/relationships/hyperlink" Id="rId233" Target="http://gen.lib.rus.ec/book/index.php?md5=DC2AFED8958B9AE0932FFEFEAB45546C" TargetMode="External" /><Relationship Type="http://schemas.openxmlformats.org/officeDocument/2006/relationships/hyperlink" Id="rId144" Target="http://gen.lib.rus.ec/book/index.php?md5=ee123095cfe9fb8d6bcd03d6579a0705" TargetMode="External" /><Relationship Type="http://schemas.openxmlformats.org/officeDocument/2006/relationships/hyperlink" Id="rId250" Target="https://archive-ouverte.unige.ch/unige:14538" TargetMode="External" /><Relationship Type="http://schemas.openxmlformats.org/officeDocument/2006/relationships/hyperlink" Id="rId202" Target="https://archive-ouverte.unige.ch/unige:83364" TargetMode="External" /><Relationship Type="http://schemas.openxmlformats.org/officeDocument/2006/relationships/hyperlink" Id="rId149" Target="https://doi.org/10.1002/j.1662-6370.1997.tb00198.x" TargetMode="External" /><Relationship Type="http://schemas.openxmlformats.org/officeDocument/2006/relationships/hyperlink" Id="rId222" Target="https://doi.org/10.1002/j.1662-6370.2010.tb00433.x" TargetMode="External" /><Relationship Type="http://schemas.openxmlformats.org/officeDocument/2006/relationships/hyperlink" Id="rId188" Target="https://doi.org/10.1017/CBO9780511790720" TargetMode="External" /><Relationship Type="http://schemas.openxmlformats.org/officeDocument/2006/relationships/hyperlink" Id="rId213" Target="https://doi.org/10.1017/S0143814X98000129" TargetMode="External" /><Relationship Type="http://schemas.openxmlformats.org/officeDocument/2006/relationships/hyperlink" Id="rId242" Target="https://doi.org/10.1017/S1755773913000246" TargetMode="External" /><Relationship Type="http://schemas.openxmlformats.org/officeDocument/2006/relationships/hyperlink" Id="rId130" Target="https://doi.org/10.1080/09692290.2021.1913440" TargetMode="External" /><Relationship Type="http://schemas.openxmlformats.org/officeDocument/2006/relationships/hyperlink" Id="rId211" Target="https://doi.org/10.1080/10705510701575396" TargetMode="External" /><Relationship Type="http://schemas.openxmlformats.org/officeDocument/2006/relationships/hyperlink" Id="rId197" Target="https://doi.org/10.1080/1350176032000059053" TargetMode="External" /><Relationship Type="http://schemas.openxmlformats.org/officeDocument/2006/relationships/hyperlink" Id="rId169" Target="https://doi.org/10.1080/13501763.2017.1310279" TargetMode="External" /><Relationship Type="http://schemas.openxmlformats.org/officeDocument/2006/relationships/hyperlink" Id="rId139" Target="https://doi.org/10.1080/13563467.2023.2215701" TargetMode="External" /><Relationship Type="http://schemas.openxmlformats.org/officeDocument/2006/relationships/hyperlink" Id="rId125" Target="https://doi.org/10.1093/acprof:oso/9780198787815.001.0001" TargetMode="External" /><Relationship Type="http://schemas.openxmlformats.org/officeDocument/2006/relationships/hyperlink" Id="rId160" Target="https://doi.org/10.1093/qje/qjab036" TargetMode="External" /><Relationship Type="http://schemas.openxmlformats.org/officeDocument/2006/relationships/hyperlink" Id="rId134" Target="https://doi.org/10.1093/ser/mwn018" TargetMode="External" /><Relationship Type="http://schemas.openxmlformats.org/officeDocument/2006/relationships/hyperlink" Id="rId224" Target="https://doi.org/10.1111/1475-6765.12259" TargetMode="External" /><Relationship Type="http://schemas.openxmlformats.org/officeDocument/2006/relationships/hyperlink" Id="rId252" Target="https://doi.org/10.1111/ajps.12743" TargetMode="External" /><Relationship Type="http://schemas.openxmlformats.org/officeDocument/2006/relationships/hyperlink" Id="rId186" Target="https://doi.org/10.1111/j.1475-6765.2006.00644.x" TargetMode="External" /><Relationship Type="http://schemas.openxmlformats.org/officeDocument/2006/relationships/hyperlink" Id="rId231" Target="https://doi.org/10.1111/spsr.12124" TargetMode="External" /><Relationship Type="http://schemas.openxmlformats.org/officeDocument/2006/relationships/hyperlink" Id="rId122" Target="https://doi.org/10.1177/002200947901400402" TargetMode="External" /><Relationship Type="http://schemas.openxmlformats.org/officeDocument/2006/relationships/hyperlink" Id="rId199" Target="https://doi.org/10.2202/1935-6226.1022" TargetMode="External" /><Relationship Type="http://schemas.openxmlformats.org/officeDocument/2006/relationships/hyperlink" Id="rId247" Target="https://doi.org/10.2202/1935-6226.1042" TargetMode="External" /><Relationship Type="http://schemas.openxmlformats.org/officeDocument/2006/relationships/hyperlink" Id="rId171" Target="https://doi.org/10.2307/1953494" TargetMode="External" /><Relationship Type="http://schemas.openxmlformats.org/officeDocument/2006/relationships/hyperlink" Id="rId191" Target="https://doi.org/10.2307/1954890" TargetMode="External" /><Relationship Type="http://schemas.openxmlformats.org/officeDocument/2006/relationships/hyperlink" Id="rId176" Target="https://doi.org/10.2307/1962590" TargetMode="External" /><Relationship Type="http://schemas.openxmlformats.org/officeDocument/2006/relationships/hyperlink" Id="rId173" Target="https://doi.org/10.2307/j.ctv346rbz" TargetMode="External" /><Relationship Type="http://schemas.openxmlformats.org/officeDocument/2006/relationships/hyperlink" Id="rId147" Target="https://doi.org/10.23662/FORS-DS-688-2" TargetMode="External" /><Relationship Type="http://schemas.openxmlformats.org/officeDocument/2006/relationships/hyperlink" Id="rId178" Target="https://doi.org/10.3917/infle.020.0183" TargetMode="External" /><Relationship Type="http://schemas.openxmlformats.org/officeDocument/2006/relationships/hyperlink" Id="rId240" Target="https://doi.org/10.3917/socio.103.0243" TargetMode="External" /><Relationship Type="http://schemas.openxmlformats.org/officeDocument/2006/relationships/hyperlink" Id="rId182" Target="https://doi.org/10.4000/histoirepolitique.7344" TargetMode="External" /><Relationship Type="http://schemas.openxmlformats.org/officeDocument/2006/relationships/hyperlink" Id="rId127" Target="https://doi.org/10.4000/regulation.20350" TargetMode="External" /><Relationship Type="http://schemas.openxmlformats.org/officeDocument/2006/relationships/hyperlink" Id="rId136" Target="https://doi.org/10.4337/9781782549925.00015" TargetMode="External" /><Relationship Type="http://schemas.openxmlformats.org/officeDocument/2006/relationships/hyperlink" Id="rId166" Target="https://doi.org/10.48573/9EX9-FP54" TargetMode="External" /><Relationship Type="http://schemas.openxmlformats.org/officeDocument/2006/relationships/hyperlink" Id="rId245" Target="https://doi.org/10.48573/PCBM-2280" TargetMode="External" /><Relationship Type="http://schemas.openxmlformats.org/officeDocument/2006/relationships/hyperlink" Id="rId142" Target="https://doi.org/10.5169/seals-515017" TargetMode="External" /><Relationship Type="http://schemas.openxmlformats.org/officeDocument/2006/relationships/hyperlink" Id="rId209" Target="https://hdr.undp.org/content/human-development-report-2021-22" TargetMode="External" /><Relationship Type="http://schemas.openxmlformats.org/officeDocument/2006/relationships/hyperlink" Id="rId238" Target="https://hls-dhs-dss.ch/articles/004635/2020-04-15/" TargetMode="External" /><Relationship Type="http://schemas.openxmlformats.org/officeDocument/2006/relationships/hyperlink" Id="rId154" Target="https://hls-dhs-dss.ch/articles/017393/2022-01-24/" TargetMode="External" /><Relationship Type="http://schemas.openxmlformats.org/officeDocument/2006/relationships/hyperlink" Id="rId207" Target="https://hls-dhs-dss.ch/articles/017397/2010-12-22/" TargetMode="External" /><Relationship Type="http://schemas.openxmlformats.org/officeDocument/2006/relationships/hyperlink" Id="rId151" Target="https://oec.world/en/rankings/eci/hs6/hs96" TargetMode="External" /><Relationship Type="http://schemas.openxmlformats.org/officeDocument/2006/relationships/hyperlink" Id="rId156" Target="https://wid.world/wp-content/uploads/2021/03/WorldInequalityLab_WP2021_08_PoliticalCleavages_AustriaBelgiumNLSwitzerland.pdf" TargetMode="External" /><Relationship Type="http://schemas.openxmlformats.org/officeDocument/2006/relationships/hyperlink" Id="rId163" Target="https://www.avenir-suisse.ch/fr/7-bonnes-raisons-de-privatiser-lenergie/" TargetMode="External" /><Relationship Type="http://schemas.openxmlformats.org/officeDocument/2006/relationships/hyperlink" Id="rId236" Target="https://www.epflpress.org/produit/1421/9782889155279/politique-suisse" TargetMode="External" /><Relationship Type="http://schemas.openxmlformats.org/officeDocument/2006/relationships/hyperlink" Id="rId158" Target="https://www.letemps.ch/economie/gerhard-schwarz-une-suisse-neoliberale-cest-une-fake-news" TargetMode="External" /><Relationship Type="http://schemas.openxmlformats.org/officeDocument/2006/relationships/hyperlink" Id="rId215" Target="https://www.oecd-ilibrary.org/economics/oecd-economic-surveys-switzerland-1992_eco_surveys-che-1992-en" TargetMode="External" /><Relationship Type="http://schemas.openxmlformats.org/officeDocument/2006/relationships/hyperlink" Id="rId217" Target="https://www.oecd-ilibrary.org/economics/oecd-economic-surveys-switzerland-2019_7e6fd372-en" TargetMode="External" /><Relationship Type="http://schemas.openxmlformats.org/officeDocument/2006/relationships/hyperlink" Id="rId219"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84" Target="http://gen.lib.rus.ec/book/index.php?md5=672bb6ec977ceddc83c745ffc8db0022" TargetMode="External" /><Relationship Type="http://schemas.openxmlformats.org/officeDocument/2006/relationships/hyperlink" Id="rId233" Target="http://gen.lib.rus.ec/book/index.php?md5=DC2AFED8958B9AE0932FFEFEAB45546C" TargetMode="External" /><Relationship Type="http://schemas.openxmlformats.org/officeDocument/2006/relationships/hyperlink" Id="rId144" Target="http://gen.lib.rus.ec/book/index.php?md5=ee123095cfe9fb8d6bcd03d6579a0705" TargetMode="External" /><Relationship Type="http://schemas.openxmlformats.org/officeDocument/2006/relationships/hyperlink" Id="rId250" Target="https://archive-ouverte.unige.ch/unige:14538" TargetMode="External" /><Relationship Type="http://schemas.openxmlformats.org/officeDocument/2006/relationships/hyperlink" Id="rId202" Target="https://archive-ouverte.unige.ch/unige:83364" TargetMode="External" /><Relationship Type="http://schemas.openxmlformats.org/officeDocument/2006/relationships/hyperlink" Id="rId149" Target="https://doi.org/10.1002/j.1662-6370.1997.tb00198.x" TargetMode="External" /><Relationship Type="http://schemas.openxmlformats.org/officeDocument/2006/relationships/hyperlink" Id="rId222" Target="https://doi.org/10.1002/j.1662-6370.2010.tb00433.x" TargetMode="External" /><Relationship Type="http://schemas.openxmlformats.org/officeDocument/2006/relationships/hyperlink" Id="rId188" Target="https://doi.org/10.1017/CBO9780511790720" TargetMode="External" /><Relationship Type="http://schemas.openxmlformats.org/officeDocument/2006/relationships/hyperlink" Id="rId213" Target="https://doi.org/10.1017/S0143814X98000129" TargetMode="External" /><Relationship Type="http://schemas.openxmlformats.org/officeDocument/2006/relationships/hyperlink" Id="rId242" Target="https://doi.org/10.1017/S1755773913000246" TargetMode="External" /><Relationship Type="http://schemas.openxmlformats.org/officeDocument/2006/relationships/hyperlink" Id="rId130" Target="https://doi.org/10.1080/09692290.2021.1913440" TargetMode="External" /><Relationship Type="http://schemas.openxmlformats.org/officeDocument/2006/relationships/hyperlink" Id="rId211" Target="https://doi.org/10.1080/10705510701575396" TargetMode="External" /><Relationship Type="http://schemas.openxmlformats.org/officeDocument/2006/relationships/hyperlink" Id="rId197" Target="https://doi.org/10.1080/1350176032000059053" TargetMode="External" /><Relationship Type="http://schemas.openxmlformats.org/officeDocument/2006/relationships/hyperlink" Id="rId169" Target="https://doi.org/10.1080/13501763.2017.1310279" TargetMode="External" /><Relationship Type="http://schemas.openxmlformats.org/officeDocument/2006/relationships/hyperlink" Id="rId139" Target="https://doi.org/10.1080/13563467.2023.2215701" TargetMode="External" /><Relationship Type="http://schemas.openxmlformats.org/officeDocument/2006/relationships/hyperlink" Id="rId125" Target="https://doi.org/10.1093/acprof:oso/9780198787815.001.0001" TargetMode="External" /><Relationship Type="http://schemas.openxmlformats.org/officeDocument/2006/relationships/hyperlink" Id="rId160" Target="https://doi.org/10.1093/qje/qjab036" TargetMode="External" /><Relationship Type="http://schemas.openxmlformats.org/officeDocument/2006/relationships/hyperlink" Id="rId134" Target="https://doi.org/10.1093/ser/mwn018" TargetMode="External" /><Relationship Type="http://schemas.openxmlformats.org/officeDocument/2006/relationships/hyperlink" Id="rId224" Target="https://doi.org/10.1111/1475-6765.12259" TargetMode="External" /><Relationship Type="http://schemas.openxmlformats.org/officeDocument/2006/relationships/hyperlink" Id="rId252" Target="https://doi.org/10.1111/ajps.12743" TargetMode="External" /><Relationship Type="http://schemas.openxmlformats.org/officeDocument/2006/relationships/hyperlink" Id="rId186" Target="https://doi.org/10.1111/j.1475-6765.2006.00644.x" TargetMode="External" /><Relationship Type="http://schemas.openxmlformats.org/officeDocument/2006/relationships/hyperlink" Id="rId231" Target="https://doi.org/10.1111/spsr.12124" TargetMode="External" /><Relationship Type="http://schemas.openxmlformats.org/officeDocument/2006/relationships/hyperlink" Id="rId122" Target="https://doi.org/10.1177/002200947901400402" TargetMode="External" /><Relationship Type="http://schemas.openxmlformats.org/officeDocument/2006/relationships/hyperlink" Id="rId199" Target="https://doi.org/10.2202/1935-6226.1022" TargetMode="External" /><Relationship Type="http://schemas.openxmlformats.org/officeDocument/2006/relationships/hyperlink" Id="rId247" Target="https://doi.org/10.2202/1935-6226.1042" TargetMode="External" /><Relationship Type="http://schemas.openxmlformats.org/officeDocument/2006/relationships/hyperlink" Id="rId171" Target="https://doi.org/10.2307/1953494" TargetMode="External" /><Relationship Type="http://schemas.openxmlformats.org/officeDocument/2006/relationships/hyperlink" Id="rId191" Target="https://doi.org/10.2307/1954890" TargetMode="External" /><Relationship Type="http://schemas.openxmlformats.org/officeDocument/2006/relationships/hyperlink" Id="rId176" Target="https://doi.org/10.2307/1962590" TargetMode="External" /><Relationship Type="http://schemas.openxmlformats.org/officeDocument/2006/relationships/hyperlink" Id="rId173" Target="https://doi.org/10.2307/j.ctv346rbz" TargetMode="External" /><Relationship Type="http://schemas.openxmlformats.org/officeDocument/2006/relationships/hyperlink" Id="rId147" Target="https://doi.org/10.23662/FORS-DS-688-2" TargetMode="External" /><Relationship Type="http://schemas.openxmlformats.org/officeDocument/2006/relationships/hyperlink" Id="rId178" Target="https://doi.org/10.3917/infle.020.0183" TargetMode="External" /><Relationship Type="http://schemas.openxmlformats.org/officeDocument/2006/relationships/hyperlink" Id="rId240" Target="https://doi.org/10.3917/socio.103.0243" TargetMode="External" /><Relationship Type="http://schemas.openxmlformats.org/officeDocument/2006/relationships/hyperlink" Id="rId182" Target="https://doi.org/10.4000/histoirepolitique.7344" TargetMode="External" /><Relationship Type="http://schemas.openxmlformats.org/officeDocument/2006/relationships/hyperlink" Id="rId127" Target="https://doi.org/10.4000/regulation.20350" TargetMode="External" /><Relationship Type="http://schemas.openxmlformats.org/officeDocument/2006/relationships/hyperlink" Id="rId136" Target="https://doi.org/10.4337/9781782549925.00015" TargetMode="External" /><Relationship Type="http://schemas.openxmlformats.org/officeDocument/2006/relationships/hyperlink" Id="rId166" Target="https://doi.org/10.48573/9EX9-FP54" TargetMode="External" /><Relationship Type="http://schemas.openxmlformats.org/officeDocument/2006/relationships/hyperlink" Id="rId245" Target="https://doi.org/10.48573/PCBM-2280" TargetMode="External" /><Relationship Type="http://schemas.openxmlformats.org/officeDocument/2006/relationships/hyperlink" Id="rId142" Target="https://doi.org/10.5169/seals-515017" TargetMode="External" /><Relationship Type="http://schemas.openxmlformats.org/officeDocument/2006/relationships/hyperlink" Id="rId209" Target="https://hdr.undp.org/content/human-development-report-2021-22" TargetMode="External" /><Relationship Type="http://schemas.openxmlformats.org/officeDocument/2006/relationships/hyperlink" Id="rId238" Target="https://hls-dhs-dss.ch/articles/004635/2020-04-15/" TargetMode="External" /><Relationship Type="http://schemas.openxmlformats.org/officeDocument/2006/relationships/hyperlink" Id="rId154" Target="https://hls-dhs-dss.ch/articles/017393/2022-01-24/" TargetMode="External" /><Relationship Type="http://schemas.openxmlformats.org/officeDocument/2006/relationships/hyperlink" Id="rId207" Target="https://hls-dhs-dss.ch/articles/017397/2010-12-22/" TargetMode="External" /><Relationship Type="http://schemas.openxmlformats.org/officeDocument/2006/relationships/hyperlink" Id="rId151" Target="https://oec.world/en/rankings/eci/hs6/hs96" TargetMode="External" /><Relationship Type="http://schemas.openxmlformats.org/officeDocument/2006/relationships/hyperlink" Id="rId156" Target="https://wid.world/wp-content/uploads/2021/03/WorldInequalityLab_WP2021_08_PoliticalCleavages_AustriaBelgiumNLSwitzerland.pdf" TargetMode="External" /><Relationship Type="http://schemas.openxmlformats.org/officeDocument/2006/relationships/hyperlink" Id="rId163" Target="https://www.avenir-suisse.ch/fr/7-bonnes-raisons-de-privatiser-lenergie/" TargetMode="External" /><Relationship Type="http://schemas.openxmlformats.org/officeDocument/2006/relationships/hyperlink" Id="rId236" Target="https://www.epflpress.org/produit/1421/9782889155279/politique-suisse" TargetMode="External" /><Relationship Type="http://schemas.openxmlformats.org/officeDocument/2006/relationships/hyperlink" Id="rId158" Target="https://www.letemps.ch/economie/gerhard-schwarz-une-suisse-neoliberale-cest-une-fake-news" TargetMode="External" /><Relationship Type="http://schemas.openxmlformats.org/officeDocument/2006/relationships/hyperlink" Id="rId215" Target="https://www.oecd-ilibrary.org/economics/oecd-economic-surveys-switzerland-1992_eco_surveys-che-1992-en" TargetMode="External" /><Relationship Type="http://schemas.openxmlformats.org/officeDocument/2006/relationships/hyperlink" Id="rId217" Target="https://www.oecd-ilibrary.org/economics/oecd-economic-surveys-switzerland-2019_7e6fd372-en" TargetMode="External" /><Relationship Type="http://schemas.openxmlformats.org/officeDocument/2006/relationships/hyperlink" Id="rId219"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2023-12-26T00:00:27Z</dcterms:created>
  <dcterms:modified xsi:type="dcterms:W3CDTF">2023-12-26T00:00:27Z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