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09.png" ContentType="image/png"/>
  <Override PartName="/word/media/rId105.png" ContentType="image/png"/>
  <Override PartName="/word/media/rId118.png" ContentType="image/png"/>
  <Override PartName="/word/media/rId97.png" ContentType="image/png"/>
  <Override PartName="/word/media/rId93.png" ContentType="image/png"/>
  <Override PartName="/word/media/rId89.png" ContentType="image/png"/>
  <Override PartName="/word/media/rId76.png" ContentType="image/png"/>
  <Override PartName="/word/media/rId26.png" ContentType="image/png"/>
  <Override PartName="/word/media/rId30.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(Amable and Palombarini 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consensus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consensus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consensus democracy is slightly becoming an average consensual democracy, due to growing political polarization (associated with the rise of the Swiss People’s Party),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that researchers tend to focus more on post-election survey data. Last, this research is the first to conduct LCA using Swiss post-election survey data.</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bookmarkEnd w:id="34"/>
    <w:bookmarkEnd w:id="35"/>
    <w:bookmarkEnd w:id="36"/>
    <w:bookmarkStart w:id="87"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in the first half of the 19th century. It is during these crucial decades that Switzerland underwent important institutional changes that laid the foundation of its federalist system which still persists today. The Old Swiss Confederacy (1351-1798), was a loose and strongly decentralized confederation between small states which wanted to protect their independence vis-à-vis the Habsburg empire. The only centralized institution of the Confederation was the federal diet, which were assemblies of deputies from the cantons. After the Napoleonic invasion of 1798, the Swiss state underwent a first and important process of centralization, with the fall of the Old Swiss Confederation and the establishment of the Helvetic Republic, a strong unitary and centralized state inspired by the French system and imposed by Napoleon. The unpopularity of the Helvetic Republic’s institutions led to the Mediation Act (1803-1815) and the Restauration (1815-1830) which marked a return to traditional structures. The Regeneration period (1830-1847) saw the growing political power of liberal forces constituted by large industrialists, craftsmen, self-employed farmers and professionals which took power in a majority of cantons. This period was characterized by a growing polarization between liberal and progressive groups in proto-industrialized and protestant cantons and those attached to the traditional models of the Catholic-conservative cantons</w:t>
      </w:r>
      <w:r>
        <w:t xml:space="preserve"> </w:t>
      </w:r>
      <w:r>
        <w:t xml:space="preserve">(Sciarini 2023, 21–25)</w:t>
      </w:r>
      <w:r>
        <w:t xml:space="preserve">.</w:t>
      </w:r>
    </w:p>
    <w:p>
      <w:pPr>
        <w:pStyle w:val="BodyText"/>
      </w:pPr>
      <w:r>
        <w:t xml:space="preserve">This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 27–28)</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 The Radical movement of the canton of Vaud, founded and led by Henri Druey (1799-1855), was more influenced by the liberal philosophy of Hegel. The main legacy of Hegel’s thought on the radical movement was the need to create a centralized and unitary state, considered in Hegelian philosophy as the means by which liberty and the dialectical movement that drives history are realized</w:t>
      </w:r>
      <w:r>
        <w:t xml:space="preserve"> </w:t>
      </w:r>
      <w:r>
        <w:t xml:space="preserve">(Meuwly 1992)</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ideas than by Marxism. Steck explicitly rejected the notion of class struggle and Marx’s theory of value. Marxism made nonetheless its way into the Swiss Socialist Party in the early 1900s, as seen by the second program of 1904 written by Otto Lange (1863-1936), who rewrote the program along more orthodox Marxist lines. This second program marked a relative decline of the anarchists and cooperative ideas and the advent of Marxism in the Swiss Socialist Party, until the latter definitively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Swiss Union of Commerce and Industry, also called</w:t>
      </w:r>
      <w:r>
        <w:t xml:space="preserve"> </w:t>
      </w:r>
      <w:r>
        <w:rPr>
          <w:iCs/>
          <w:i/>
        </w:rPr>
        <w:t xml:space="preserve">Vorort</w:t>
      </w:r>
      <w:r>
        <w:t xml:space="preserve"> </w:t>
      </w:r>
      <w:r>
        <w:t xml:space="preserve">(1870),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in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this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Radical-Democratic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Radical-Democratic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 These contradicting demands between the export-oriented and sheltered domestic-oriented sectors are one of the main factor behind the destabilization of the DSB in the 90s.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p>
      <w:pPr>
        <w:pStyle w:val="BodyText"/>
      </w:pPr>
      <w:r>
        <w:t xml:space="preserve">We have heretofore identified and described the traditional Swiss social blocs. Before moving on to an in-depth analysis of the recomposition of these social blocs during the crisis of the 90s, it is necessary to take a long-run perspective on the evolution of these blocs in the last decades.</w:t>
      </w:r>
    </w:p>
    <w:bookmarkEnd w:id="40"/>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in the last decades.</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of Swiss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in fact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economic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Oesch (2008b)</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(Amable and Palombarini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harmonizes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remains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r>
            <m:t>P</m:t>
          </m:r>
          <m:d>
            <m:dPr>
              <m:begChr m:val="("/>
              <m:endChr m:val=")"/>
              <m:sepChr m:val=""/>
              <m:grow/>
            </m:dPr>
            <m:e>
              <m:sSub>
                <m:e>
                  <m:r>
                    <m:t>y</m:t>
                  </m:r>
                </m:e>
                <m:sub>
                  <m:r>
                    <m:t>i</m:t>
                  </m:r>
                  <m:r>
                    <m:t>t</m:t>
                  </m:r>
                </m:sub>
              </m:sSub>
              <m:r>
                <m:rPr>
                  <m:sty m:val="p"/>
                </m:rPr>
                <m:t>=</m:t>
              </m:r>
              <m:r>
                <m:t>1</m:t>
              </m:r>
            </m:e>
          </m:d>
          <m:r>
            <m:rPr>
              <m:sty m:val="p"/>
            </m:rPr>
            <m:t>=</m:t>
          </m:r>
          <m:r>
            <m:t>l</m:t>
          </m:r>
          <m:r>
            <m:t>o</m:t>
          </m:r>
          <m:r>
            <m:t>g</m:t>
          </m:r>
          <m:r>
            <m:t>i</m:t>
          </m:r>
          <m:sSup>
            <m:e>
              <m:r>
                <m:t>t</m:t>
              </m:r>
            </m:e>
            <m:sup>
              <m:r>
                <m:rPr>
                  <m:sty m:val="p"/>
                </m:rPr>
                <m:t>−</m:t>
              </m:r>
              <m:r>
                <m:t>1</m:t>
              </m:r>
            </m:sup>
          </m:sSup>
          <m:d>
            <m:dPr>
              <m:begChr m:val="("/>
              <m:endChr m:val=")"/>
              <m:sepChr m:val=""/>
              <m:grow/>
            </m:dPr>
            <m:e>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e>
          </m:d>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 Furthermore, it not clear whether the relationship between education and support for the Swiss Socialist party was negative in the first half of the 80s, since the difference in average predicted probabilities is not significant for this time-period. Other regressions models that were considered by the author, mainly multilevel models using years and cantons as levels, rather show that this relationship for all the time frame of the dataset, suggesting that the Swiss Socialist party was already a brahmin left party since the beginning of the 80s (see</w:t>
      </w:r>
      <w:r>
        <w:t xml:space="preserve"> </w:t>
      </w:r>
      <w:hyperlink w:anchor="fig-glmerameparties">
        <w:r>
          <w:rPr>
            <w:rStyle w:val="Hyperlink"/>
          </w:rPr>
          <w:t xml:space="preserve">Figure 4.4</w:t>
        </w:r>
      </w:hyperlink>
      <w:r>
        <w:t xml:space="preserve"> </w:t>
      </w:r>
      <w:r>
        <w:t xml:space="preserve">in the appendix).</w:t>
      </w:r>
    </w:p>
    <w:p>
      <w:pPr>
        <w:pStyle w:val="BodyText"/>
      </w:pPr>
      <w:r>
        <w:t xml:space="preserve">Second, the Liberal-Radical party (Radical-Democratic and Swiss Liberal Party before the latter merged in 2008) (PRD-PLR) shows a clear bourgeois basis for almost all time periods. The PRD-PLR party is thus indeed the party of the wealthiest and most educated groups and is the only party that shows this pattern. However, the PRD-PLR seems to gradually become a merchant right party in the last time periods. In</w:t>
      </w:r>
      <w:r>
        <w:t xml:space="preserve"> </w:t>
      </w:r>
      <w:r>
        <w:t xml:space="preserve">Durrer de la Sota, Gethin, and Martinez-Toledano (2021)</w:t>
      </w:r>
      <w:r>
        <w:t xml:space="preserve">, the Greens supporters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6"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(Jeroen K. 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5"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bookmarkStart w:id="73" w:name="the-swiss-social-blocs-during-the-90s"/>
    <w:p>
      <w:pPr>
        <w:pStyle w:val="Heading4"/>
      </w:pPr>
      <w:r>
        <w:t xml:space="preserve">2.3.2.1 The Swiss social blocs during the 90s</w:t>
      </w:r>
    </w:p>
    <w:p>
      <w:pPr>
        <w:pStyle w:val="FirstParagraph"/>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bookmarkEnd w:id="73"/>
    <w:bookmarkStart w:id="75" w:name="choice-of-the-active-indicator-variables"/>
    <w:p>
      <w:pPr>
        <w:pStyle w:val="Heading4"/>
      </w:pPr>
      <w:r>
        <w:t xml:space="preserve">2.3.2.2 Choice of the active indicator variables</w:t>
      </w:r>
    </w:p>
    <w:p>
      <w:pPr>
        <w:pStyle w:val="FirstParagraph"/>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4"/>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w:t>
      </w:r>
    </w:p>
    <w:p>
      <w:pPr>
        <w:pStyle w:val="BodyText"/>
      </w:pPr>
      <w:r>
        <w:t xml:space="preserve">European integration revived a strong regional-linguistic cleavage. Romandy’s voters supported the adhesion with a large majority (75%) whereas the Swiss-German and Swiss-Italian citizen voted against (respectively 56% and 61.5% of negative votes). Within each region and canton, a urban-rural cleavage also divided the supporters of the Adhesion to the EEC, who were mainly urban citizen, against non-supporters who were more likely to live in rural areas. Social groups in favor of European integration are thus expected to contain above-average representation of French-speaking Swiss citizen living in urban areas. The factors behind this linguistic-regional cleavage over European integration are manifold.</w:t>
      </w:r>
    </w:p>
    <w:p>
      <w:pPr>
        <w:pStyle w:val="BodyText"/>
      </w:pPr>
      <w:r>
        <w:t xml:space="preserve">First, the attachment of the Swiss French to European integration can be explained by their subordinate position vis-à-vis the Swiss German, who largely hold the political power in the country. The Swiss French thus tend to be more skeptical about Swiss sovereignty and feel that they do not really have an influence over their country’s future. In their perspective, European integration is, as Schwok puts it a way to</w:t>
      </w:r>
      <w:r>
        <w:t xml:space="preserve"> </w:t>
      </w:r>
      <w:r>
        <w:t xml:space="preserve">“</w:t>
      </w:r>
      <w:r>
        <w:t xml:space="preserve">play Brussels against Bern</w:t>
      </w:r>
      <w:r>
        <w:t xml:space="preserve">”</w:t>
      </w:r>
      <w:r>
        <w:t xml:space="preserve"> </w:t>
      </w:r>
      <w:r>
        <w:t xml:space="preserve">and can be perceived as</w:t>
      </w:r>
      <w:r>
        <w:t xml:space="preserve"> </w:t>
      </w:r>
      <w:r>
        <w:t xml:space="preserve">“</w:t>
      </w:r>
      <w:r>
        <w:t xml:space="preserve">a way out of the ghetto</w:t>
      </w:r>
      <w:r>
        <w:t xml:space="preserve">”</w:t>
      </w:r>
      <w:r>
        <w:t xml:space="preserve"> </w:t>
      </w:r>
      <w:r>
        <w:t xml:space="preserve">(Schwok 1993, 99)</w:t>
      </w:r>
      <w:r>
        <w:t xml:space="preserve">. Second, Swiss Germans are keen to differentiate themselves from Germany, the gap between Swiss Germans and Germans being much wider than that between France and Romandy. Third, Ticinesi feared the economic and cultural consequences of European integration, in addition to being repulsed by the Italian crisis of 1992</w:t>
      </w:r>
      <w:r>
        <w:t xml:space="preserve"> </w:t>
      </w:r>
      <w:r>
        <w:t xml:space="preserve">(Schwok 1993)</w:t>
      </w:r>
      <w:r>
        <w:t xml:space="preserve">.</w:t>
      </w:r>
    </w:p>
    <w:p>
      <w:pPr>
        <w:pStyle w:val="BodyText"/>
      </w:pPr>
      <w:r>
        <w:t xml:space="preserve">Moreover,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End w:id="75"/>
    <w:bookmarkStart w:id="81" w:name="description-of-the-12-clusters-model"/>
    <w:p>
      <w:pPr>
        <w:pStyle w:val="Heading4"/>
      </w:pPr>
      <w:r>
        <w:t xml:space="preserve">2.3.2.3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9" w:name="fig-clusters"/>
          <w:p>
            <w:pPr>
              <w:jc w:val="center"/>
            </w:pPr>
            <w:r>
              <w:drawing>
                <wp:inline>
                  <wp:extent cx="5334000" cy="6984206"/>
                  <wp:effectExtent b="0" l="0" r="0" t="0"/>
                  <wp:docPr descr="" title="" id="77" name="Picture"/>
                  <a:graphic>
                    <a:graphicData uri="http://schemas.openxmlformats.org/drawingml/2006/picture">
                      <pic:pic>
                        <pic:nvPicPr>
                          <pic:cNvPr descr="dataclustertable.png" id="78" name="Picture"/>
                          <pic:cNvPicPr>
                            <a:picLocks noChangeArrowheads="1" noChangeAspect="1"/>
                          </pic:cNvPicPr>
                        </pic:nvPicPr>
                        <pic:blipFill>
                          <a:blip r:embed="rId76"/>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9"/>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80"/>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1"/>
    <w:bookmarkStart w:id="83" w:name="aggregation-into-social-blocs"/>
    <w:p>
      <w:pPr>
        <w:pStyle w:val="Heading4"/>
      </w:pPr>
      <w:r>
        <w:t xml:space="preserve">2.3.2.4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w:t>
      </w:r>
      <w:r>
        <w:t xml:space="preserve"> </w:t>
      </w:r>
      <w:r>
        <w:t xml:space="preserve">(Jeroen K. Vermunt 2017)</w:t>
      </w:r>
      <w:r>
        <w:t xml:space="preserve">. After clusters are defined (step one), each cluster membership posterior probabilities are assigned to every observations (second step). Then, cluster membership can be regressed on a set of independent variables.</w:t>
      </w:r>
    </w:p>
    <w:bookmarkStart w:id="82"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2"/>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3"/>
    <w:bookmarkStart w:id="84" w:name="discussion-of-the-results"/>
    <w:p>
      <w:pPr>
        <w:pStyle w:val="Heading4"/>
      </w:pPr>
      <w:r>
        <w:t xml:space="preserve">2.3.2.5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4"/>
    <w:bookmarkEnd w:id="85"/>
    <w:bookmarkEnd w:id="86"/>
    <w:bookmarkEnd w:id="87"/>
    <w:bookmarkStart w:id="88"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8"/>
    <w:bookmarkStart w:id="122"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92" w:name="fig-plotdescrparties"/>
          <w:p>
            <w:pPr>
              <w:jc w:val="center"/>
            </w:pPr>
            <w:r>
              <w:drawing>
                <wp:inline>
                  <wp:extent cx="5334000" cy="2667000"/>
                  <wp:effectExtent b="0" l="0" r="0" t="0"/>
                  <wp:docPr descr="" title="" id="90" name="Picture"/>
                  <a:graphic>
                    <a:graphicData uri="http://schemas.openxmlformats.org/drawingml/2006/picture">
                      <pic:pic>
                        <pic:nvPicPr>
                          <pic:cNvPr descr="conclusion_appendix_files/figure-docx/fig-plotdescrparties-1.png" id="91" name="Picture"/>
                          <pic:cNvPicPr>
                            <a:picLocks noChangeArrowheads="1" noChangeAspect="1"/>
                          </pic:cNvPicPr>
                        </pic:nvPicPr>
                        <pic:blipFill>
                          <a:blip r:embed="rId8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9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6" w:name="fig-plotdescrleaning"/>
          <w:p>
            <w:pPr>
              <w:jc w:val="center"/>
            </w:pPr>
            <w:r>
              <w:drawing>
                <wp:inline>
                  <wp:extent cx="4620126" cy="3696101"/>
                  <wp:effectExtent b="0" l="0" r="0" t="0"/>
                  <wp:docPr descr="" title="" id="94" name="Picture"/>
                  <a:graphic>
                    <a:graphicData uri="http://schemas.openxmlformats.org/drawingml/2006/picture">
                      <pic:pic>
                        <pic:nvPicPr>
                          <pic:cNvPr descr="conclusion_appendix_files/figure-docx/fig-plotdescrleaning-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9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0" w:name="fig-plotdescrIP"/>
          <w:p>
            <w:pPr>
              <w:jc w:val="center"/>
            </w:pPr>
            <w:r>
              <w:drawing>
                <wp:inline>
                  <wp:extent cx="5334000" cy="2667000"/>
                  <wp:effectExtent b="0" l="0" r="0" t="0"/>
                  <wp:docPr descr="" title="" id="98" name="Picture"/>
                  <a:graphic>
                    <a:graphicData uri="http://schemas.openxmlformats.org/drawingml/2006/picture">
                      <pic:pic>
                        <pic:nvPicPr>
                          <pic:cNvPr descr="conclusion_appendix_files/figure-docx/fig-plotdescrIP-1.png" id="99" name="Picture"/>
                          <pic:cNvPicPr>
                            <a:picLocks noChangeArrowheads="1" noChangeAspect="1"/>
                          </pic:cNvPicPr>
                        </pic:nvPicPr>
                        <pic:blipFill>
                          <a:blip r:embed="rId9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100"/>
        </w:tc>
      </w:tr>
    </w:tbl>
    <w:bookmarkStart w:id="101"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1"/>
    <w:bookmarkStart w:id="102"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2"/>
    <w:bookmarkStart w:id="103"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3"/>
    <w:bookmarkStart w:id="104"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4"/>
    <w:tbl>
      <w:tblPr>
        <w:tblStyle w:val="Table"/>
        <w:tblW w:type="pct" w:w="5000"/>
        <w:tblLook w:firstRow="0" w:lastRow="0" w:firstColumn="0" w:lastColumn="0" w:noHBand="0" w:noVBand="0" w:val="0000"/>
        <w:jc w:val="start"/>
      </w:tblPr>
      <w:tblGrid>
        <w:gridCol w:w="7920"/>
      </w:tblGrid>
      <w:tr>
        <w:tc>
          <w:tcPr/>
          <w:bookmarkStart w:id="108" w:name="fig-glmerameparties"/>
          <w:p>
            <w:pPr>
              <w:jc w:val="center"/>
            </w:pPr>
            <w:r>
              <w:drawing>
                <wp:inline>
                  <wp:extent cx="4620126" cy="6468176"/>
                  <wp:effectExtent b="0" l="0" r="0" t="0"/>
                  <wp:docPr descr="" title="" id="106" name="Picture"/>
                  <a:graphic>
                    <a:graphicData uri="http://schemas.openxmlformats.org/drawingml/2006/picture">
                      <pic:pic>
                        <pic:nvPicPr>
                          <pic:cNvPr descr="conclusion_appendix_files/figure-docx/fig-glmerameparties-1.png" id="107" name="Picture"/>
                          <pic:cNvPicPr>
                            <a:picLocks noChangeArrowheads="1" noChangeAspect="1"/>
                          </pic:cNvPicPr>
                        </pic:nvPicPr>
                        <pic:blipFill>
                          <a:blip r:embed="rId10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0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2" w:name="fig-glmerameleaning"/>
          <w:p>
            <w:pPr>
              <w:jc w:val="center"/>
            </w:pPr>
            <w:r>
              <w:drawing>
                <wp:inline>
                  <wp:extent cx="4620126" cy="3696101"/>
                  <wp:effectExtent b="0" l="0" r="0" t="0"/>
                  <wp:docPr descr="" title="" id="110" name="Picture"/>
                  <a:graphic>
                    <a:graphicData uri="http://schemas.openxmlformats.org/drawingml/2006/picture">
                      <pic:pic>
                        <pic:nvPicPr>
                          <pic:cNvPr descr="conclusion_appendix_files/figure-docx/fig-glmerameleaning-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1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6" w:name="fig-glmerameIP"/>
          <w:p>
            <w:pPr>
              <w:jc w:val="center"/>
            </w:pPr>
            <w:r>
              <w:drawing>
                <wp:inline>
                  <wp:extent cx="4620126" cy="3696101"/>
                  <wp:effectExtent b="0" l="0" r="0" t="0"/>
                  <wp:docPr descr="" title="" id="114" name="Picture"/>
                  <a:graphic>
                    <a:graphicData uri="http://schemas.openxmlformats.org/drawingml/2006/picture">
                      <pic:pic>
                        <pic:nvPicPr>
                          <pic:cNvPr descr="conclusion_appendix_files/figure-docx/fig-glmerameIP-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16"/>
        </w:tc>
      </w:tr>
    </w:tbl>
    <w:bookmarkStart w:id="117"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17"/>
    <w:tbl>
      <w:tblPr>
        <w:tblStyle w:val="Table"/>
        <w:tblW w:type="pct" w:w="5000"/>
        <w:tblLook w:firstRow="0" w:lastRow="0" w:firstColumn="0" w:lastColumn="0" w:noHBand="0" w:noVBand="0" w:val="0000"/>
        <w:jc w:val="start"/>
      </w:tblPr>
      <w:tblGrid>
        <w:gridCol w:w="7920"/>
      </w:tblGrid>
      <w:tr>
        <w:tc>
          <w:tcPr/>
          <w:bookmarkStart w:id="121" w:name="fig-lcaindicators"/>
          <w:p>
            <w:pPr>
              <w:jc w:val="center"/>
            </w:pPr>
            <w:r>
              <w:drawing>
                <wp:inline>
                  <wp:extent cx="5334000" cy="1939636"/>
                  <wp:effectExtent b="0" l="0" r="0" t="0"/>
                  <wp:docPr descr="" title="" id="119" name="Picture"/>
                  <a:graphic>
                    <a:graphicData uri="http://schemas.openxmlformats.org/drawingml/2006/picture">
                      <pic:pic>
                        <pic:nvPicPr>
                          <pic:cNvPr descr="conclusion_appendix_files/figure-docx/fig-lcaindicators-1.png" id="120" name="Picture"/>
                          <pic:cNvPicPr>
                            <a:picLocks noChangeArrowheads="1" noChangeAspect="1"/>
                          </pic:cNvPicPr>
                        </pic:nvPicPr>
                        <pic:blipFill>
                          <a:blip r:embed="rId118"/>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21"/>
        </w:tc>
      </w:tr>
    </w:tbl>
    <w:bookmarkEnd w:id="122"/>
    <w:bookmarkStart w:id="271" w:name="references"/>
    <w:p>
      <w:pPr>
        <w:pStyle w:val="Heading1"/>
      </w:pPr>
      <w:r>
        <w:t xml:space="preserve">References</w:t>
      </w:r>
    </w:p>
    <w:bookmarkStart w:id="270" w:name="refs"/>
    <w:bookmarkStart w:id="123"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23"/>
    <w:bookmarkStart w:id="125"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24">
        <w:r>
          <w:rPr>
            <w:rStyle w:val="Hyperlink"/>
          </w:rPr>
          <w:t xml:space="preserve">https://doi.org/10.1177/002200947901400402</w:t>
        </w:r>
      </w:hyperlink>
      <w:r>
        <w:t xml:space="preserve">.</w:t>
      </w:r>
    </w:p>
    <w:bookmarkEnd w:id="125"/>
    <w:bookmarkStart w:id="126"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26"/>
    <w:bookmarkStart w:id="128"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27">
        <w:r>
          <w:rPr>
            <w:rStyle w:val="Hyperlink"/>
          </w:rPr>
          <w:t xml:space="preserve">https://doi.org/10.1093/acprof:oso/9780198787815.001.0001</w:t>
        </w:r>
      </w:hyperlink>
      <w:r>
        <w:t xml:space="preserve">.</w:t>
      </w:r>
    </w:p>
    <w:bookmarkEnd w:id="128"/>
    <w:bookmarkStart w:id="130"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29">
        <w:r>
          <w:rPr>
            <w:rStyle w:val="Hyperlink"/>
          </w:rPr>
          <w:t xml:space="preserve">https://doi.org/10.4000/regulation.20350</w:t>
        </w:r>
      </w:hyperlink>
      <w:r>
        <w:t xml:space="preserve">.</w:t>
      </w:r>
    </w:p>
    <w:bookmarkEnd w:id="130"/>
    <w:bookmarkStart w:id="131"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31"/>
    <w:bookmarkStart w:id="133"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32">
        <w:r>
          <w:rPr>
            <w:rStyle w:val="Hyperlink"/>
          </w:rPr>
          <w:t xml:space="preserve">https://doi.org/10.1080/09692290.2021.1913440</w:t>
        </w:r>
      </w:hyperlink>
      <w:r>
        <w:t xml:space="preserve">.</w:t>
      </w:r>
    </w:p>
    <w:bookmarkEnd w:id="133"/>
    <w:bookmarkStart w:id="134"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34"/>
    <w:bookmarkStart w:id="135"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35"/>
    <w:bookmarkStart w:id="137"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36">
        <w:r>
          <w:rPr>
            <w:rStyle w:val="Hyperlink"/>
          </w:rPr>
          <w:t xml:space="preserve">https://doi.org/10.1093/ser/mwn018</w:t>
        </w:r>
      </w:hyperlink>
      <w:r>
        <w:t xml:space="preserve">.</w:t>
      </w:r>
    </w:p>
    <w:bookmarkEnd w:id="137"/>
    <w:bookmarkStart w:id="139"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38">
        <w:r>
          <w:rPr>
            <w:rStyle w:val="Hyperlink"/>
          </w:rPr>
          <w:t xml:space="preserve">https://doi.org/10.4337/9781782549925.00015</w:t>
        </w:r>
      </w:hyperlink>
      <w:r>
        <w:t xml:space="preserve">.</w:t>
      </w:r>
    </w:p>
    <w:bookmarkEnd w:id="139"/>
    <w:bookmarkStart w:id="140"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40"/>
    <w:bookmarkStart w:id="141" w:name="ref-amable_ou_2022"/>
    <w:p>
      <w:pPr>
        <w:pStyle w:val="Bibliography"/>
      </w:pPr>
      <w:r>
        <w:t xml:space="preserve">———. 2022.</w:t>
      </w:r>
      <w:r>
        <w:t xml:space="preserve"> </w:t>
      </w:r>
      <w:r>
        <w:rPr>
          <w:iCs/>
          <w:i/>
        </w:rPr>
        <w:t xml:space="preserve">Où Va Le Bloc Bourgeois ?</w:t>
      </w:r>
      <w:r>
        <w:t xml:space="preserve"> Paris: La Dispute.</w:t>
      </w:r>
    </w:p>
    <w:bookmarkEnd w:id="141"/>
    <w:bookmarkStart w:id="14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42">
        <w:r>
          <w:rPr>
            <w:rStyle w:val="Hyperlink"/>
          </w:rPr>
          <w:t xml:space="preserve">https://doi.org/10.1080/13563467.2023.2215701</w:t>
        </w:r>
      </w:hyperlink>
      <w:r>
        <w:t xml:space="preserve">.</w:t>
      </w:r>
    </w:p>
    <w:bookmarkEnd w:id="143"/>
    <w:bookmarkStart w:id="14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44"/>
    <w:bookmarkStart w:id="14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45">
        <w:r>
          <w:rPr>
            <w:rStyle w:val="Hyperlink"/>
          </w:rPr>
          <w:t xml:space="preserve">https://doi.org/10.5169/seals-515017</w:t>
        </w:r>
      </w:hyperlink>
      <w:r>
        <w:t xml:space="preserve">.</w:t>
      </w:r>
    </w:p>
    <w:bookmarkEnd w:id="146"/>
    <w:bookmarkStart w:id="14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47">
        <w:r>
          <w:rPr>
            <w:rStyle w:val="Hyperlink"/>
          </w:rPr>
          <w:t xml:space="preserve">http://gen.lib.rus.ec/book/index.php?md5=ee123095cfe9fb8d6bcd03d6579a0705</w:t>
        </w:r>
      </w:hyperlink>
      <w:r>
        <w:t xml:space="preserve">.</w:t>
      </w:r>
    </w:p>
    <w:bookmarkEnd w:id="148"/>
    <w:bookmarkStart w:id="14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49"/>
    <w:bookmarkStart w:id="15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50">
        <w:r>
          <w:rPr>
            <w:rStyle w:val="Hyperlink"/>
          </w:rPr>
          <w:t xml:space="preserve">https://doi.org/10.23662/FORS-DS-688-2</w:t>
        </w:r>
      </w:hyperlink>
      <w:r>
        <w:t xml:space="preserve">.</w:t>
      </w:r>
    </w:p>
    <w:bookmarkEnd w:id="151"/>
    <w:bookmarkStart w:id="15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52">
        <w:r>
          <w:rPr>
            <w:rStyle w:val="Hyperlink"/>
          </w:rPr>
          <w:t xml:space="preserve">https://doi.org/10.1002/j.1662-6370.1997.tb00198.x</w:t>
        </w:r>
      </w:hyperlink>
      <w:r>
        <w:t xml:space="preserve">.</w:t>
      </w:r>
    </w:p>
    <w:bookmarkEnd w:id="153"/>
    <w:bookmarkStart w:id="155"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54">
        <w:r>
          <w:rPr>
            <w:rStyle w:val="Hyperlink"/>
          </w:rPr>
          <w:t xml:space="preserve">https://doi.org/10.1177/026858091006004002</w:t>
        </w:r>
      </w:hyperlink>
      <w:r>
        <w:t xml:space="preserve">.</w:t>
      </w:r>
    </w:p>
    <w:bookmarkEnd w:id="155"/>
    <w:bookmarkStart w:id="157"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56">
        <w:r>
          <w:rPr>
            <w:rStyle w:val="Hyperlink"/>
          </w:rPr>
          <w:t xml:space="preserve">https://oec.world/en/rankings/eci/hs6/hs96</w:t>
        </w:r>
      </w:hyperlink>
      <w:r>
        <w:t xml:space="preserve">.</w:t>
      </w:r>
    </w:p>
    <w:bookmarkEnd w:id="157"/>
    <w:bookmarkStart w:id="158"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58"/>
    <w:bookmarkStart w:id="160"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59">
        <w:r>
          <w:rPr>
            <w:rStyle w:val="Hyperlink"/>
          </w:rPr>
          <w:t xml:space="preserve">https://hls-dhs-dss.ch/articles/017393/2022-01-24/</w:t>
        </w:r>
      </w:hyperlink>
      <w:r>
        <w:t xml:space="preserve">.</w:t>
      </w:r>
    </w:p>
    <w:bookmarkEnd w:id="160"/>
    <w:bookmarkStart w:id="162"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61">
        <w:r>
          <w:rPr>
            <w:rStyle w:val="Hyperlink"/>
          </w:rPr>
          <w:t xml:space="preserve">https://wid.world/wp-content/uploads/2021/03/WorldInequalityLab_WP2021_08_PoliticalCleavages_AustriaBelgiumNLSwitzerland.pdf</w:t>
        </w:r>
      </w:hyperlink>
      <w:r>
        <w:t xml:space="preserve">.</w:t>
      </w:r>
    </w:p>
    <w:bookmarkEnd w:id="162"/>
    <w:bookmarkStart w:id="16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63">
        <w:r>
          <w:rPr>
            <w:rStyle w:val="Hyperlink"/>
          </w:rPr>
          <w:t xml:space="preserve">https://www.letemps.ch/economie/gerhard-schwarz-une-suisse-neoliberale-cest-une-fake-news</w:t>
        </w:r>
      </w:hyperlink>
      <w:r>
        <w:t xml:space="preserve">.</w:t>
      </w:r>
    </w:p>
    <w:bookmarkEnd w:id="164"/>
    <w:bookmarkStart w:id="166"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65">
        <w:r>
          <w:rPr>
            <w:rStyle w:val="Hyperlink"/>
          </w:rPr>
          <w:t xml:space="preserve">https://doi.org/10.1093/qje/qjab036</w:t>
        </w:r>
      </w:hyperlink>
      <w:r>
        <w:t xml:space="preserve">.</w:t>
      </w:r>
    </w:p>
    <w:bookmarkEnd w:id="166"/>
    <w:bookmarkStart w:id="167"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67"/>
    <w:bookmarkStart w:id="16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68">
        <w:r>
          <w:rPr>
            <w:rStyle w:val="Hyperlink"/>
          </w:rPr>
          <w:t xml:space="preserve">https://www.avenir-suisse.ch/fr/7-bonnes-raisons-de-privatiser-lenergie/</w:t>
        </w:r>
      </w:hyperlink>
      <w:r>
        <w:t xml:space="preserve">.</w:t>
      </w:r>
    </w:p>
    <w:bookmarkEnd w:id="169"/>
    <w:bookmarkStart w:id="170"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70"/>
    <w:bookmarkStart w:id="172"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71">
        <w:r>
          <w:rPr>
            <w:rStyle w:val="Hyperlink"/>
          </w:rPr>
          <w:t xml:space="preserve">https://doi.org/10.48573/9EX9-FP54</w:t>
        </w:r>
      </w:hyperlink>
      <w:r>
        <w:t xml:space="preserve">.</w:t>
      </w:r>
    </w:p>
    <w:bookmarkEnd w:id="172"/>
    <w:bookmarkStart w:id="173"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73"/>
    <w:bookmarkStart w:id="175"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74">
        <w:r>
          <w:rPr>
            <w:rStyle w:val="Hyperlink"/>
          </w:rPr>
          <w:t xml:space="preserve">https://doi.org/10.1080/13501763.2017.1310279</w:t>
        </w:r>
      </w:hyperlink>
      <w:r>
        <w:t xml:space="preserve">.</w:t>
      </w:r>
    </w:p>
    <w:bookmarkEnd w:id="175"/>
    <w:bookmarkStart w:id="177"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76">
        <w:r>
          <w:rPr>
            <w:rStyle w:val="Hyperlink"/>
          </w:rPr>
          <w:t xml:space="preserve">https://doi.org/10.2307/1953494</w:t>
        </w:r>
      </w:hyperlink>
      <w:r>
        <w:t xml:space="preserve">.</w:t>
      </w:r>
    </w:p>
    <w:bookmarkEnd w:id="177"/>
    <w:bookmarkStart w:id="179"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78">
        <w:r>
          <w:rPr>
            <w:rStyle w:val="Hyperlink"/>
          </w:rPr>
          <w:t xml:space="preserve">https://doi.org/10.2307/j.ctv346rbz</w:t>
        </w:r>
      </w:hyperlink>
      <w:r>
        <w:t xml:space="preserve">.</w:t>
      </w:r>
    </w:p>
    <w:bookmarkEnd w:id="179"/>
    <w:bookmarkStart w:id="180"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80"/>
    <w:bookmarkStart w:id="182"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81">
        <w:r>
          <w:rPr>
            <w:rStyle w:val="Hyperlink"/>
          </w:rPr>
          <w:t xml:space="preserve">https://doi.org/10.2307/1962590</w:t>
        </w:r>
      </w:hyperlink>
      <w:r>
        <w:t xml:space="preserve">.</w:t>
      </w:r>
    </w:p>
    <w:bookmarkEnd w:id="182"/>
    <w:bookmarkStart w:id="184"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83">
        <w:r>
          <w:rPr>
            <w:rStyle w:val="Hyperlink"/>
          </w:rPr>
          <w:t xml:space="preserve">https://doi.org/10.3917/infle.020.0183</w:t>
        </w:r>
      </w:hyperlink>
      <w:r>
        <w:t xml:space="preserve">.</w:t>
      </w:r>
    </w:p>
    <w:bookmarkEnd w:id="184"/>
    <w:bookmarkStart w:id="185"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85"/>
    <w:bookmarkStart w:id="186"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86"/>
    <w:bookmarkStart w:id="188"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87">
        <w:r>
          <w:rPr>
            <w:rStyle w:val="Hyperlink"/>
          </w:rPr>
          <w:t xml:space="preserve">https://doi.org/10.4000/histoirepolitique.7344</w:t>
        </w:r>
      </w:hyperlink>
      <w:r>
        <w:t xml:space="preserve">.</w:t>
      </w:r>
    </w:p>
    <w:bookmarkEnd w:id="188"/>
    <w:bookmarkStart w:id="190"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89">
        <w:r>
          <w:rPr>
            <w:rStyle w:val="Hyperlink"/>
          </w:rPr>
          <w:t xml:space="preserve">http://gen.lib.rus.ec/book/index.php?md5=672bb6ec977ceddc83c745ffc8db0022</w:t>
        </w:r>
      </w:hyperlink>
      <w:r>
        <w:t xml:space="preserve">.</w:t>
      </w:r>
    </w:p>
    <w:bookmarkEnd w:id="190"/>
    <w:bookmarkStart w:id="192"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91">
        <w:r>
          <w:rPr>
            <w:rStyle w:val="Hyperlink"/>
          </w:rPr>
          <w:t xml:space="preserve">https://doi.org/10.1111/j.1475-6765.2006.00644.x</w:t>
        </w:r>
      </w:hyperlink>
      <w:r>
        <w:t xml:space="preserve">.</w:t>
      </w:r>
    </w:p>
    <w:bookmarkEnd w:id="192"/>
    <w:bookmarkStart w:id="194"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93">
        <w:r>
          <w:rPr>
            <w:rStyle w:val="Hyperlink"/>
          </w:rPr>
          <w:t xml:space="preserve">https://doi.org/10.1017/CBO9780511790720</w:t>
        </w:r>
      </w:hyperlink>
      <w:r>
        <w:t xml:space="preserve">.</w:t>
      </w:r>
    </w:p>
    <w:bookmarkEnd w:id="194"/>
    <w:bookmarkStart w:id="195"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95"/>
    <w:bookmarkStart w:id="197"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196">
        <w:r>
          <w:rPr>
            <w:rStyle w:val="Hyperlink"/>
          </w:rPr>
          <w:t xml:space="preserve">https://doi.org/10.2307/1954890</w:t>
        </w:r>
      </w:hyperlink>
      <w:r>
        <w:t xml:space="preserve">.</w:t>
      </w:r>
    </w:p>
    <w:bookmarkEnd w:id="197"/>
    <w:bookmarkStart w:id="198"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198"/>
    <w:bookmarkStart w:id="199"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199"/>
    <w:bookmarkStart w:id="200"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200"/>
    <w:bookmarkStart w:id="201"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201"/>
    <w:bookmarkStart w:id="203"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202">
        <w:r>
          <w:rPr>
            <w:rStyle w:val="Hyperlink"/>
          </w:rPr>
          <w:t xml:space="preserve">https://doi.org/10.1080/1350176032000059053</w:t>
        </w:r>
      </w:hyperlink>
      <w:r>
        <w:t xml:space="preserve">.</w:t>
      </w:r>
    </w:p>
    <w:bookmarkEnd w:id="203"/>
    <w:bookmarkStart w:id="205"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04">
        <w:r>
          <w:rPr>
            <w:rStyle w:val="Hyperlink"/>
          </w:rPr>
          <w:t xml:space="preserve">https://doi.org/10.2202/1935-6226.1022</w:t>
        </w:r>
      </w:hyperlink>
      <w:r>
        <w:t xml:space="preserve">.</w:t>
      </w:r>
    </w:p>
    <w:bookmarkEnd w:id="205"/>
    <w:bookmarkStart w:id="206"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06"/>
    <w:bookmarkStart w:id="208"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07">
        <w:r>
          <w:rPr>
            <w:rStyle w:val="Hyperlink"/>
          </w:rPr>
          <w:t xml:space="preserve">https://archive-ouverte.unige.ch/unige:83364</w:t>
        </w:r>
      </w:hyperlink>
      <w:r>
        <w:t xml:space="preserve">.</w:t>
      </w:r>
    </w:p>
    <w:bookmarkEnd w:id="208"/>
    <w:bookmarkStart w:id="209" w:name="ref-meuwly_aux_1992"/>
    <w:p>
      <w:pPr>
        <w:pStyle w:val="Bibliography"/>
      </w:pPr>
      <w:r>
        <w:t xml:space="preserve">Meuwly, Olivier. 1992.</w:t>
      </w:r>
      <w:r>
        <w:t xml:space="preserve"> </w:t>
      </w:r>
      <w:r>
        <w:rPr>
          <w:iCs/>
          <w:i/>
        </w:rPr>
        <w:t xml:space="preserve">Aux sources du radicalisme: les origines de la démocratie libérale</w:t>
      </w:r>
      <w:r>
        <w:t xml:space="preserve">. Éditions du sabre.</w:t>
      </w:r>
    </w:p>
    <w:bookmarkEnd w:id="209"/>
    <w:bookmarkStart w:id="210" w:name="ref-meuwly_liberte_2008"/>
    <w:p>
      <w:pPr>
        <w:pStyle w:val="Bibliography"/>
      </w:pPr>
      <w:r>
        <w:t xml:space="preserve">———. 2008.</w:t>
      </w:r>
      <w:r>
        <w:t xml:space="preserve"> </w:t>
      </w:r>
      <w:r>
        <w:rPr>
          <w:iCs/>
          <w:i/>
        </w:rPr>
        <w:t xml:space="preserve">La Liberté Cacophonique: Essai Sur La Crise Des Droites Suisses</w:t>
      </w:r>
      <w:r>
        <w:t xml:space="preserve">. Genève: Éditions Slatkine.</w:t>
      </w:r>
    </w:p>
    <w:bookmarkEnd w:id="210"/>
    <w:bookmarkStart w:id="211"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11"/>
    <w:bookmarkStart w:id="212"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12"/>
    <w:bookmarkStart w:id="214"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213">
        <w:r>
          <w:rPr>
            <w:rStyle w:val="Hyperlink"/>
          </w:rPr>
          <w:t xml:space="preserve">https://hls-dhs-dss.ch/articles/017397/2010-12-22/</w:t>
        </w:r>
      </w:hyperlink>
      <w:r>
        <w:t xml:space="preserve">.</w:t>
      </w:r>
    </w:p>
    <w:bookmarkEnd w:id="214"/>
    <w:bookmarkStart w:id="216"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15">
        <w:r>
          <w:rPr>
            <w:rStyle w:val="Hyperlink"/>
          </w:rPr>
          <w:t xml:space="preserve">https://hdr.undp.org/content/human-development-report-2021-22</w:t>
        </w:r>
      </w:hyperlink>
      <w:r>
        <w:t xml:space="preserve">.</w:t>
      </w:r>
    </w:p>
    <w:bookmarkEnd w:id="216"/>
    <w:bookmarkStart w:id="218"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17">
        <w:r>
          <w:rPr>
            <w:rStyle w:val="Hyperlink"/>
          </w:rPr>
          <w:t xml:space="preserve">https://doi.org/10.1080/10705510701575396</w:t>
        </w:r>
      </w:hyperlink>
      <w:r>
        <w:t xml:space="preserve">.</w:t>
      </w:r>
    </w:p>
    <w:bookmarkEnd w:id="218"/>
    <w:bookmarkStart w:id="220"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19">
        <w:r>
          <w:rPr>
            <w:rStyle w:val="Hyperlink"/>
          </w:rPr>
          <w:t xml:space="preserve">https://doi.org/10.1017/S0143814X98000129</w:t>
        </w:r>
      </w:hyperlink>
      <w:r>
        <w:t xml:space="preserve">.</w:t>
      </w:r>
    </w:p>
    <w:bookmarkEnd w:id="220"/>
    <w:bookmarkStart w:id="222"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21">
        <w:r>
          <w:rPr>
            <w:rStyle w:val="Hyperlink"/>
          </w:rPr>
          <w:t xml:space="preserve">https://www.oecd-ilibrary.org/economics/oecd-economic-surveys-switzerland-1992_eco_surveys-che-1992-en</w:t>
        </w:r>
      </w:hyperlink>
      <w:r>
        <w:t xml:space="preserve">.</w:t>
      </w:r>
    </w:p>
    <w:bookmarkEnd w:id="222"/>
    <w:bookmarkStart w:id="224"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23">
        <w:r>
          <w:rPr>
            <w:rStyle w:val="Hyperlink"/>
          </w:rPr>
          <w:t xml:space="preserve">https://www.oecd-ilibrary.org/economics/oecd-economic-surveys-switzerland-2019_7e6fd372-en</w:t>
        </w:r>
      </w:hyperlink>
      <w:r>
        <w:t xml:space="preserve">.</w:t>
      </w:r>
    </w:p>
    <w:bookmarkEnd w:id="224"/>
    <w:bookmarkStart w:id="226"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25">
        <w:r>
          <w:rPr>
            <w:rStyle w:val="Hyperlink"/>
          </w:rPr>
          <w:t xml:space="preserve">https://www.oecd-ilibrary.org/economics/oecd-economic-surveys-switzerland-2022_1fde6924-en</w:t>
        </w:r>
      </w:hyperlink>
      <w:r>
        <w:t xml:space="preserve">.</w:t>
      </w:r>
    </w:p>
    <w:bookmarkEnd w:id="226"/>
    <w:bookmarkStart w:id="228"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27">
        <w:r>
          <w:rPr>
            <w:rStyle w:val="Hyperlink"/>
          </w:rPr>
          <w:t xml:space="preserve">https://doi.org/10.1057/9780230504592</w:t>
        </w:r>
      </w:hyperlink>
      <w:r>
        <w:t xml:space="preserve">.</w:t>
      </w:r>
    </w:p>
    <w:bookmarkEnd w:id="228"/>
    <w:bookmarkStart w:id="230"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29">
        <w:r>
          <w:rPr>
            <w:rStyle w:val="Hyperlink"/>
          </w:rPr>
          <w:t xml:space="preserve">https://doi.org/10.1177/0192512107088390</w:t>
        </w:r>
      </w:hyperlink>
      <w:r>
        <w:t xml:space="preserve">.</w:t>
      </w:r>
    </w:p>
    <w:bookmarkEnd w:id="230"/>
    <w:bookmarkStart w:id="232"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31">
        <w:r>
          <w:rPr>
            <w:rStyle w:val="Hyperlink"/>
          </w:rPr>
          <w:t xml:space="preserve">https://doi.org/10.1080/14616690701846946</w:t>
        </w:r>
      </w:hyperlink>
      <w:r>
        <w:t xml:space="preserve">.</w:t>
      </w:r>
    </w:p>
    <w:bookmarkEnd w:id="232"/>
    <w:bookmarkStart w:id="233"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33"/>
    <w:bookmarkStart w:id="235"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34">
        <w:r>
          <w:rPr>
            <w:rStyle w:val="Hyperlink"/>
          </w:rPr>
          <w:t xml:space="preserve">https://doi.org/10.1002/j.1662-6370.2010.tb00433.x</w:t>
        </w:r>
      </w:hyperlink>
      <w:r>
        <w:t xml:space="preserve">.</w:t>
      </w:r>
    </w:p>
    <w:bookmarkEnd w:id="235"/>
    <w:bookmarkStart w:id="237"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36">
        <w:r>
          <w:rPr>
            <w:rStyle w:val="Hyperlink"/>
          </w:rPr>
          <w:t xml:space="preserve">https://doi.org/10.1111/1475-6765.12259</w:t>
        </w:r>
      </w:hyperlink>
      <w:r>
        <w:t xml:space="preserve">.</w:t>
      </w:r>
    </w:p>
    <w:bookmarkEnd w:id="237"/>
    <w:bookmarkStart w:id="238"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38"/>
    <w:bookmarkStart w:id="239"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39"/>
    <w:bookmarkStart w:id="240"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40"/>
    <w:bookmarkStart w:id="241"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41"/>
    <w:bookmarkStart w:id="242" w:name="ref-piketty_capital_2019"/>
    <w:p>
      <w:pPr>
        <w:pStyle w:val="Bibliography"/>
      </w:pPr>
      <w:r>
        <w:t xml:space="preserve">———. 2019.</w:t>
      </w:r>
      <w:r>
        <w:t xml:space="preserve"> </w:t>
      </w:r>
      <w:r>
        <w:rPr>
          <w:iCs/>
          <w:i/>
        </w:rPr>
        <w:t xml:space="preserve">Capital Et Idéologie</w:t>
      </w:r>
      <w:r>
        <w:t xml:space="preserve">. Le Seuil.</w:t>
      </w:r>
    </w:p>
    <w:bookmarkEnd w:id="242"/>
    <w:bookmarkStart w:id="244"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43">
        <w:r>
          <w:rPr>
            <w:rStyle w:val="Hyperlink"/>
          </w:rPr>
          <w:t xml:space="preserve">https://doi.org/10.1111/spsr.12124</w:t>
        </w:r>
      </w:hyperlink>
      <w:r>
        <w:t xml:space="preserve">.</w:t>
      </w:r>
    </w:p>
    <w:bookmarkEnd w:id="244"/>
    <w:bookmarkStart w:id="246"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45">
        <w:r>
          <w:rPr>
            <w:rStyle w:val="Hyperlink"/>
          </w:rPr>
          <w:t xml:space="preserve">http://gen.lib.rus.ec/book/index.php?md5=DC2AFED8958B9AE0932FFEFEAB45546C</w:t>
        </w:r>
      </w:hyperlink>
      <w:r>
        <w:t xml:space="preserve">.</w:t>
      </w:r>
    </w:p>
    <w:bookmarkEnd w:id="246"/>
    <w:bookmarkStart w:id="247" w:name="ref-ribeaud_quand_1998"/>
    <w:p>
      <w:pPr>
        <w:pStyle w:val="Bibliography"/>
      </w:pPr>
      <w:r>
        <w:t xml:space="preserve">Ribeaud, José. 1998.</w:t>
      </w:r>
      <w:r>
        <w:t xml:space="preserve"> </w:t>
      </w:r>
      <w:r>
        <w:rPr>
          <w:iCs/>
          <w:i/>
        </w:rPr>
        <w:t xml:space="preserve">Quand La Suisse Disparaîtra</w:t>
      </w:r>
      <w:r>
        <w:t xml:space="preserve">. Vevey: L’Aire.</w:t>
      </w:r>
    </w:p>
    <w:bookmarkEnd w:id="247"/>
    <w:bookmarkStart w:id="249" w:name="ref-schwok_causes_1993"/>
    <w:p>
      <w:pPr>
        <w:pStyle w:val="Bibliography"/>
      </w:pPr>
      <w:r>
        <w:t xml:space="preserve">Schwok, René. 1993.</w:t>
      </w:r>
      <w:r>
        <w:t xml:space="preserve"> </w:t>
      </w:r>
      <w:r>
        <w:t xml:space="preserve">“Causes Et Conséquences Du Refus de La Suisse d’adhérer à l’espace Économique Européen.”</w:t>
      </w:r>
      <w:r>
        <w:t xml:space="preserve"> </w:t>
      </w:r>
      <w:r>
        <w:rPr>
          <w:iCs/>
          <w:i/>
        </w:rPr>
        <w:t xml:space="preserve">Relations Internationales</w:t>
      </w:r>
      <w:r>
        <w:t xml:space="preserve">, no. 73: 95–108.</w:t>
      </w:r>
      <w:r>
        <w:t xml:space="preserve"> </w:t>
      </w:r>
      <w:hyperlink r:id="rId248">
        <w:r>
          <w:rPr>
            <w:rStyle w:val="Hyperlink"/>
          </w:rPr>
          <w:t xml:space="preserve">https://www.jstor.org/stable/45344498</w:t>
        </w:r>
      </w:hyperlink>
      <w:r>
        <w:t xml:space="preserve">.</w:t>
      </w:r>
    </w:p>
    <w:bookmarkEnd w:id="249"/>
    <w:bookmarkStart w:id="251"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50">
        <w:r>
          <w:rPr>
            <w:rStyle w:val="Hyperlink"/>
          </w:rPr>
          <w:t xml:space="preserve">https://www.epflpress.org/produit/1421/9782889155279/politique-suisse</w:t>
        </w:r>
      </w:hyperlink>
      <w:r>
        <w:t xml:space="preserve">.</w:t>
      </w:r>
    </w:p>
    <w:bookmarkEnd w:id="251"/>
    <w:bookmarkStart w:id="253"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52">
        <w:r>
          <w:rPr>
            <w:rStyle w:val="Hyperlink"/>
          </w:rPr>
          <w:t xml:space="preserve">https://hls-dhs-dss.ch/articles/004635/2020-04-15/</w:t>
        </w:r>
      </w:hyperlink>
      <w:r>
        <w:t xml:space="preserve">.</w:t>
      </w:r>
    </w:p>
    <w:bookmarkEnd w:id="253"/>
    <w:bookmarkStart w:id="255"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54">
        <w:r>
          <w:rPr>
            <w:rStyle w:val="Hyperlink"/>
          </w:rPr>
          <w:t xml:space="preserve">https://doi.org/10.3917/socio.103.0243</w:t>
        </w:r>
      </w:hyperlink>
      <w:r>
        <w:t xml:space="preserve">.</w:t>
      </w:r>
    </w:p>
    <w:bookmarkEnd w:id="255"/>
    <w:bookmarkStart w:id="257"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56">
        <w:r>
          <w:rPr>
            <w:rStyle w:val="Hyperlink"/>
          </w:rPr>
          <w:t xml:space="preserve">https://doi.org/10.1017/S1755773913000246</w:t>
        </w:r>
      </w:hyperlink>
      <w:r>
        <w:t xml:space="preserve">.</w:t>
      </w:r>
    </w:p>
    <w:bookmarkEnd w:id="257"/>
    <w:bookmarkStart w:id="258"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58"/>
    <w:bookmarkStart w:id="260"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59">
        <w:r>
          <w:rPr>
            <w:rStyle w:val="Hyperlink"/>
          </w:rPr>
          <w:t xml:space="preserve">https://doi.org/10.48573/PCBM-2280</w:t>
        </w:r>
      </w:hyperlink>
      <w:r>
        <w:t xml:space="preserve">.</w:t>
      </w:r>
    </w:p>
    <w:bookmarkEnd w:id="260"/>
    <w:bookmarkStart w:id="262"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61">
        <w:r>
          <w:rPr>
            <w:rStyle w:val="Hyperlink"/>
          </w:rPr>
          <w:t xml:space="preserve">https://doi.org/10.2202/1935-6226.1042</w:t>
        </w:r>
      </w:hyperlink>
      <w:r>
        <w:t xml:space="preserve">.</w:t>
      </w:r>
    </w:p>
    <w:bookmarkEnd w:id="262"/>
    <w:bookmarkStart w:id="264" w:name="ref-vermunt_latent_2017"/>
    <w:p>
      <w:pPr>
        <w:pStyle w:val="Bibliography"/>
      </w:pPr>
      <w:r>
        <w:t xml:space="preserve">Vermunt, Jeroen K. 2017.</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r>
        <w:t xml:space="preserve"> </w:t>
      </w:r>
      <w:hyperlink r:id="rId263">
        <w:r>
          <w:rPr>
            <w:rStyle w:val="Hyperlink"/>
          </w:rPr>
          <w:t xml:space="preserve">https://doi.org/10.1093/pan/mpq025</w:t>
        </w:r>
      </w:hyperlink>
      <w:r>
        <w:t xml:space="preserve">.</w:t>
      </w:r>
    </w:p>
    <w:bookmarkEnd w:id="264"/>
    <w:bookmarkStart w:id="265"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65"/>
    <w:bookmarkStart w:id="267"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66">
        <w:r>
          <w:rPr>
            <w:rStyle w:val="Hyperlink"/>
          </w:rPr>
          <w:t xml:space="preserve">https://archive-ouverte.unige.ch/unige:14538</w:t>
        </w:r>
      </w:hyperlink>
      <w:r>
        <w:t xml:space="preserve">.</w:t>
      </w:r>
    </w:p>
    <w:bookmarkEnd w:id="267"/>
    <w:bookmarkStart w:id="269"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68">
        <w:r>
          <w:rPr>
            <w:rStyle w:val="Hyperlink"/>
          </w:rPr>
          <w:t xml:space="preserve">https://doi.org/10.1111/ajps.12743</w:t>
        </w:r>
      </w:hyperlink>
      <w:r>
        <w:t xml:space="preserve">.</w:t>
      </w:r>
    </w:p>
    <w:bookmarkEnd w:id="269"/>
    <w:bookmarkEnd w:id="270"/>
    <w:bookmarkEnd w:id="2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4">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80">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09" Target="media/rId109.png" /><Relationship Type="http://schemas.openxmlformats.org/officeDocument/2006/relationships/image" Id="rId105" Target="media/rId105.png" /><Relationship Type="http://schemas.openxmlformats.org/officeDocument/2006/relationships/image" Id="rId118" Target="media/rId118.png" /><Relationship Type="http://schemas.openxmlformats.org/officeDocument/2006/relationships/image" Id="rId97" Target="media/rId97.png" /><Relationship Type="http://schemas.openxmlformats.org/officeDocument/2006/relationships/image" Id="rId93" Target="media/rId93.png" /><Relationship Type="http://schemas.openxmlformats.org/officeDocument/2006/relationships/image" Id="rId89" Target="media/rId89.png" /><Relationship Type="http://schemas.openxmlformats.org/officeDocument/2006/relationships/image" Id="rId76" Target="media/rId7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89" Target="http://gen.lib.rus.ec/book/index.php?md5=672bb6ec977ceddc83c745ffc8db0022" TargetMode="External" /><Relationship Type="http://schemas.openxmlformats.org/officeDocument/2006/relationships/hyperlink" Id="rId245" Target="http://gen.lib.rus.ec/book/index.php?md5=DC2AFED8958B9AE0932FFEFEAB45546C" TargetMode="External" /><Relationship Type="http://schemas.openxmlformats.org/officeDocument/2006/relationships/hyperlink" Id="rId147" Target="http://gen.lib.rus.ec/book/index.php?md5=ee123095cfe9fb8d6bcd03d6579a0705" TargetMode="External" /><Relationship Type="http://schemas.openxmlformats.org/officeDocument/2006/relationships/hyperlink" Id="rId266" Target="https://archive-ouverte.unige.ch/unige:14538" TargetMode="External" /><Relationship Type="http://schemas.openxmlformats.org/officeDocument/2006/relationships/hyperlink" Id="rId207" Target="https://archive-ouverte.unige.ch/unige:83364" TargetMode="External" /><Relationship Type="http://schemas.openxmlformats.org/officeDocument/2006/relationships/hyperlink" Id="rId152" Target="https://doi.org/10.1002/j.1662-6370.1997.tb00198.x" TargetMode="External" /><Relationship Type="http://schemas.openxmlformats.org/officeDocument/2006/relationships/hyperlink" Id="rId234" Target="https://doi.org/10.1002/j.1662-6370.2010.tb00433.x" TargetMode="External" /><Relationship Type="http://schemas.openxmlformats.org/officeDocument/2006/relationships/hyperlink" Id="rId193" Target="https://doi.org/10.1017/CBO9780511790720" TargetMode="External" /><Relationship Type="http://schemas.openxmlformats.org/officeDocument/2006/relationships/hyperlink" Id="rId219" Target="https://doi.org/10.1017/S0143814X98000129" TargetMode="External" /><Relationship Type="http://schemas.openxmlformats.org/officeDocument/2006/relationships/hyperlink" Id="rId256" Target="https://doi.org/10.1017/S1755773913000246" TargetMode="External" /><Relationship Type="http://schemas.openxmlformats.org/officeDocument/2006/relationships/hyperlink" Id="rId227" Target="https://doi.org/10.1057/9780230504592" TargetMode="External" /><Relationship Type="http://schemas.openxmlformats.org/officeDocument/2006/relationships/hyperlink" Id="rId132" Target="https://doi.org/10.1080/09692290.2021.1913440" TargetMode="External" /><Relationship Type="http://schemas.openxmlformats.org/officeDocument/2006/relationships/hyperlink" Id="rId217" Target="https://doi.org/10.1080/10705510701575396" TargetMode="External" /><Relationship Type="http://schemas.openxmlformats.org/officeDocument/2006/relationships/hyperlink" Id="rId202" Target="https://doi.org/10.1080/1350176032000059053" TargetMode="External" /><Relationship Type="http://schemas.openxmlformats.org/officeDocument/2006/relationships/hyperlink" Id="rId174" Target="https://doi.org/10.1080/13501763.2017.1310279" TargetMode="External" /><Relationship Type="http://schemas.openxmlformats.org/officeDocument/2006/relationships/hyperlink" Id="rId142" Target="https://doi.org/10.1080/13563467.2023.2215701" TargetMode="External" /><Relationship Type="http://schemas.openxmlformats.org/officeDocument/2006/relationships/hyperlink" Id="rId231" Target="https://doi.org/10.1080/14616690701846946" TargetMode="External" /><Relationship Type="http://schemas.openxmlformats.org/officeDocument/2006/relationships/hyperlink" Id="rId127" Target="https://doi.org/10.1093/acprof:oso/9780198787815.001.0001" TargetMode="External" /><Relationship Type="http://schemas.openxmlformats.org/officeDocument/2006/relationships/hyperlink" Id="rId263" Target="https://doi.org/10.1093/pan/mpq025" TargetMode="External" /><Relationship Type="http://schemas.openxmlformats.org/officeDocument/2006/relationships/hyperlink" Id="rId165" Target="https://doi.org/10.1093/qje/qjab036" TargetMode="External" /><Relationship Type="http://schemas.openxmlformats.org/officeDocument/2006/relationships/hyperlink" Id="rId136" Target="https://doi.org/10.1093/ser/mwn018" TargetMode="External" /><Relationship Type="http://schemas.openxmlformats.org/officeDocument/2006/relationships/hyperlink" Id="rId236" Target="https://doi.org/10.1111/1475-6765.12259" TargetMode="External" /><Relationship Type="http://schemas.openxmlformats.org/officeDocument/2006/relationships/hyperlink" Id="rId268" Target="https://doi.org/10.1111/ajps.12743" TargetMode="External" /><Relationship Type="http://schemas.openxmlformats.org/officeDocument/2006/relationships/hyperlink" Id="rId191" Target="https://doi.org/10.1111/j.1475-6765.2006.00644.x" TargetMode="External" /><Relationship Type="http://schemas.openxmlformats.org/officeDocument/2006/relationships/hyperlink" Id="rId243" Target="https://doi.org/10.1111/spsr.12124" TargetMode="External" /><Relationship Type="http://schemas.openxmlformats.org/officeDocument/2006/relationships/hyperlink" Id="rId124" Target="https://doi.org/10.1177/002200947901400402" TargetMode="External" /><Relationship Type="http://schemas.openxmlformats.org/officeDocument/2006/relationships/hyperlink" Id="rId229" Target="https://doi.org/10.1177/0192512107088390" TargetMode="External" /><Relationship Type="http://schemas.openxmlformats.org/officeDocument/2006/relationships/hyperlink" Id="rId154" Target="https://doi.org/10.1177/026858091006004002" TargetMode="External" /><Relationship Type="http://schemas.openxmlformats.org/officeDocument/2006/relationships/hyperlink" Id="rId204" Target="https://doi.org/10.2202/1935-6226.1022" TargetMode="External" /><Relationship Type="http://schemas.openxmlformats.org/officeDocument/2006/relationships/hyperlink" Id="rId261" Target="https://doi.org/10.2202/1935-6226.1042" TargetMode="External" /><Relationship Type="http://schemas.openxmlformats.org/officeDocument/2006/relationships/hyperlink" Id="rId176" Target="https://doi.org/10.2307/1953494" TargetMode="External" /><Relationship Type="http://schemas.openxmlformats.org/officeDocument/2006/relationships/hyperlink" Id="rId196" Target="https://doi.org/10.2307/1954890" TargetMode="External" /><Relationship Type="http://schemas.openxmlformats.org/officeDocument/2006/relationships/hyperlink" Id="rId181" Target="https://doi.org/10.2307/1962590" TargetMode="External" /><Relationship Type="http://schemas.openxmlformats.org/officeDocument/2006/relationships/hyperlink" Id="rId178" Target="https://doi.org/10.2307/j.ctv346rbz" TargetMode="External" /><Relationship Type="http://schemas.openxmlformats.org/officeDocument/2006/relationships/hyperlink" Id="rId150" Target="https://doi.org/10.23662/FORS-DS-688-2" TargetMode="External" /><Relationship Type="http://schemas.openxmlformats.org/officeDocument/2006/relationships/hyperlink" Id="rId183" Target="https://doi.org/10.3917/infle.020.0183" TargetMode="External" /><Relationship Type="http://schemas.openxmlformats.org/officeDocument/2006/relationships/hyperlink" Id="rId254" Target="https://doi.org/10.3917/socio.103.0243" TargetMode="External" /><Relationship Type="http://schemas.openxmlformats.org/officeDocument/2006/relationships/hyperlink" Id="rId187" Target="https://doi.org/10.4000/histoirepolitique.7344" TargetMode="External" /><Relationship Type="http://schemas.openxmlformats.org/officeDocument/2006/relationships/hyperlink" Id="rId129" Target="https://doi.org/10.4000/regulation.20350" TargetMode="External" /><Relationship Type="http://schemas.openxmlformats.org/officeDocument/2006/relationships/hyperlink" Id="rId138" Target="https://doi.org/10.4337/9781782549925.00015" TargetMode="External" /><Relationship Type="http://schemas.openxmlformats.org/officeDocument/2006/relationships/hyperlink" Id="rId171" Target="https://doi.org/10.48573/9EX9-FP54" TargetMode="External" /><Relationship Type="http://schemas.openxmlformats.org/officeDocument/2006/relationships/hyperlink" Id="rId259" Target="https://doi.org/10.48573/PCBM-2280" TargetMode="External" /><Relationship Type="http://schemas.openxmlformats.org/officeDocument/2006/relationships/hyperlink" Id="rId145" Target="https://doi.org/10.5169/seals-515017" TargetMode="External" /><Relationship Type="http://schemas.openxmlformats.org/officeDocument/2006/relationships/hyperlink" Id="rId215" Target="https://hdr.undp.org/content/human-development-report-2021-22" TargetMode="External" /><Relationship Type="http://schemas.openxmlformats.org/officeDocument/2006/relationships/hyperlink" Id="rId252" Target="https://hls-dhs-dss.ch/articles/004635/2020-04-15/" TargetMode="External" /><Relationship Type="http://schemas.openxmlformats.org/officeDocument/2006/relationships/hyperlink" Id="rId159" Target="https://hls-dhs-dss.ch/articles/017393/2022-01-24/" TargetMode="External" /><Relationship Type="http://schemas.openxmlformats.org/officeDocument/2006/relationships/hyperlink" Id="rId213" Target="https://hls-dhs-dss.ch/articles/017397/2010-12-22/" TargetMode="External" /><Relationship Type="http://schemas.openxmlformats.org/officeDocument/2006/relationships/hyperlink" Id="rId156" Target="https://oec.world/en/rankings/eci/hs6/hs96" TargetMode="External" /><Relationship Type="http://schemas.openxmlformats.org/officeDocument/2006/relationships/hyperlink" Id="rId161" Target="https://wid.world/wp-content/uploads/2021/03/WorldInequalityLab_WP2021_08_PoliticalCleavages_AustriaBelgiumNLSwitzerland.pdf" TargetMode="External" /><Relationship Type="http://schemas.openxmlformats.org/officeDocument/2006/relationships/hyperlink" Id="rId168" Target="https://www.avenir-suisse.ch/fr/7-bonnes-raisons-de-privatiser-lenergie/" TargetMode="External" /><Relationship Type="http://schemas.openxmlformats.org/officeDocument/2006/relationships/hyperlink" Id="rId250" Target="https://www.epflpress.org/produit/1421/9782889155279/politique-suisse" TargetMode="External" /><Relationship Type="http://schemas.openxmlformats.org/officeDocument/2006/relationships/hyperlink" Id="rId248" Target="https://www.jstor.org/stable/45344498" TargetMode="External" /><Relationship Type="http://schemas.openxmlformats.org/officeDocument/2006/relationships/hyperlink" Id="rId163" Target="https://www.letemps.ch/economie/gerhard-schwarz-une-suisse-neoliberale-cest-une-fake-news" TargetMode="External" /><Relationship Type="http://schemas.openxmlformats.org/officeDocument/2006/relationships/hyperlink" Id="rId221" Target="https://www.oecd-ilibrary.org/economics/oecd-economic-surveys-switzerland-1992_eco_surveys-che-1992-en" TargetMode="External" /><Relationship Type="http://schemas.openxmlformats.org/officeDocument/2006/relationships/hyperlink" Id="rId223" Target="https://www.oecd-ilibrary.org/economics/oecd-economic-surveys-switzerland-2019_7e6fd372-en" TargetMode="External" /><Relationship Type="http://schemas.openxmlformats.org/officeDocument/2006/relationships/hyperlink" Id="rId225"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89" Target="http://gen.lib.rus.ec/book/index.php?md5=672bb6ec977ceddc83c745ffc8db0022" TargetMode="External" /><Relationship Type="http://schemas.openxmlformats.org/officeDocument/2006/relationships/hyperlink" Id="rId245" Target="http://gen.lib.rus.ec/book/index.php?md5=DC2AFED8958B9AE0932FFEFEAB45546C" TargetMode="External" /><Relationship Type="http://schemas.openxmlformats.org/officeDocument/2006/relationships/hyperlink" Id="rId147" Target="http://gen.lib.rus.ec/book/index.php?md5=ee123095cfe9fb8d6bcd03d6579a0705" TargetMode="External" /><Relationship Type="http://schemas.openxmlformats.org/officeDocument/2006/relationships/hyperlink" Id="rId266" Target="https://archive-ouverte.unige.ch/unige:14538" TargetMode="External" /><Relationship Type="http://schemas.openxmlformats.org/officeDocument/2006/relationships/hyperlink" Id="rId207" Target="https://archive-ouverte.unige.ch/unige:83364" TargetMode="External" /><Relationship Type="http://schemas.openxmlformats.org/officeDocument/2006/relationships/hyperlink" Id="rId152" Target="https://doi.org/10.1002/j.1662-6370.1997.tb00198.x" TargetMode="External" /><Relationship Type="http://schemas.openxmlformats.org/officeDocument/2006/relationships/hyperlink" Id="rId234" Target="https://doi.org/10.1002/j.1662-6370.2010.tb00433.x" TargetMode="External" /><Relationship Type="http://schemas.openxmlformats.org/officeDocument/2006/relationships/hyperlink" Id="rId193" Target="https://doi.org/10.1017/CBO9780511790720" TargetMode="External" /><Relationship Type="http://schemas.openxmlformats.org/officeDocument/2006/relationships/hyperlink" Id="rId219" Target="https://doi.org/10.1017/S0143814X98000129" TargetMode="External" /><Relationship Type="http://schemas.openxmlformats.org/officeDocument/2006/relationships/hyperlink" Id="rId256" Target="https://doi.org/10.1017/S1755773913000246" TargetMode="External" /><Relationship Type="http://schemas.openxmlformats.org/officeDocument/2006/relationships/hyperlink" Id="rId227" Target="https://doi.org/10.1057/9780230504592" TargetMode="External" /><Relationship Type="http://schemas.openxmlformats.org/officeDocument/2006/relationships/hyperlink" Id="rId132" Target="https://doi.org/10.1080/09692290.2021.1913440" TargetMode="External" /><Relationship Type="http://schemas.openxmlformats.org/officeDocument/2006/relationships/hyperlink" Id="rId217" Target="https://doi.org/10.1080/10705510701575396" TargetMode="External" /><Relationship Type="http://schemas.openxmlformats.org/officeDocument/2006/relationships/hyperlink" Id="rId202" Target="https://doi.org/10.1080/1350176032000059053" TargetMode="External" /><Relationship Type="http://schemas.openxmlformats.org/officeDocument/2006/relationships/hyperlink" Id="rId174" Target="https://doi.org/10.1080/13501763.2017.1310279" TargetMode="External" /><Relationship Type="http://schemas.openxmlformats.org/officeDocument/2006/relationships/hyperlink" Id="rId142" Target="https://doi.org/10.1080/13563467.2023.2215701" TargetMode="External" /><Relationship Type="http://schemas.openxmlformats.org/officeDocument/2006/relationships/hyperlink" Id="rId231" Target="https://doi.org/10.1080/14616690701846946" TargetMode="External" /><Relationship Type="http://schemas.openxmlformats.org/officeDocument/2006/relationships/hyperlink" Id="rId127" Target="https://doi.org/10.1093/acprof:oso/9780198787815.001.0001" TargetMode="External" /><Relationship Type="http://schemas.openxmlformats.org/officeDocument/2006/relationships/hyperlink" Id="rId263" Target="https://doi.org/10.1093/pan/mpq025" TargetMode="External" /><Relationship Type="http://schemas.openxmlformats.org/officeDocument/2006/relationships/hyperlink" Id="rId165" Target="https://doi.org/10.1093/qje/qjab036" TargetMode="External" /><Relationship Type="http://schemas.openxmlformats.org/officeDocument/2006/relationships/hyperlink" Id="rId136" Target="https://doi.org/10.1093/ser/mwn018" TargetMode="External" /><Relationship Type="http://schemas.openxmlformats.org/officeDocument/2006/relationships/hyperlink" Id="rId236" Target="https://doi.org/10.1111/1475-6765.12259" TargetMode="External" /><Relationship Type="http://schemas.openxmlformats.org/officeDocument/2006/relationships/hyperlink" Id="rId268" Target="https://doi.org/10.1111/ajps.12743" TargetMode="External" /><Relationship Type="http://schemas.openxmlformats.org/officeDocument/2006/relationships/hyperlink" Id="rId191" Target="https://doi.org/10.1111/j.1475-6765.2006.00644.x" TargetMode="External" /><Relationship Type="http://schemas.openxmlformats.org/officeDocument/2006/relationships/hyperlink" Id="rId243" Target="https://doi.org/10.1111/spsr.12124" TargetMode="External" /><Relationship Type="http://schemas.openxmlformats.org/officeDocument/2006/relationships/hyperlink" Id="rId124" Target="https://doi.org/10.1177/002200947901400402" TargetMode="External" /><Relationship Type="http://schemas.openxmlformats.org/officeDocument/2006/relationships/hyperlink" Id="rId229" Target="https://doi.org/10.1177/0192512107088390" TargetMode="External" /><Relationship Type="http://schemas.openxmlformats.org/officeDocument/2006/relationships/hyperlink" Id="rId154" Target="https://doi.org/10.1177/026858091006004002" TargetMode="External" /><Relationship Type="http://schemas.openxmlformats.org/officeDocument/2006/relationships/hyperlink" Id="rId204" Target="https://doi.org/10.2202/1935-6226.1022" TargetMode="External" /><Relationship Type="http://schemas.openxmlformats.org/officeDocument/2006/relationships/hyperlink" Id="rId261" Target="https://doi.org/10.2202/1935-6226.1042" TargetMode="External" /><Relationship Type="http://schemas.openxmlformats.org/officeDocument/2006/relationships/hyperlink" Id="rId176" Target="https://doi.org/10.2307/1953494" TargetMode="External" /><Relationship Type="http://schemas.openxmlformats.org/officeDocument/2006/relationships/hyperlink" Id="rId196" Target="https://doi.org/10.2307/1954890" TargetMode="External" /><Relationship Type="http://schemas.openxmlformats.org/officeDocument/2006/relationships/hyperlink" Id="rId181" Target="https://doi.org/10.2307/1962590" TargetMode="External" /><Relationship Type="http://schemas.openxmlformats.org/officeDocument/2006/relationships/hyperlink" Id="rId178" Target="https://doi.org/10.2307/j.ctv346rbz" TargetMode="External" /><Relationship Type="http://schemas.openxmlformats.org/officeDocument/2006/relationships/hyperlink" Id="rId150" Target="https://doi.org/10.23662/FORS-DS-688-2" TargetMode="External" /><Relationship Type="http://schemas.openxmlformats.org/officeDocument/2006/relationships/hyperlink" Id="rId183" Target="https://doi.org/10.3917/infle.020.0183" TargetMode="External" /><Relationship Type="http://schemas.openxmlformats.org/officeDocument/2006/relationships/hyperlink" Id="rId254" Target="https://doi.org/10.3917/socio.103.0243" TargetMode="External" /><Relationship Type="http://schemas.openxmlformats.org/officeDocument/2006/relationships/hyperlink" Id="rId187" Target="https://doi.org/10.4000/histoirepolitique.7344" TargetMode="External" /><Relationship Type="http://schemas.openxmlformats.org/officeDocument/2006/relationships/hyperlink" Id="rId129" Target="https://doi.org/10.4000/regulation.20350" TargetMode="External" /><Relationship Type="http://schemas.openxmlformats.org/officeDocument/2006/relationships/hyperlink" Id="rId138" Target="https://doi.org/10.4337/9781782549925.00015" TargetMode="External" /><Relationship Type="http://schemas.openxmlformats.org/officeDocument/2006/relationships/hyperlink" Id="rId171" Target="https://doi.org/10.48573/9EX9-FP54" TargetMode="External" /><Relationship Type="http://schemas.openxmlformats.org/officeDocument/2006/relationships/hyperlink" Id="rId259" Target="https://doi.org/10.48573/PCBM-2280" TargetMode="External" /><Relationship Type="http://schemas.openxmlformats.org/officeDocument/2006/relationships/hyperlink" Id="rId145" Target="https://doi.org/10.5169/seals-515017" TargetMode="External" /><Relationship Type="http://schemas.openxmlformats.org/officeDocument/2006/relationships/hyperlink" Id="rId215" Target="https://hdr.undp.org/content/human-development-report-2021-22" TargetMode="External" /><Relationship Type="http://schemas.openxmlformats.org/officeDocument/2006/relationships/hyperlink" Id="rId252" Target="https://hls-dhs-dss.ch/articles/004635/2020-04-15/" TargetMode="External" /><Relationship Type="http://schemas.openxmlformats.org/officeDocument/2006/relationships/hyperlink" Id="rId159" Target="https://hls-dhs-dss.ch/articles/017393/2022-01-24/" TargetMode="External" /><Relationship Type="http://schemas.openxmlformats.org/officeDocument/2006/relationships/hyperlink" Id="rId213" Target="https://hls-dhs-dss.ch/articles/017397/2010-12-22/" TargetMode="External" /><Relationship Type="http://schemas.openxmlformats.org/officeDocument/2006/relationships/hyperlink" Id="rId156" Target="https://oec.world/en/rankings/eci/hs6/hs96" TargetMode="External" /><Relationship Type="http://schemas.openxmlformats.org/officeDocument/2006/relationships/hyperlink" Id="rId161" Target="https://wid.world/wp-content/uploads/2021/03/WorldInequalityLab_WP2021_08_PoliticalCleavages_AustriaBelgiumNLSwitzerland.pdf" TargetMode="External" /><Relationship Type="http://schemas.openxmlformats.org/officeDocument/2006/relationships/hyperlink" Id="rId168" Target="https://www.avenir-suisse.ch/fr/7-bonnes-raisons-de-privatiser-lenergie/" TargetMode="External" /><Relationship Type="http://schemas.openxmlformats.org/officeDocument/2006/relationships/hyperlink" Id="rId250" Target="https://www.epflpress.org/produit/1421/9782889155279/politique-suisse" TargetMode="External" /><Relationship Type="http://schemas.openxmlformats.org/officeDocument/2006/relationships/hyperlink" Id="rId248" Target="https://www.jstor.org/stable/45344498" TargetMode="External" /><Relationship Type="http://schemas.openxmlformats.org/officeDocument/2006/relationships/hyperlink" Id="rId163" Target="https://www.letemps.ch/economie/gerhard-schwarz-une-suisse-neoliberale-cest-une-fake-news" TargetMode="External" /><Relationship Type="http://schemas.openxmlformats.org/officeDocument/2006/relationships/hyperlink" Id="rId221" Target="https://www.oecd-ilibrary.org/economics/oecd-economic-surveys-switzerland-1992_eco_surveys-che-1992-en" TargetMode="External" /><Relationship Type="http://schemas.openxmlformats.org/officeDocument/2006/relationships/hyperlink" Id="rId223" Target="https://www.oecd-ilibrary.org/economics/oecd-economic-surveys-switzerland-2019_7e6fd372-en" TargetMode="External" /><Relationship Type="http://schemas.openxmlformats.org/officeDocument/2006/relationships/hyperlink" Id="rId225"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2024-01-03T23:54:35Z</dcterms:created>
  <dcterms:modified xsi:type="dcterms:W3CDTF">2024-01-03T23:54:35Z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