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18.png" ContentType="image/png"/>
  <Override PartName="/word/media/rId114.png" ContentType="image/png"/>
  <Override PartName="/word/media/rId127.png" ContentType="image/png"/>
  <Override PartName="/word/media/rId106.png" ContentType="image/png"/>
  <Override PartName="/word/media/rId102.png" ContentType="image/png"/>
  <Override PartName="/word/media/rId98.png" ContentType="image/png"/>
  <Override PartName="/word/media/rId78.png" ContentType="image/png"/>
  <Override PartName="/word/media/rId26.png" ContentType="image/png"/>
  <Override PartName="/word/media/rId30.png" ContentType="image/png"/>
  <Override PartName="/word/media/rId60.png" ContentType="image/png"/>
  <Override PartName="/word/media/rId52.png" ContentType="image/png"/>
  <Override PartName="/word/media/rId56.png" ContentType="image/png"/>
  <Override PartName="/word/media/rId43.png" ContentType="image/png"/>
  <Override PartName="/word/media/rId47.png" ContentType="image/png"/>
  <Override PartName="/word/media/rId89.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(Amable and Palombarini 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consensus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consensus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consensus democracy is slightly becoming an average consensual democracy, due to growing political polarization (associated with the rise of the Swiss People’s Party),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p>
      <w:pPr>
        <w:pStyle w:val="SourceCode"/>
      </w:pPr>
      <w:r>
        <w:rPr>
          <w:rStyle w:val="VerbatimChar"/>
        </w:rPr>
        <w:t xml:space="preserve">                          n    % val%</w:t>
      </w:r>
      <w:r>
        <w:br/>
      </w:r>
      <w:r>
        <w:rPr>
          <w:rStyle w:val="VerbatimChar"/>
        </w:rPr>
        <w:t xml:space="preserve">[1] Suisse alémanique 71501 65.5 66.1</w:t>
      </w:r>
      <w:r>
        <w:br/>
      </w:r>
      <w:r>
        <w:rPr>
          <w:rStyle w:val="VerbatimChar"/>
        </w:rPr>
        <w:t xml:space="preserve">[2] Suisse romande    26784 24.5 24.8</w:t>
      </w:r>
      <w:r>
        <w:br/>
      </w:r>
      <w:r>
        <w:rPr>
          <w:rStyle w:val="VerbatimChar"/>
        </w:rPr>
        <w:t xml:space="preserve">[3] Suisse italienne   9812  9.0  9.1</w:t>
      </w:r>
      <w:r>
        <w:br/>
      </w:r>
      <w:r>
        <w:rPr>
          <w:rStyle w:val="VerbatimChar"/>
        </w:rPr>
        <w:t xml:space="preserve">[9] nr                    0  0.0  0.0</w:t>
      </w:r>
      <w:r>
        <w:br/>
      </w:r>
      <w:r>
        <w:rPr>
          <w:rStyle w:val="VerbatimChar"/>
        </w:rPr>
        <w:t xml:space="preserve">NA                     1123  1.0   NA</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that researchers tend to focus more on post-election survey data. Last, this research is the first to conduct LCA using Swiss post-election survey data.</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bookmarkEnd w:id="34"/>
    <w:bookmarkEnd w:id="35"/>
    <w:bookmarkEnd w:id="36"/>
    <w:bookmarkStart w:id="96" w:name="X585b66a425bd895c50fee5cf4fd54c3b113ccf8"/>
    <w:p>
      <w:pPr>
        <w:pStyle w:val="Heading1"/>
      </w:pPr>
      <w:r>
        <w:t xml:space="preserve">2. Social blocs, socio-economic groups and political divides in Switzerland</w:t>
      </w:r>
    </w:p>
    <w:bookmarkStart w:id="41"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in the first half of the 19th century. It is during these crucial decades that Switzerland underwent important institutional changes that laid the foundation of its federalist system which still persists today. The Old Swiss Confederacy (1351-1798), was a loose and strongly decentralized confederation between small states which wanted to protect their independence vis-à-vis the Habsburg empire. The only centralized institution of the Confederation was the federal diet, which were assemblies of deputies from the cantons. After the Napoleonic invasion of 1798, the Swiss state underwent a first and important process of centralization, with the fall of the Old Swiss Confederation and the establishment of the Helvetic Republic, a strong unitary and centralized state inspired by the French system and imposed by Napoleon. The unpopularity of the Helvetic Republic’s institutions led to the Mediation Act (1803-1815) and the Restauration (1815-1830) which marked a return to traditional structures. The Regeneration period (1830-1847) saw the growing political power of liberal forces constituted by large industrialists, craftsmen, self-employed farmers and professionals which took power in a majority of cantons. This period was characterized by a growing polarization between liberal and progressive groups in proto-industrialized and protestant cantons and those attached to the traditional models of the Catholic-conservative cantons</w:t>
      </w:r>
      <w:r>
        <w:t xml:space="preserve"> </w:t>
      </w:r>
      <w:r>
        <w:t xml:space="preserve">(Sciarini 2023, 21–25)</w:t>
      </w:r>
      <w:r>
        <w:t xml:space="preserve">.</w:t>
      </w:r>
    </w:p>
    <w:p>
      <w:pPr>
        <w:pStyle w:val="BodyText"/>
      </w:pPr>
      <w:r>
        <w:t xml:space="preserve">This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 27–28)</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 The Radical movement of the canton of Vaud, founded and led by Henri Druey (1799-1855), was more influenced by the liberal philosophy of Hegel. The main legacy of Hegel’s thought on the radical movement was the need to create a centralized and unitary state, considered in Hegelian philosophy as the means by which liberty and the dialectical movement that drives history are realized</w:t>
      </w:r>
      <w:r>
        <w:t xml:space="preserve"> </w:t>
      </w:r>
      <w:r>
        <w:t xml:space="preserve">(Meuwly 1992)</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w:t>
      </w:r>
      <w:r>
        <w:rPr>
          <w:rStyle w:val="FootnoteReference"/>
        </w:rPr>
        <w:footnoteReference w:id="39"/>
      </w:r>
      <w:r>
        <w:t xml:space="preserve"> </w:t>
      </w:r>
      <w:r>
        <w:t xml:space="preserve">(1819-1882)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ideas than by Marxism. Steck explicitly rejected the notion of class struggle and Marx’s theory of value. Marxism made nonetheless its way into the Swiss Socialist Party in the early 1900s, as seen by the second program of 1904 written by Otto Lange (1863-1936), who rewrote the program along more orthodox Marxist lines. This second program marked a relative decline of the anarchists and cooperative ideas and the advent of Marxism in the Swiss Socialist Party, until the latter definitively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Swiss Union of Commerce and Industry, also called</w:t>
      </w:r>
      <w:r>
        <w:t xml:space="preserve"> </w:t>
      </w:r>
      <w:r>
        <w:rPr>
          <w:iCs/>
          <w:i/>
        </w:rPr>
        <w:t xml:space="preserve">Vorort</w:t>
      </w:r>
      <w:r>
        <w:t xml:space="preserve"> </w:t>
      </w:r>
      <w:r>
        <w:t xml:space="preserve">(1870),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in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this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Radical-Democratic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Radical-Democratic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 These contradicting demands between the export-oriented and sheltered domestic-oriented sectors are one of the main factor behind the destabilization of the DSB in the 90s.</w:t>
      </w:r>
    </w:p>
    <w:bookmarkStart w:id="40"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40"/>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p>
      <w:pPr>
        <w:pStyle w:val="BodyText"/>
      </w:pPr>
      <w:r>
        <w:t xml:space="preserve">We have heretofore identified and described the traditional Swiss social blocs. Before moving on to an in-depth analysis of the recomposition of these social blocs during the crisis of the 90s, it is necessary to take a long-run perspective on the evolution of these blocs in the last decades.</w:t>
      </w:r>
    </w:p>
    <w:bookmarkEnd w:id="41"/>
    <w:bookmarkStart w:id="66"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in the last decades.</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of Swiss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in fact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(Inglehart 1971, 1990;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political cleavages.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economic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2"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2"/>
    <w:p>
      <w:pPr>
        <w:pStyle w:val="FirstParagraph"/>
      </w:pPr>
      <w:r>
        <w:t xml:space="preserve">The transformation of party systems into a mutli-elite and tripolar political space came with important change in the structural basis of party support. Before that, some scholarly debates emphasized the decline of class voting, measured through the Alford index, and the reconsideration of social class as a useful concept</w:t>
      </w:r>
      <w:r>
        <w:t xml:space="preserve"> </w:t>
      </w:r>
      <w:r>
        <w:t xml:space="preserve">(Clark and Lipset 1991)</w:t>
      </w:r>
      <w:r>
        <w:t xml:space="preserve">. However, the rise of the radical right during the 90s and the proletarianization of its electoral basis weakened the end of class voting argument and scholars soon became interested in explaining why workers became part of the radical right’s social basis.</w:t>
      </w:r>
      <w:r>
        <w:t xml:space="preserve"> </w:t>
      </w:r>
      <w:r>
        <w:t xml:space="preserve">Oesch (2008a)</w:t>
      </w:r>
      <w:r>
        <w:t xml:space="preserve"> </w:t>
      </w:r>
      <w:r>
        <w:t xml:space="preserve">argued that economic motivations play a lesser role than cultural determinant in explaining the success of the radical right: the latter’s supporters being more likely to feel threatened by immigrant’s impact on their country’s culture rather than on their standard-of-living. Against the decline of class voting argument,</w:t>
      </w:r>
      <w:r>
        <w:t xml:space="preserve"> </w:t>
      </w:r>
      <w:r>
        <w:t xml:space="preserve">Oesch (2008b)</w:t>
      </w:r>
      <w:r>
        <w:t xml:space="preserve"> </w:t>
      </w:r>
      <w:r>
        <w:t xml:space="preserve">suggested that position on a new class structure, measured by his own class schema</w:t>
      </w:r>
      <w:r>
        <w:t xml:space="preserve"> </w:t>
      </w:r>
      <w:r>
        <w:t xml:space="preserve">(Oesch 2006)</w:t>
      </w:r>
      <w:r>
        <w:t xml:space="preserve">, influence individual’s preferences on both the cultural and economic cleavages and thus class voting, defined as systematic links between social class and party support.</w:t>
      </w:r>
    </w:p>
    <w:p>
      <w:pPr>
        <w:pStyle w:val="BodyText"/>
      </w:pPr>
      <w:r>
        <w:t xml:space="preserve">Empirically,</w:t>
      </w:r>
      <w:r>
        <w:t xml:space="preserve"> </w:t>
      </w:r>
      <w:r>
        <w:t xml:space="preserve">Oesch (2008b)</w:t>
      </w:r>
      <w:r>
        <w:t xml:space="preserve"> </w:t>
      </w:r>
      <w:r>
        <w:t xml:space="preserve">observed that, in the late 90s, the Swiss far right draw strong support from production and service workers and from small business owners while the center-right gathered support from large employers, small business owners and managers; and the left’s only above-average support was constituted by socio-cultural specialists. Trying to find the causality behind these new class voting patterns,</w:t>
      </w:r>
      <w:r>
        <w:t xml:space="preserve"> </w:t>
      </w:r>
      <w:r>
        <w:t xml:space="preserve">Oesch (2008b)</w:t>
      </w:r>
      <w:r>
        <w:t xml:space="preserve"> </w:t>
      </w:r>
      <w:r>
        <w:t xml:space="preserve">and</w:t>
      </w:r>
      <w:r>
        <w:t xml:space="preserve"> </w:t>
      </w:r>
      <w:r>
        <w:t xml:space="preserve">Oesch and Rennwald (2010)</w:t>
      </w:r>
      <w:r>
        <w:t xml:space="preserve"> </w:t>
      </w:r>
      <w:r>
        <w:t xml:space="preserve">took and developed</w:t>
      </w:r>
      <w:r>
        <w:t xml:space="preserve"> </w:t>
      </w:r>
      <w:r>
        <w:t xml:space="preserve">Kitschelt (1994)</w:t>
      </w:r>
      <w:r>
        <w:t xml:space="preserve">‘</w:t>
      </w:r>
      <w:r>
        <w:t xml:space="preserve">s argument. In the Oesch class schema, class locations are divided vertically and horizontally: different class economic interests come from hierarchical employment relationships while class differences in cultural attitudes are the results of occupations</w:t>
      </w:r>
      <w:r>
        <w:t xml:space="preserve">’</w:t>
      </w:r>
      <w:r>
        <w:t xml:space="preserve"> </w:t>
      </w:r>
      <w:r>
        <w:t xml:space="preserve">“</w:t>
      </w:r>
      <w:r>
        <w:t xml:space="preserve">work-logics</w:t>
      </w:r>
      <w:r>
        <w:t xml:space="preserve">”</w:t>
      </w:r>
      <w:r>
        <w:t xml:space="preserve">. Thus, people employed in</w:t>
      </w:r>
      <w:r>
        <w:t xml:space="preserve"> </w:t>
      </w:r>
      <w:r>
        <w:t xml:space="preserve">“</w:t>
      </w:r>
      <w:r>
        <w:t xml:space="preserve">technical</w:t>
      </w:r>
      <w:r>
        <w:t xml:space="preserve">”</w:t>
      </w:r>
      <w:r>
        <w:t xml:space="preserve"> </w:t>
      </w:r>
      <w:r>
        <w:t xml:space="preserve">work-logic professions such as production workers (carpenters, asssemblers, mechanics…) are more likely to hold conservative values whereas service workers (nurses, waiters…) and socio-cultural specialists (teachers, journalists, social workers…) employed in interpersonal work-logic occupations are more likely to hold progressive-libertarian attitudes since they experience more social interactions and their occupation requires tolerance for cultural diversity</w:t>
      </w:r>
      <w:r>
        <w:t xml:space="preserve"> </w:t>
      </w:r>
      <w:r>
        <w:t xml:space="preserve">(Oesch 2006; Oesch and Rennwald 2010)</w:t>
      </w:r>
      <w:r>
        <w:t xml:space="preserve">.</w:t>
      </w:r>
    </w:p>
    <w:p>
      <w:pPr>
        <w:pStyle w:val="BodyText"/>
      </w:pPr>
      <w:r>
        <w:t xml:space="preserve">This kind of argument relating progressive and conservative attitudes to different</w:t>
      </w:r>
      <w:r>
        <w:t xml:space="preserve"> </w:t>
      </w:r>
      <w:r>
        <w:t xml:space="preserve">“</w:t>
      </w:r>
      <w:r>
        <w:t xml:space="preserve">work-logics</w:t>
      </w:r>
      <w:r>
        <w:t xml:space="preserve">”</w:t>
      </w:r>
      <w:r>
        <w:t xml:space="preserve">, explaining thus why, for instance, the working class supports the far-right despite their economic interests, is however overly deterministic and remains a purely theoretical argument with no empirical evidence. Another explanation deserving more attention and research relates to changes in the hierarchy of preferences: despite the fact that working classes are surely on average less racists than before, their support for the far-right could have increased because of a change in the hierarchy of their social expectations, placing demands of stricter immigration policies above their demands for left-wing economic policies due to a strong neoliberal hegemony excluding any type of left-wing economic reforms as legitimate, thus leaving workers’ conservative demands as the only acceptable ones in the eyes of the dominant ideology</w:t>
      </w:r>
      <w:r>
        <w:t xml:space="preserve"> </w:t>
      </w:r>
      <w:r>
        <w:t xml:space="preserve">(Amable and Palombarini 2022, 108–9)</w:t>
      </w:r>
      <w:r>
        <w:t xml:space="preserve">.</w:t>
      </w:r>
    </w:p>
    <w:p>
      <w:pPr>
        <w:pStyle w:val="BodyText"/>
      </w:pPr>
      <w:r>
        <w:t xml:space="preserve">Whereas</w:t>
      </w:r>
      <w:r>
        <w:t xml:space="preserve"> </w:t>
      </w:r>
      <w:r>
        <w:t xml:space="preserve">Oesch (2008b)</w:t>
      </w:r>
      <w:r>
        <w:t xml:space="preserve"> </w:t>
      </w:r>
      <w:r>
        <w:t xml:space="preserve">and</w:t>
      </w:r>
      <w:r>
        <w:t xml:space="preserve"> </w:t>
      </w:r>
      <w:r>
        <w:t xml:space="preserve">Oesch and Rennwald (2010)</w:t>
      </w:r>
      <w:r>
        <w:t xml:space="preserve"> </w:t>
      </w:r>
      <w:r>
        <w:t xml:space="preserve">conducted cross-country analyses of panel and post-election survey data with a rather limited time frame, in more recent contributions,</w:t>
      </w:r>
      <w:r>
        <w:t xml:space="preserve"> </w:t>
      </w:r>
      <w:r>
        <w:t xml:space="preserve">Oesch and Rennwald (2018)</w:t>
      </w:r>
      <w:r>
        <w:t xml:space="preserve"> </w:t>
      </w:r>
      <w:r>
        <w:t xml:space="preserve">explore the structural determinants of the transformation of political space from a two-dimensional to a three-dimensional configuration since the rise of radical right parties in Western countries using seven rounds of the European Social Survey data (from 2002 to 2014). This study claims to find evidence that the left is strongly supported by socio-cultural professionals who are culturally libertarian and economically on the left whereas the center-right is supported by large employers and managers who are on the right economically but culturally progressive. The whole argument is that the exogenous rise of the radical right made the working class and small-business owners</w:t>
      </w:r>
      <w:r>
        <w:t xml:space="preserve"> </w:t>
      </w:r>
      <w:r>
        <w:t xml:space="preserve">“</w:t>
      </w:r>
      <w:r>
        <w:t xml:space="preserve">contested strongholds</w:t>
      </w:r>
      <w:r>
        <w:t xml:space="preserve">”</w:t>
      </w:r>
      <w:r>
        <w:t xml:space="preserve"> </w:t>
      </w:r>
      <w:r>
        <w:t xml:space="preserve">and thus caused the political space to become tripolar: the far-right, thanks to its culturally conservative stances, can compete with the left for working class support and with the center-right for small-business owners’ support.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Before this shift took place, the traditional Swiss left bloc aggregated by the Swiss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 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2014,</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5"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harmonizes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6" w:name="fig-educ"/>
          <w:p>
            <w:pPr>
              <w:jc w:val="center"/>
            </w:pPr>
            <w:r>
              <w:drawing>
                <wp:inline>
                  <wp:extent cx="4620126" cy="3696101"/>
                  <wp:effectExtent b="0" l="0" r="0" t="0"/>
                  <wp:docPr descr="" title="" id="44" name="Picture"/>
                  <a:graphic>
                    <a:graphicData uri="http://schemas.openxmlformats.org/drawingml/2006/picture">
                      <pic:pic>
                        <pic:nvPicPr>
                          <pic:cNvPr descr="part1_files/figure-docx/fig-edu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6"/>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remains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50" w:name="fig-inc"/>
          <w:p>
            <w:pPr>
              <w:jc w:val="center"/>
            </w:pPr>
            <w:r>
              <w:drawing>
                <wp:inline>
                  <wp:extent cx="4620126" cy="3696101"/>
                  <wp:effectExtent b="0" l="0" r="0" t="0"/>
                  <wp:docPr descr="" title="" id="48" name="Picture"/>
                  <a:graphic>
                    <a:graphicData uri="http://schemas.openxmlformats.org/drawingml/2006/picture">
                      <pic:pic>
                        <pic:nvPicPr>
                          <pic:cNvPr descr="part1_files/figure-docx/fig-inc-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50"/>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1" w:name="eq-1"/>
      <m:oMathPara>
        <m:oMathParaPr>
          <m:jc m:val="center"/>
        </m:oMathParaPr>
        <m:oMath>
          <m:r>
            <m:t>P</m:t>
          </m:r>
          <m:d>
            <m:dPr>
              <m:begChr m:val="("/>
              <m:endChr m:val=")"/>
              <m:sepChr m:val=""/>
              <m:grow/>
            </m:dPr>
            <m:e>
              <m:sSub>
                <m:e>
                  <m:r>
                    <m:t>y</m:t>
                  </m:r>
                </m:e>
                <m:sub>
                  <m:r>
                    <m:t>i</m:t>
                  </m:r>
                  <m:r>
                    <m:t>t</m:t>
                  </m:r>
                </m:sub>
              </m:sSub>
              <m:r>
                <m:rPr>
                  <m:sty m:val="p"/>
                </m:rPr>
                <m:t>=</m:t>
              </m:r>
              <m:r>
                <m:t>1</m:t>
              </m:r>
            </m:e>
          </m:d>
          <m:r>
            <m:rPr>
              <m:sty m:val="p"/>
            </m:rPr>
            <m:t>=</m:t>
          </m:r>
          <m:r>
            <m:t>l</m:t>
          </m:r>
          <m:r>
            <m:t>o</m:t>
          </m:r>
          <m:r>
            <m:t>g</m:t>
          </m:r>
          <m:r>
            <m:t>i</m:t>
          </m:r>
          <m:sSup>
            <m:e>
              <m:r>
                <m:t>t</m:t>
              </m:r>
            </m:e>
            <m:sup>
              <m:r>
                <m:rPr>
                  <m:sty m:val="p"/>
                </m:rPr>
                <m:t>−</m:t>
              </m:r>
              <m:r>
                <m:t>1</m:t>
              </m:r>
            </m:sup>
          </m:sSup>
          <m:d>
            <m:dPr>
              <m:begChr m:val="("/>
              <m:endChr m:val=")"/>
              <m:sepChr m:val=""/>
              <m:grow/>
            </m:dPr>
            <m:e>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e>
          </m:d>
          <m:r>
            <m:t>  </m:t>
          </m:r>
          <m:d>
            <m:dPr>
              <m:begChr m:val="("/>
              <m:endChr m:val=")"/>
              <m:sepChr m:val=""/>
              <m:grow/>
            </m:dPr>
            <m:e>
              <m:r>
                <m:t>2.1</m:t>
              </m:r>
            </m:e>
          </m:d>
        </m:oMath>
      </m:oMathPara>
      <w:bookmarkEnd w:id="51"/>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(except for party support, for which general descriptive statistics were computed). The results for party support (</w:t>
      </w:r>
      <w:hyperlink w:anchor="fig-plotdescrparties">
        <w:r>
          <w:rPr>
            <w:rStyle w:val="Hyperlink"/>
          </w:rPr>
          <w:t xml:space="preserve">Figure 4.1</w:t>
        </w:r>
      </w:hyperlink>
      <w:r>
        <w:t xml:space="preserve">)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Out of all government parties, only the UDC has seen its share rise while the support for all other government parties tend to decline.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5" w:name="fig-ameparties"/>
          <w:p>
            <w:pPr>
              <w:jc w:val="center"/>
            </w:pPr>
            <w:r>
              <w:drawing>
                <wp:inline>
                  <wp:extent cx="4620126" cy="5544151"/>
                  <wp:effectExtent b="0" l="0" r="0" t="0"/>
                  <wp:docPr descr="" title="" id="53" name="Picture"/>
                  <a:graphic>
                    <a:graphicData uri="http://schemas.openxmlformats.org/drawingml/2006/picture">
                      <pic:pic>
                        <pic:nvPicPr>
                          <pic:cNvPr descr="part1_files/figure-docx/fig-ameparties-1.png" id="54" name="Picture"/>
                          <pic:cNvPicPr>
                            <a:picLocks noChangeArrowheads="1" noChangeAspect="1"/>
                          </pic:cNvPicPr>
                        </pic:nvPicPr>
                        <pic:blipFill>
                          <a:blip r:embed="rId5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5"/>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 Furthermore, it not clear whether the relationship between education and support for the Swiss Socialist party was negative in the first half of the 80s, since the difference in average predicted probabilities is not significant for this time-period. Other regressions models that were considered by the author, mainly multilevel models using years and cantons as levels, rather show that this relationship for all the time frame of the dataset, suggesting that the Swiss Socialist party was already a brahmin left party since the beginning of the 80s (see</w:t>
      </w:r>
      <w:r>
        <w:t xml:space="preserve"> </w:t>
      </w:r>
      <w:hyperlink w:anchor="fig-glmerameparties">
        <w:r>
          <w:rPr>
            <w:rStyle w:val="Hyperlink"/>
          </w:rPr>
          <w:t xml:space="preserve">Figure 4.4</w:t>
        </w:r>
      </w:hyperlink>
      <w:r>
        <w:t xml:space="preserve"> </w:t>
      </w:r>
      <w:r>
        <w:t xml:space="preserve">in the appendix).</w:t>
      </w:r>
    </w:p>
    <w:p>
      <w:pPr>
        <w:pStyle w:val="BodyText"/>
      </w:pPr>
      <w:r>
        <w:t xml:space="preserve">Second, the Liberal-Radical party (Radical-Democratic and Swiss Liberal Party before the latter merged in 2008) (PRD-PLR) shows a clear bourgeois basis for almost all time periods. The PRD-PLR party is thus indeed the party of the wealthiest and most educated groups and is the only party that shows this pattern. However, the PRD-PLR seems to gradually become a merchant right party in the last time periods. In</w:t>
      </w:r>
      <w:r>
        <w:t xml:space="preserve"> </w:t>
      </w:r>
      <w:r>
        <w:t xml:space="preserve">Durrer de la Sota, Gethin, and Martinez-Toledano (2021)</w:t>
      </w:r>
      <w:r>
        <w:t xml:space="preserve">, the Greens supporters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9" w:name="fig-amepolleaning"/>
          <w:p>
            <w:pPr>
              <w:jc w:val="center"/>
            </w:pPr>
            <w:r>
              <w:drawing>
                <wp:inline>
                  <wp:extent cx="4620126" cy="3696101"/>
                  <wp:effectExtent b="0" l="0" r="0" t="0"/>
                  <wp:docPr descr="" title="" id="57" name="Picture"/>
                  <a:graphic>
                    <a:graphicData uri="http://schemas.openxmlformats.org/drawingml/2006/picture">
                      <pic:pic>
                        <pic:nvPicPr>
                          <pic:cNvPr descr="part1_files/figure-docx/fig-amepolleanin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9"/>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3" w:name="fig-ameIP"/>
          <w:p>
            <w:pPr>
              <w:jc w:val="center"/>
            </w:pPr>
            <w:r>
              <w:drawing>
                <wp:inline>
                  <wp:extent cx="4620126" cy="3696101"/>
                  <wp:effectExtent b="0" l="0" r="0" t="0"/>
                  <wp:docPr descr="" title="" id="61" name="Picture"/>
                  <a:graphic>
                    <a:graphicData uri="http://schemas.openxmlformats.org/drawingml/2006/picture">
                      <pic:pic>
                        <pic:nvPicPr>
                          <pic:cNvPr descr="part1_files/figure-docx/fig-ame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3"/>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4"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4"/>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5"/>
    <w:bookmarkEnd w:id="66"/>
    <w:bookmarkStart w:id="95"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9"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7"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7"/>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(Jeroen K. 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8"/>
      </w:r>
      <w:r>
        <w:t xml:space="preserve">.</w:t>
      </w:r>
    </w:p>
    <w:bookmarkEnd w:id="69"/>
    <w:bookmarkStart w:id="94"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bookmarkStart w:id="75" w:name="the-swiss-social-blocs-during-the-90s"/>
    <w:p>
      <w:pPr>
        <w:pStyle w:val="Heading4"/>
      </w:pPr>
      <w:r>
        <w:t xml:space="preserve">2.3.2.1 The Swiss social blocs during the 90s</w:t>
      </w:r>
    </w:p>
    <w:p>
      <w:pPr>
        <w:pStyle w:val="FirstParagraph"/>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In 1948, the establishment of the Administration of Old Age and Survivors’ Insurance (AHV), financed on a pas-as-you-go basis, marked the beginning of a slow but historical expansion of the welfare state which accelerated and took its final form in the 80s. It is during this period that the Swiss pension system, the so-called</w:t>
      </w:r>
      <w:r>
        <w:t xml:space="preserve"> </w:t>
      </w:r>
      <w:r>
        <w:t xml:space="preserve">“</w:t>
      </w:r>
      <w:r>
        <w:t xml:space="preserve">three-pillar</w:t>
      </w:r>
      <w:r>
        <w:t xml:space="preserve">”</w:t>
      </w:r>
      <w:r>
        <w:t xml:space="preserve"> </w:t>
      </w:r>
      <w:r>
        <w:t xml:space="preserve">system, and of which the AHV is the first pillar, came into being. In 1960, the first pillar was reinforced by a disability insurance (DI).</w:t>
      </w:r>
    </w:p>
    <w:p>
      <w:pPr>
        <w:pStyle w:val="BodyText"/>
      </w:pPr>
      <w:r>
        <w:t xml:space="preserve">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But this asymmetrical compromise is also the consequence of an increasingly moderate Socialist Party, outflanked on its left by more economically ambitious parties such as the Swiss Party of Labour. The 1972 referendum on the popular initiative</w:t>
      </w:r>
      <w:r>
        <w:t xml:space="preserve"> </w:t>
      </w:r>
      <w:r>
        <w:rPr>
          <w:iCs/>
          <w:i/>
        </w:rPr>
        <w:t xml:space="preserve">For a Real People’s Pensions</w:t>
      </w:r>
      <w:r>
        <w:t xml:space="preserve"> </w:t>
      </w:r>
      <w:r>
        <w:t xml:space="preserve">is in that respect very illustrative. This referendum, launched by the Swiss Party of Labour, was an ambitious program aimed at largely expanding the AHV and DI, making the latter a sole and encompassing pillar of the Swiss pensions system. This referendum was opposed by all the government parties, including the Socialists. The initiative was largely refused by the Swiss citizen (78,6% of negative votes, with a participation rate of 52,93%) who then accepted the counter-initiative devised by the Socialist Federal Councillor Hans-Peter Tschudi which enshrined the three-pillar system in the constitution. This counter-initiative was however only implemented thirteen years later (in 1985) with the extension of the second pillar, the Mandatory Old-Age Occupational Provision. In the meantime, several revisions of the AHV increased the latter’s benefits and a mandatory unemployment insurance was introduced in 1976, under the pressure of the Oil Crisis</w:t>
      </w:r>
      <w:r>
        <w:rPr>
          <w:rStyle w:val="FootnoteReference"/>
        </w:rPr>
        <w:footnoteReference w:id="70"/>
      </w:r>
      <w:r>
        <w:t xml:space="preserve">.</w:t>
      </w:r>
    </w:p>
    <w:p>
      <w:pPr>
        <w:pStyle w:val="FirstParagraph"/>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4" w:name="fig-partystrength"/>
          <w:p>
            <w:pPr>
              <w:jc w:val="center"/>
            </w:pPr>
            <w:r>
              <w:drawing>
                <wp:inline>
                  <wp:extent cx="4620126" cy="3696101"/>
                  <wp:effectExtent b="0" l="0" r="0" t="0"/>
                  <wp:docPr descr="" title="" id="72" name="Picture"/>
                  <a:graphic>
                    <a:graphicData uri="http://schemas.openxmlformats.org/drawingml/2006/picture">
                      <pic:pic>
                        <pic:nvPicPr>
                          <pic:cNvPr descr="part1_files/figure-docx/fig-partystrength-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4"/>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w:t>
      </w:r>
      <w:r>
        <w:t xml:space="preserve">“</w:t>
      </w:r>
      <w:r>
        <w:t xml:space="preserve">The Center</w:t>
      </w:r>
      <w:r>
        <w:t xml:space="preserve">”</w:t>
      </w:r>
      <w:r>
        <w:t xml:space="preserve">)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Analyzing post-electoral survey data for 1999 can thus offer an insightful perspective on the social bases underpinning the political and institutional transformations which happened during and after the 90s. Furthermore, the year 1999 was a turning-point in Swiss politics. For the first time in Swiss history, the Swiss People’s party became the first party in terms of vote shares (22,6%), to the detriment of the PRD which fell to the third place, something which never happened since the creation of the Federal state in 1848.</w:t>
      </w:r>
    </w:p>
    <w:p>
      <w:pPr>
        <w:pStyle w:val="BodyText"/>
      </w:pPr>
      <w:r>
        <w:t xml:space="preserve">The Swiss People’s Party (UDC) was historically the country’s fourth largest party. Its origins dates back to the emergence of various Agrarian parties after the first World War, with the largest ones being founded in Bern in 1918 and Zurich in 1917. Rudolf Minger, the leader of the Bernese Agrarian party, was entered the Federal Council in 1929, and a national Agrarian party was eventually founded later in 1937. The purpose of the Agrarian party was the representation and defense of farmers and artisans’ interests</w:t>
      </w:r>
      <w:r>
        <w:t xml:space="preserve"> </w:t>
      </w:r>
      <w:r>
        <w:t xml:space="preserve">(Skenderovic 2017)</w:t>
      </w:r>
      <w:r>
        <w:t xml:space="preserve">.</w:t>
      </w:r>
    </w:p>
    <w:p>
      <w:pPr>
        <w:pStyle w:val="BodyText"/>
      </w:pPr>
      <w:r>
        <w:t xml:space="preserve">However, the decline of the primary sector during the post-war period implied a reduction of the electoral base of the Agrarian party, and the latter saw its shares gradually decline starting from the 1951 election. The Agrarian party was not resigned to the challenge posed by structural change, and attempted a</w:t>
      </w:r>
      <w:r>
        <w:t xml:space="preserve"> </w:t>
      </w:r>
      <w:r>
        <w:t xml:space="preserve">“</w:t>
      </w:r>
      <w:r>
        <w:t xml:space="preserve">opening up to the center</w:t>
      </w:r>
      <w:r>
        <w:t xml:space="preserve">”</w:t>
      </w:r>
      <w:r>
        <w:t xml:space="preserve"> </w:t>
      </w:r>
      <w:r>
        <w:t xml:space="preserve">strategy aimed at attracting parts of the emerging middle classes. In 1971, a merger with two democratic parties from the canton of Glaris and Grison led to the foundation of the Swiss People’s Party of Switzerland (UDC), the party that we know nowadays. Seven years later, this party centered its program around new themes such as human rights, ecology and consumer protection. This strategy was a failure, as seen by the ongoing stagnation in terms of vote shares during the 70s and 80s. It was during the 90s that the party finally adopted a successful strategy, centered around a anti-immigration and anti-European integration program. In that matter, the rejection by the Swiss citizen of the adhesion to the European Economic Area in 1992 certainly marked the beginning of the fortunes of the UDC, as the latter benefited greatly from its opposition to European integration</w:t>
      </w:r>
      <w:r>
        <w:t xml:space="preserve"> </w:t>
      </w:r>
      <w:r>
        <w:t xml:space="preserve">(Skenderovic 2017)</w:t>
      </w:r>
      <w:r>
        <w:t xml:space="preserve">. Alongside the UDC, the Socialist Party also was relatively successful during the 90s. Despite a long-run tendency of falling vote shares during federal elections, the PS saw its vote shares increase from 1991 to 2003.</w:t>
      </w:r>
    </w:p>
    <w:p>
      <w:pPr>
        <w:pStyle w:val="BodyText"/>
      </w:pPr>
      <w:r>
        <w:t xml:space="preserve">In fact, both the Liberal-Conservative and Left blocs were based on internal compromises between their socio-political groups which shattered under the pressure of structural and external pressures. 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bookmarkEnd w:id="75"/>
    <w:bookmarkStart w:id="77" w:name="choice-of-the-active-indicator-variables"/>
    <w:p>
      <w:pPr>
        <w:pStyle w:val="Heading4"/>
      </w:pPr>
      <w:r>
        <w:t xml:space="preserve">2.3.2.2 Choice of the active indicator variables</w:t>
      </w:r>
    </w:p>
    <w:p>
      <w:pPr>
        <w:pStyle w:val="FirstParagraph"/>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 Overall, 66,7% of the sample supported an increase in taxes on high income while 39,4% supported an increase in social spending by the federal state (with 31,8% in favor of cutting expenditures, see</w:t>
      </w:r>
      <w:r>
        <w:t xml:space="preserve"> </w:t>
      </w:r>
      <w:hyperlink w:anchor="fig-lcaindicators">
        <w:r>
          <w:rPr>
            <w:rStyle w:val="Hyperlink"/>
          </w:rPr>
          <w:t xml:space="preserve">Figure 4.7</w:t>
        </w:r>
      </w:hyperlink>
      <w:r>
        <w:t xml:space="preserve"> </w:t>
      </w:r>
      <w:r>
        <w:t xml:space="preserve">to see descriptive statistics of all the indicator variables).</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6"/>
      </w:r>
      <w:r>
        <w:t xml:space="preserve">. Descriptive statistics suggest that the share of no army supporters remained rather stable since the ballot, with 35% of the sample being in favor of a Switzerland without an army (with 45% being in favor of a strong army, see</w:t>
      </w:r>
      <w:r>
        <w:t xml:space="preserve"> </w:t>
      </w:r>
      <w:hyperlink w:anchor="fig-lcaindicators">
        <w:r>
          <w:rPr>
            <w:rStyle w:val="Hyperlink"/>
          </w:rPr>
          <w:t xml:space="preserve">Figure 4.7</w:t>
        </w:r>
      </w:hyperlink>
      <w:r>
        <w:t xml:space="preserve"> </w:t>
      </w:r>
      <w:r>
        <w:t xml:space="preserve">in the appendix).</w:t>
      </w:r>
    </w:p>
    <w:p>
      <w:pPr>
        <w:pStyle w:val="BodyText"/>
      </w:pPr>
      <w:r>
        <w:t xml:space="preserve">Another question is about European integration. In surely one of the most important and disputed referendum in Swiss history, Swiss citizen rejected their country’s adhesion to the European Economic Area (EEA) in 1992 by a very short majority of 50,3% (the majority between cantons was far less close, with only 6 cantons in favour out of 26, the referendum requiring the double majority of the voters and the cantons to be accepted).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which then quickly adopted a pro-EU position.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w:t>
      </w:r>
    </w:p>
    <w:p>
      <w:pPr>
        <w:pStyle w:val="BodyText"/>
      </w:pPr>
      <w:r>
        <w:t xml:space="preserve">European integration revived a strong regional-linguistic cleavage. Romandy’s voters supported the adhesion with a large majority (75%) whereas the Swiss-German and Swiss-Italian citizen voted against (respectively 56% and 61.5% of negative votes). Within each region and canton, a urban-rural cleavage also divided the supporters of the adhesion to the EEC, who were mainly urban citizen, against opponents who were more likely to live in rural areas. Social groups in favor of European integration are thus expected to contain above-average representation of French-speaking Swiss citizen living in urban areas</w:t>
      </w:r>
      <w:r>
        <w:t xml:space="preserve"> </w:t>
      </w:r>
      <w:r>
        <w:t xml:space="preserve">(Schwok 1993)</w:t>
      </w:r>
      <w:r>
        <w:t xml:space="preserve">. The factors behind this linguistic-regional cleavage over European integration are manifold.</w:t>
      </w:r>
    </w:p>
    <w:p>
      <w:pPr>
        <w:pStyle w:val="BodyText"/>
      </w:pPr>
      <w:r>
        <w:t xml:space="preserve">First, the attachment of the Swiss French to European integration can be explained by their subordinate position vis-à-vis the Swiss German, who largely hold the political power in the country. The Swiss French thus tend to be more skeptical about Swiss sovereignty and feel that they do not really have an influence over their country’s future. In their perspective, European integration is, as Schwok puts it a way to</w:t>
      </w:r>
      <w:r>
        <w:t xml:space="preserve"> </w:t>
      </w:r>
      <w:r>
        <w:t xml:space="preserve">“</w:t>
      </w:r>
      <w:r>
        <w:t xml:space="preserve">play Brussels against Bern</w:t>
      </w:r>
      <w:r>
        <w:t xml:space="preserve">”</w:t>
      </w:r>
      <w:r>
        <w:t xml:space="preserve"> </w:t>
      </w:r>
      <w:r>
        <w:t xml:space="preserve">and can be perceived as</w:t>
      </w:r>
      <w:r>
        <w:t xml:space="preserve"> </w:t>
      </w:r>
      <w:r>
        <w:t xml:space="preserve">“</w:t>
      </w:r>
      <w:r>
        <w:t xml:space="preserve">a way out of the ghetto</w:t>
      </w:r>
      <w:r>
        <w:t xml:space="preserve">”</w:t>
      </w:r>
      <w:r>
        <w:t xml:space="preserve"> </w:t>
      </w:r>
      <w:r>
        <w:t xml:space="preserve">(Schwok 1993, 99)</w:t>
      </w:r>
      <w:r>
        <w:t xml:space="preserve">. Second, Swiss Germans are keen to differentiate themselves from Germany, the gap between Swiss Germans and Germans being much wider than that between France and Romandy. Third, Ticinesi feared the economic and cultural consequences of European integration, in addition to being repulsed by the Italian crisis of 1992</w:t>
      </w:r>
      <w:r>
        <w:t xml:space="preserve"> </w:t>
      </w:r>
      <w:r>
        <w:t xml:space="preserve">(Schwok 1993)</w:t>
      </w:r>
      <w:r>
        <w:t xml:space="preserve">.</w:t>
      </w:r>
    </w:p>
    <w:p>
      <w:pPr>
        <w:pStyle w:val="BodyText"/>
      </w:pPr>
      <w:r>
        <w:t xml:space="preserve">Moreover,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 In the sample, 56,7% of the respondents were in favor of European integration and only 33,85 were against, suggesting a large discrepancy with the ballot of 1992. When conducting a simple logistic model regressing support for EU integration on income and education, support for EU integration shows a positive association with both income and education levels (see</w:t>
      </w:r>
      <w:r>
        <w:t xml:space="preserve"> </w:t>
      </w:r>
      <w:hyperlink w:anchor="fig-lcaindicators">
        <w:r>
          <w:rPr>
            <w:rStyle w:val="Hyperlink"/>
          </w:rPr>
          <w:t xml:space="preserve">Figure 4.7</w:t>
        </w:r>
      </w:hyperlink>
      <w:r>
        <w:t xml:space="preserve"> </w:t>
      </w:r>
      <w:r>
        <w:t xml:space="preserve">and</w:t>
      </w:r>
      <w:r>
        <w:t xml:space="preserve"> </w:t>
      </w:r>
      <w:r>
        <w:rPr>
          <w:bCs/>
          <w:b/>
        </w:rPr>
        <w:t xml:space="preserve">?@tbl-eu</w:t>
      </w:r>
      <w:r>
        <w:t xml:space="preserve"> </w:t>
      </w:r>
      <w:r>
        <w:t xml:space="preserve">in the appendix).</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 Overall, respondents rather supported environment protection (53,1%), with a minority supporting economic growth (17,3%). 67% of the sample was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 In the sample, a majority supported the defense of Swiss traditions (59,4%) whereas 42,6% thought that Swiss citizen should have more rights and chances than foreigners (46,54% being in favor of equal rights and chances).</w:t>
      </w:r>
    </w:p>
    <w:bookmarkEnd w:id="77"/>
    <w:bookmarkStart w:id="85" w:name="description-of-the-12-clusters-model"/>
    <w:p>
      <w:pPr>
        <w:pStyle w:val="Heading4"/>
      </w:pPr>
      <w:r>
        <w:t xml:space="preserve">2.3.2.3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81" w:name="fig-clusters"/>
          <w:p>
            <w:pPr>
              <w:jc w:val="center"/>
            </w:pPr>
            <w:r>
              <w:drawing>
                <wp:inline>
                  <wp:extent cx="5334000" cy="6984206"/>
                  <wp:effectExtent b="0" l="0" r="0" t="0"/>
                  <wp:docPr descr="" title="" id="79" name="Picture"/>
                  <a:graphic>
                    <a:graphicData uri="http://schemas.openxmlformats.org/drawingml/2006/picture">
                      <pic:pic>
                        <pic:nvPicPr>
                          <pic:cNvPr descr="dataclustertable.png" id="80" name="Picture"/>
                          <pic:cNvPicPr>
                            <a:picLocks noChangeArrowheads="1" noChangeAspect="1"/>
                          </pic:cNvPicPr>
                        </pic:nvPicPr>
                        <pic:blipFill>
                          <a:blip r:embed="rId78"/>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81"/>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w:t>
      </w:r>
      <w:r>
        <w:rPr>
          <w:rStyle w:val="FootnoteReference"/>
        </w:rPr>
        <w:footnoteReference w:id="82"/>
      </w:r>
      <w:r>
        <w:t xml:space="preserve">. The largest cluster (cluster 1) represents 17.8% of the total sample. This cluster shows ambivalent policy preferences, but can be said have rather center-left preferences since it supports increase in social spending by the Confederation and also in taxes on high income, but remains supportive of free markets rather than state intervention. Cluster 1 is, in majority, in favor of European integration, but with an appreciable minority (around 40%) which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actually the only cluster that strongly supports state intervention). It is also very much in favor of equal rights and opportunities for foreigners, questioning Swiss traditions, and is also pro-environment and against nuclear energy. Interestingly, cluster 2 contains an important share of no army supporters (88% of the cluster).</w:t>
      </w:r>
    </w:p>
    <w:p>
      <w:pPr>
        <w:pStyle w:val="BodyText"/>
      </w:pPr>
      <w:r>
        <w:t xml:space="preserve">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 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 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 but supports higher taxes on high income and social spending.</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 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84"/>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85"/>
    <w:bookmarkStart w:id="88" w:name="aggregation-into-social-blocs"/>
    <w:p>
      <w:pPr>
        <w:pStyle w:val="Heading4"/>
      </w:pPr>
      <w:r>
        <w:t xml:space="preserve">2.3.2.4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w:t>
      </w:r>
      <w:r>
        <w:t xml:space="preserve"> </w:t>
      </w:r>
      <w:r>
        <w:t xml:space="preserve">(Jeroen K. Vermunt 2017)</w:t>
      </w:r>
      <w:r>
        <w:t xml:space="preserve">. After clusters are defined (step one), each cluster membership posterior probabilities are assigned to every observations (second step). Then, cluster membership can be regressed on a set of independent variables (third step).</w:t>
      </w:r>
    </w:p>
    <w:bookmarkStart w:id="86"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6"/>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clusters 1 and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p>
      <w:pPr>
        <w:pStyle w:val="BodyText"/>
      </w:pPr>
      <w:r>
        <w:t xml:space="preserve">To what extent are the relationships between cluster membership and political leaning similar to the relationships between cluster membership and party support?</w:t>
      </w:r>
      <w:r>
        <w:t xml:space="preserve"> </w:t>
      </w:r>
      <w:r>
        <w:rPr>
          <w:bCs/>
          <w:b/>
        </w:rPr>
        <w:t xml:space="preserve">?@tbl-3stepsymp</w:t>
      </w:r>
      <w:r>
        <w:t xml:space="preserve"> </w:t>
      </w:r>
      <w:r>
        <w:t xml:space="preserve">presents the results of another step 3 approach regressing cluster membership on the degree of sympathy (measured on a 0-10 scale) for each main Swiss party and the Greens.</w:t>
      </w:r>
    </w:p>
    <w:bookmarkStart w:id="87" w:name="tbl-3stepsym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PDC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UDC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Greens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4.4488</w:t>
            </w:r>
          </w:p>
        </w:tc>
      </w:tr>
    </w:tbl>
    <w:p>
      <w:pPr>
        <w:pStyle w:val="BodyText"/>
      </w:pPr>
      <w:r>
        <w:rPr>
          <w:bCs/>
          <w:b/>
        </w:rPr>
        <w:t xml:space="preserve">?(caption)</w:t>
      </w:r>
    </w:p>
    <w:bookmarkEnd w:id="87"/>
    <w:p>
      <w:pPr>
        <w:pStyle w:val="BodyText"/>
      </w:pPr>
      <w:r>
        <w:t xml:space="preserve">As expected, cluster 2 shows a lot of sympathy for the Socialist Party and for the Greens. The other clusters that show significant support for these parties are cluster 8 and 12. Cluster 4 only shows sympathy for the Socialists. Cluster 6 shows sympathy for the Socialists, but also for the Christian Democrats and the PRD.</w:t>
      </w:r>
    </w:p>
    <w:p>
      <w:pPr>
        <w:pStyle w:val="BodyText"/>
      </w:pPr>
      <w:r>
        <w:t xml:space="preserve">The groups fully supporting the UDC are clusters 3, 7 and 11 (23.95% in total). Clusters 5 (7.12%) and 9 (4.91%) show sympathy for both the UDC and PRD, while cluster 10 (4.9%) is the only cluster fully supporting the PRD.</w:t>
      </w:r>
    </w:p>
    <w:bookmarkEnd w:id="88"/>
    <w:bookmarkStart w:id="93" w:name="discussion-of-the-results"/>
    <w:p>
      <w:pPr>
        <w:pStyle w:val="Heading4"/>
      </w:pPr>
      <w:r>
        <w:t xml:space="preserve">2.3.2.5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t xml:space="preserve">“</w:t>
      </w:r>
      <w:r>
        <w:t xml:space="preserve">culturally</w:t>
      </w:r>
      <w:r>
        <w:t xml:space="preserve">”</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 However, this cluster is more skeptical about EU integration.</w:t>
      </w:r>
    </w:p>
    <w:p>
      <w:pPr>
        <w:pStyle w:val="BodyText"/>
      </w:pPr>
      <w:r>
        <w:t xml:space="preserve">The fact that the Swiss Socialist party stayed close to cluster 12 preferences on economic policy can be shown by analyzing the time evolution of the party’s position by looking at the indicators offered by the</w:t>
      </w:r>
      <w:r>
        <w:t xml:space="preserve"> </w:t>
      </w:r>
      <w:r>
        <w:rPr>
          <w:iCs/>
          <w:i/>
        </w:rPr>
        <w:t xml:space="preserve">Manifesto Project</w:t>
      </w:r>
      <w:r>
        <w:t xml:space="preserve">. The latter offers various indicators that allow to see the evolution of political supply in Switzerland.</w:t>
      </w:r>
    </w:p>
    <w:tbl>
      <w:tblPr>
        <w:tblStyle w:val="Table"/>
        <w:tblW w:type="pct" w:w="5000"/>
        <w:tblLook w:firstRow="0" w:lastRow="0" w:firstColumn="0" w:lastColumn="0" w:noHBand="0" w:noVBand="0" w:val="0000"/>
        <w:jc w:val="start"/>
      </w:tblPr>
      <w:tblGrid>
        <w:gridCol w:w="7920"/>
      </w:tblGrid>
      <w:tr>
        <w:tc>
          <w:tcPr/>
          <w:bookmarkStart w:id="92" w:name="fig-manifesto"/>
          <w:p>
            <w:pPr>
              <w:jc w:val="center"/>
            </w:pPr>
            <w:r>
              <w:drawing>
                <wp:inline>
                  <wp:extent cx="5334000" cy="3556000"/>
                  <wp:effectExtent b="0" l="0" r="0" t="0"/>
                  <wp:docPr descr="" title="" id="90" name="Picture"/>
                  <a:graphic>
                    <a:graphicData uri="http://schemas.openxmlformats.org/drawingml/2006/picture">
                      <pic:pic>
                        <pic:nvPicPr>
                          <pic:cNvPr descr="part1_files/figure-docx/fig-manifesto-1.png" id="91" name="Picture"/>
                          <pic:cNvPicPr>
                            <a:picLocks noChangeArrowheads="1" noChangeAspect="1"/>
                          </pic:cNvPicPr>
                        </pic:nvPicPr>
                        <pic:blipFill>
                          <a:blip r:embed="rId8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Positions of the Swiss main political parties on Planned Economy, the Welfare State and on an Overall Left-Right Scale.</w:t>
            </w:r>
          </w:p>
          <w:bookmarkEnd w:id="92"/>
        </w:tc>
      </w:tr>
    </w:tbl>
    <w:p>
      <w:pPr>
        <w:pStyle w:val="BodyText"/>
      </w:pPr>
      <w:hyperlink w:anchor="fig-manifesto">
        <w:r>
          <w:rPr>
            <w:rStyle w:val="Hyperlink"/>
          </w:rPr>
          <w:t xml:space="preserve">Figure 2.8</w:t>
        </w:r>
      </w:hyperlink>
      <w:r>
        <w:t xml:space="preserve"> </w:t>
      </w:r>
      <w:r>
        <w:t xml:space="preserve">shows the evolution of each Swiss main political party’s positions on economic issues and on the Manifesto Project’s index of left-right party position, the</w:t>
      </w:r>
      <w:r>
        <w:t xml:space="preserve"> </w:t>
      </w:r>
      <w:r>
        <w:t xml:space="preserve">“</w:t>
      </w:r>
      <w:r>
        <w:t xml:space="preserve">rile</w:t>
      </w:r>
      <w:r>
        <w:t xml:space="preserve">”</w:t>
      </w:r>
      <w:r>
        <w:t xml:space="preserve"> </w:t>
      </w:r>
      <w:r>
        <w:t xml:space="preserve">index, which ranges from +100 (the party has strong right leaning) to -100 (strong left leaning).</w:t>
      </w:r>
      <w:r>
        <w:t xml:space="preserve"> </w:t>
      </w:r>
      <w:hyperlink w:anchor="fig-manifesto">
        <w:r>
          <w:rPr>
            <w:rStyle w:val="Hyperlink"/>
          </w:rPr>
          <w:t xml:space="preserve">Figure 2.8</w:t>
        </w:r>
      </w:hyperlink>
      <w:r>
        <w:t xml:space="preserve"> </w:t>
      </w:r>
      <w:r>
        <w:t xml:space="preserve">suggests that instead of reducing its left-wing positions, the Swiss Socialist Party has actually strengthened them since the late 80s. However, the party seems to have reduced its favorable mentions of the welfare state during the 90s to the middle of the 2000s, as suggested by the decline in the Manifesto Poject’s index for the parties’ positions on the welfare state. This may indicate that the Third Way strategy had a short term impact on the Socialist Party, due to the attractiveness of a strategy aimed at drawing more support from cluster 1.</w:t>
      </w:r>
    </w:p>
    <w:p>
      <w:pPr>
        <w:pStyle w:val="BodyText"/>
      </w:pPr>
      <w:r>
        <w:t xml:space="preserve">Regarding other political strategies,</w:t>
      </w:r>
      <w:r>
        <w:t xml:space="preserve"> </w:t>
      </w:r>
      <w:hyperlink w:anchor="fig-manifesto">
        <w:r>
          <w:rPr>
            <w:rStyle w:val="Hyperlink"/>
          </w:rPr>
          <w:t xml:space="preserve">Figure 2.8</w:t>
        </w:r>
      </w:hyperlink>
      <w:r>
        <w:t xml:space="preserve"> </w:t>
      </w:r>
      <w:r>
        <w:t xml:space="preserve">suggests that the UDC strengthened its economic program along more neoliberal lines since the 80s. This reflects a contradiction between some of the socio-political groups gathered by the UDC (clusters 3 and 7 for instance), which are rather popular groups whose demands regarding taxation are far from the neoliberal agenda that the UDC seems to be gradually reinforcing. The PRD (Radical Democratic Party, which became the PLR in 2007,</w:t>
      </w:r>
      <w:r>
        <w:t xml:space="preserve"> </w:t>
      </w:r>
      <w:r>
        <w:t xml:space="preserve">“</w:t>
      </w:r>
      <w:r>
        <w:t xml:space="preserve">FDP</w:t>
      </w:r>
      <w:r>
        <w:t xml:space="preserve">”</w:t>
      </w:r>
      <w:r>
        <w:t xml:space="preserve"> </w:t>
      </w:r>
      <w:r>
        <w:t xml:space="preserve">in the Swiss-German acronym), on the other hand, shows greater stability on the rile index, its (liberal) position on the welfare, but shows much more variation regarding free markets. Outflanked on its right by the UDC, the PRD ran the risk of progressively seeing its support being reduced to cluster 10 while losing supports from socio-political groups which were attracted to the PRD, but expressed more conservative positions and were more skeptical about EU integration (such as cluster 5).</w:t>
      </w:r>
    </w:p>
    <w:p>
      <w:pPr>
        <w:pStyle w:val="BodyText"/>
      </w:pPr>
      <w:r>
        <w:t xml:space="preserve">Overall, the divisions within the liberal-conservative clusters marked a shift in power balance within the bloc: the core of the bourgeois bloc was very limited (5%) whereas the neoliberal, conservative and anti-EU clusters (3, 5, 10) became a majority within the bloc. This shows that the political conditions for a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93"/>
    <w:bookmarkEnd w:id="94"/>
    <w:bookmarkEnd w:id="95"/>
    <w:bookmarkEnd w:id="96"/>
    <w:bookmarkStart w:id="97"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rather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basis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Switzerland. However, if one looks at political leaning instead of party support, the left appears to be bourgeois in the sense that it is supported by the upper-middle income groups and by university graduates, while self-identification to the right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 that the bourgeois basis that, mediated by the PRD, could support a neoliberal and pro-EU strategy was rather narrow (around 5% only). In fact, a strategy aggregating social groups which were opponents of EU integration, conservative vis-à-vis immigration and cultural issues would gather a broader base. This strategy was endorsed by the UDC, which then became the first Swiss party in the 2003 federal elections.</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work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this work.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 Moreover, the process of institutional change that the Swiss model underwent since the 90s deserve more careful analysis. All these points could be the subject of further work.</w:t>
      </w:r>
    </w:p>
    <w:bookmarkEnd w:id="97"/>
    <w:bookmarkStart w:id="132"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101" w:name="fig-plotdescrparties"/>
          <w:p>
            <w:pPr>
              <w:jc w:val="center"/>
            </w:pPr>
            <w:r>
              <w:drawing>
                <wp:inline>
                  <wp:extent cx="5334000" cy="2667000"/>
                  <wp:effectExtent b="0" l="0" r="0" t="0"/>
                  <wp:docPr descr="" title="" id="99" name="Picture"/>
                  <a:graphic>
                    <a:graphicData uri="http://schemas.openxmlformats.org/drawingml/2006/picture">
                      <pic:pic>
                        <pic:nvPicPr>
                          <pic:cNvPr descr="conclusion_appendix_files/figure-docx/fig-plotdescrparties-1.png" id="10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Party identification</w:t>
            </w:r>
          </w:p>
          <w:bookmarkEnd w:id="10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5" w:name="fig-plotdescrleaning"/>
          <w:p>
            <w:pPr>
              <w:jc w:val="center"/>
            </w:pPr>
            <w:r>
              <w:drawing>
                <wp:inline>
                  <wp:extent cx="4620126" cy="3696101"/>
                  <wp:effectExtent b="0" l="0" r="0" t="0"/>
                  <wp:docPr descr="" title="" id="103" name="Picture"/>
                  <a:graphic>
                    <a:graphicData uri="http://schemas.openxmlformats.org/drawingml/2006/picture">
                      <pic:pic>
                        <pic:nvPicPr>
                          <pic:cNvPr descr="conclusion_appendix_files/figure-docx/fig-plotdescrleaning-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10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9" w:name="fig-plotdescrIP"/>
          <w:p>
            <w:pPr>
              <w:jc w:val="center"/>
            </w:pPr>
            <w:r>
              <w:drawing>
                <wp:inline>
                  <wp:extent cx="5334000" cy="2667000"/>
                  <wp:effectExtent b="0" l="0" r="0" t="0"/>
                  <wp:docPr descr="" title="" id="107" name="Picture"/>
                  <a:graphic>
                    <a:graphicData uri="http://schemas.openxmlformats.org/drawingml/2006/picture">
                      <pic:pic>
                        <pic:nvPicPr>
                          <pic:cNvPr descr="conclusion_appendix_files/figure-docx/fig-plotdescrIP-1.png" id="108" name="Picture"/>
                          <pic:cNvPicPr>
                            <a:picLocks noChangeArrowheads="1" noChangeAspect="1"/>
                          </pic:cNvPicPr>
                        </pic:nvPicPr>
                        <pic:blipFill>
                          <a:blip r:embed="rId10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109"/>
        </w:tc>
      </w:tr>
    </w:tbl>
    <w:bookmarkStart w:id="110"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0"/>
    <w:bookmarkStart w:id="111"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1"/>
    <w:bookmarkStart w:id="112"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2"/>
    <w:bookmarkStart w:id="113"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13"/>
    <w:tbl>
      <w:tblPr>
        <w:tblStyle w:val="Table"/>
        <w:tblW w:type="pct" w:w="5000"/>
        <w:tblLook w:firstRow="0" w:lastRow="0" w:firstColumn="0" w:lastColumn="0" w:noHBand="0" w:noVBand="0" w:val="0000"/>
        <w:jc w:val="start"/>
      </w:tblPr>
      <w:tblGrid>
        <w:gridCol w:w="7920"/>
      </w:tblGrid>
      <w:tr>
        <w:tc>
          <w:tcPr/>
          <w:bookmarkStart w:id="117" w:name="fig-glmerameparties"/>
          <w:p>
            <w:pPr>
              <w:jc w:val="center"/>
            </w:pPr>
            <w:r>
              <w:drawing>
                <wp:inline>
                  <wp:extent cx="4620126" cy="6468176"/>
                  <wp:effectExtent b="0" l="0" r="0" t="0"/>
                  <wp:docPr descr="" title="" id="115" name="Picture"/>
                  <a:graphic>
                    <a:graphicData uri="http://schemas.openxmlformats.org/drawingml/2006/picture">
                      <pic:pic>
                        <pic:nvPicPr>
                          <pic:cNvPr descr="conclusion_appendix_files/figure-docx/fig-glmerameparties-1.png" id="116" name="Picture"/>
                          <pic:cNvPicPr>
                            <a:picLocks noChangeArrowheads="1" noChangeAspect="1"/>
                          </pic:cNvPicPr>
                        </pic:nvPicPr>
                        <pic:blipFill>
                          <a:blip r:embed="rId11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1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1" w:name="fig-glmerameleaning"/>
          <w:p>
            <w:pPr>
              <w:jc w:val="center"/>
            </w:pPr>
            <w:r>
              <w:drawing>
                <wp:inline>
                  <wp:extent cx="4620126" cy="3696101"/>
                  <wp:effectExtent b="0" l="0" r="0" t="0"/>
                  <wp:docPr descr="" title="" id="119" name="Picture"/>
                  <a:graphic>
                    <a:graphicData uri="http://schemas.openxmlformats.org/drawingml/2006/picture">
                      <pic:pic>
                        <pic:nvPicPr>
                          <pic:cNvPr descr="conclusion_appendix_files/figure-docx/fig-glmerameleaning-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2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5" w:name="fig-glmerameIP"/>
          <w:p>
            <w:pPr>
              <w:jc w:val="center"/>
            </w:pPr>
            <w:r>
              <w:drawing>
                <wp:inline>
                  <wp:extent cx="4620126" cy="3696101"/>
                  <wp:effectExtent b="0" l="0" r="0" t="0"/>
                  <wp:docPr descr="" title="" id="123" name="Picture"/>
                  <a:graphic>
                    <a:graphicData uri="http://schemas.openxmlformats.org/drawingml/2006/picture">
                      <pic:pic>
                        <pic:nvPicPr>
                          <pic:cNvPr descr="conclusion_appendix_files/figure-docx/fig-glmerameIP-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25"/>
        </w:tc>
      </w:tr>
    </w:tbl>
    <w:bookmarkStart w:id="126"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26"/>
    <w:tbl>
      <w:tblPr>
        <w:tblStyle w:val="Table"/>
        <w:tblW w:type="pct" w:w="5000"/>
        <w:tblLook w:firstRow="0" w:lastRow="0" w:firstColumn="0" w:lastColumn="0" w:noHBand="0" w:noVBand="0" w:val="0000"/>
        <w:jc w:val="start"/>
      </w:tblPr>
      <w:tblGrid>
        <w:gridCol w:w="7920"/>
      </w:tblGrid>
      <w:tr>
        <w:tc>
          <w:tcPr/>
          <w:bookmarkStart w:id="130" w:name="fig-lcaindicators"/>
          <w:p>
            <w:pPr>
              <w:jc w:val="center"/>
            </w:pPr>
            <w:r>
              <w:drawing>
                <wp:inline>
                  <wp:extent cx="5334000" cy="1939636"/>
                  <wp:effectExtent b="0" l="0" r="0" t="0"/>
                  <wp:docPr descr="" title="" id="128" name="Picture"/>
                  <a:graphic>
                    <a:graphicData uri="http://schemas.openxmlformats.org/drawingml/2006/picture">
                      <pic:pic>
                        <pic:nvPicPr>
                          <pic:cNvPr descr="conclusion_appendix_files/figure-docx/fig-lcaindicators-1.png" id="129" name="Picture"/>
                          <pic:cNvPicPr>
                            <a:picLocks noChangeArrowheads="1" noChangeAspect="1"/>
                          </pic:cNvPicPr>
                        </pic:nvPicPr>
                        <pic:blipFill>
                          <a:blip r:embed="rId127"/>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30"/>
        </w:tc>
      </w:tr>
    </w:tbl>
    <w:bookmarkStart w:id="131" w:name="tbl-eu"/>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Support EU integration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as_character(sex)male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as_character(language)German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as_character(language)Italian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symp_udc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symp_prd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2530.4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2588.1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-1255.195</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 is a 11 categories income bracket variable. Education is the highest achieved education level of the respondent, from primary school to university.</w:t>
            </w:r>
          </w:p>
        </w:tc>
      </w:tr>
    </w:tbl>
    <w:p>
      <w:pPr>
        <w:pStyle w:val="BodyText"/>
      </w:pPr>
      <w:r>
        <w:rPr>
          <w:bCs/>
          <w:b/>
        </w:rPr>
        <w:t xml:space="preserve">?(caption)</w:t>
      </w:r>
    </w:p>
    <w:bookmarkEnd w:id="131"/>
    <w:bookmarkEnd w:id="132"/>
    <w:bookmarkStart w:id="285" w:name="references"/>
    <w:p>
      <w:pPr>
        <w:pStyle w:val="Heading1"/>
      </w:pPr>
      <w:r>
        <w:t xml:space="preserve">References</w:t>
      </w:r>
    </w:p>
    <w:bookmarkStart w:id="284" w:name="refs"/>
    <w:bookmarkStart w:id="133"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33"/>
    <w:bookmarkStart w:id="135"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34">
        <w:r>
          <w:rPr>
            <w:rStyle w:val="Hyperlink"/>
          </w:rPr>
          <w:t xml:space="preserve">https://doi.org/10.1177/002200947901400402</w:t>
        </w:r>
      </w:hyperlink>
      <w:r>
        <w:t xml:space="preserve">.</w:t>
      </w:r>
    </w:p>
    <w:bookmarkEnd w:id="135"/>
    <w:bookmarkStart w:id="136"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36"/>
    <w:bookmarkStart w:id="138"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37">
        <w:r>
          <w:rPr>
            <w:rStyle w:val="Hyperlink"/>
          </w:rPr>
          <w:t xml:space="preserve">https://doi.org/10.1093/acprof:oso/9780198787815.001.0001</w:t>
        </w:r>
      </w:hyperlink>
      <w:r>
        <w:t xml:space="preserve">.</w:t>
      </w:r>
    </w:p>
    <w:bookmarkEnd w:id="138"/>
    <w:bookmarkStart w:id="140"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39">
        <w:r>
          <w:rPr>
            <w:rStyle w:val="Hyperlink"/>
          </w:rPr>
          <w:t xml:space="preserve">https://doi.org/10.4000/regulation.20350</w:t>
        </w:r>
      </w:hyperlink>
      <w:r>
        <w:t xml:space="preserve">.</w:t>
      </w:r>
    </w:p>
    <w:bookmarkEnd w:id="140"/>
    <w:bookmarkStart w:id="141"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41"/>
    <w:bookmarkStart w:id="143"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42">
        <w:r>
          <w:rPr>
            <w:rStyle w:val="Hyperlink"/>
          </w:rPr>
          <w:t xml:space="preserve">https://doi.org/10.1080/09692290.2021.1913440</w:t>
        </w:r>
      </w:hyperlink>
      <w:r>
        <w:t xml:space="preserve">.</w:t>
      </w:r>
    </w:p>
    <w:bookmarkEnd w:id="143"/>
    <w:bookmarkStart w:id="144"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44"/>
    <w:bookmarkStart w:id="145"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45"/>
    <w:bookmarkStart w:id="147"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46">
        <w:r>
          <w:rPr>
            <w:rStyle w:val="Hyperlink"/>
          </w:rPr>
          <w:t xml:space="preserve">https://doi.org/10.1093/ser/mwn018</w:t>
        </w:r>
      </w:hyperlink>
      <w:r>
        <w:t xml:space="preserve">.</w:t>
      </w:r>
    </w:p>
    <w:bookmarkEnd w:id="147"/>
    <w:bookmarkStart w:id="149"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48">
        <w:r>
          <w:rPr>
            <w:rStyle w:val="Hyperlink"/>
          </w:rPr>
          <w:t xml:space="preserve">https://doi.org/10.4337/9781782549925.00015</w:t>
        </w:r>
      </w:hyperlink>
      <w:r>
        <w:t xml:space="preserve">.</w:t>
      </w:r>
    </w:p>
    <w:bookmarkEnd w:id="149"/>
    <w:bookmarkStart w:id="150"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50"/>
    <w:bookmarkStart w:id="151" w:name="ref-amable_ou_2022"/>
    <w:p>
      <w:pPr>
        <w:pStyle w:val="Bibliography"/>
      </w:pPr>
      <w:r>
        <w:t xml:space="preserve">———. 2022.</w:t>
      </w:r>
      <w:r>
        <w:t xml:space="preserve"> </w:t>
      </w:r>
      <w:r>
        <w:rPr>
          <w:iCs/>
          <w:i/>
        </w:rPr>
        <w:t xml:space="preserve">Où Va Le Bloc Bourgeois ?</w:t>
      </w:r>
      <w:r>
        <w:t xml:space="preserve"> Paris: La Dispute.</w:t>
      </w:r>
    </w:p>
    <w:bookmarkEnd w:id="151"/>
    <w:bookmarkStart w:id="15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52">
        <w:r>
          <w:rPr>
            <w:rStyle w:val="Hyperlink"/>
          </w:rPr>
          <w:t xml:space="preserve">https://doi.org/10.1080/13563467.2023.2215701</w:t>
        </w:r>
      </w:hyperlink>
      <w:r>
        <w:t xml:space="preserve">.</w:t>
      </w:r>
    </w:p>
    <w:bookmarkEnd w:id="153"/>
    <w:bookmarkStart w:id="15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54"/>
    <w:bookmarkStart w:id="15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55">
        <w:r>
          <w:rPr>
            <w:rStyle w:val="Hyperlink"/>
          </w:rPr>
          <w:t xml:space="preserve">https://doi.org/10.5169/seals-515017</w:t>
        </w:r>
      </w:hyperlink>
      <w:r>
        <w:t xml:space="preserve">.</w:t>
      </w:r>
    </w:p>
    <w:bookmarkEnd w:id="156"/>
    <w:bookmarkStart w:id="15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57">
        <w:r>
          <w:rPr>
            <w:rStyle w:val="Hyperlink"/>
          </w:rPr>
          <w:t xml:space="preserve">http://gen.lib.rus.ec/book/index.php?md5=ee123095cfe9fb8d6bcd03d6579a0705</w:t>
        </w:r>
      </w:hyperlink>
      <w:r>
        <w:t xml:space="preserve">.</w:t>
      </w:r>
    </w:p>
    <w:bookmarkEnd w:id="158"/>
    <w:bookmarkStart w:id="15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59"/>
    <w:bookmarkStart w:id="16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60">
        <w:r>
          <w:rPr>
            <w:rStyle w:val="Hyperlink"/>
          </w:rPr>
          <w:t xml:space="preserve">https://doi.org/10.23662/FORS-DS-688-2</w:t>
        </w:r>
      </w:hyperlink>
      <w:r>
        <w:t xml:space="preserve">.</w:t>
      </w:r>
    </w:p>
    <w:bookmarkEnd w:id="161"/>
    <w:bookmarkStart w:id="16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62">
        <w:r>
          <w:rPr>
            <w:rStyle w:val="Hyperlink"/>
          </w:rPr>
          <w:t xml:space="preserve">https://doi.org/10.1002/j.1662-6370.1997.tb00198.x</w:t>
        </w:r>
      </w:hyperlink>
      <w:r>
        <w:t xml:space="preserve">.</w:t>
      </w:r>
    </w:p>
    <w:bookmarkEnd w:id="163"/>
    <w:bookmarkStart w:id="165" w:name="ref-burgi_escher_2020"/>
    <w:p>
      <w:pPr>
        <w:pStyle w:val="Bibliography"/>
      </w:pPr>
      <w:r>
        <w:t xml:space="preserve">Bürgi, Markus. 2020.</w:t>
      </w:r>
      <w:r>
        <w:t xml:space="preserve"> </w:t>
      </w:r>
      <w:r>
        <w:t xml:space="preserve">“Escher, Alfred. Dictionnaire Historique de la Suisse.”</w:t>
      </w:r>
      <w:r>
        <w:t xml:space="preserve"> </w:t>
      </w:r>
      <w:r>
        <w:t xml:space="preserve">2020.</w:t>
      </w:r>
      <w:r>
        <w:t xml:space="preserve"> </w:t>
      </w:r>
      <w:hyperlink r:id="rId164">
        <w:r>
          <w:rPr>
            <w:rStyle w:val="Hyperlink"/>
          </w:rPr>
          <w:t xml:space="preserve">https://hls-dhs-dss.ch/articles/003626/2020-01-20/</w:t>
        </w:r>
      </w:hyperlink>
      <w:r>
        <w:t xml:space="preserve">.</w:t>
      </w:r>
    </w:p>
    <w:bookmarkEnd w:id="165"/>
    <w:bookmarkStart w:id="167" w:name="ref-clark_are_1991"/>
    <w:p>
      <w:pPr>
        <w:pStyle w:val="Bibliography"/>
      </w:pPr>
      <w:r>
        <w:t xml:space="preserve">Clark, Terry Nichols, and Seymour Martin Lipset. 1991.</w:t>
      </w:r>
      <w:r>
        <w:t xml:space="preserve"> </w:t>
      </w:r>
      <w:r>
        <w:t xml:space="preserve">“</w:t>
      </w:r>
      <w:r>
        <w:t xml:space="preserve">ARE</w:t>
      </w:r>
      <w:r>
        <w:t xml:space="preserve"> </w:t>
      </w:r>
      <w:r>
        <w:t xml:space="preserve">SOCIAL</w:t>
      </w:r>
      <w:r>
        <w:t xml:space="preserve"> </w:t>
      </w:r>
      <w:r>
        <w:t xml:space="preserve">CLASSES</w:t>
      </w:r>
      <w:r>
        <w:t xml:space="preserve"> </w:t>
      </w:r>
      <w:r>
        <w:t xml:space="preserve">DYING</w:t>
      </w:r>
      <w:r>
        <w:t xml:space="preserve">?”</w:t>
      </w:r>
      <w:r>
        <w:t xml:space="preserve"> </w:t>
      </w:r>
      <w:r>
        <w:rPr>
          <w:iCs/>
          <w:i/>
        </w:rPr>
        <w:t xml:space="preserve">International Sociology</w:t>
      </w:r>
      <w:r>
        <w:t xml:space="preserve"> </w:t>
      </w:r>
      <w:r>
        <w:t xml:space="preserve">6 (4): 397–410.</w:t>
      </w:r>
      <w:r>
        <w:t xml:space="preserve"> </w:t>
      </w:r>
      <w:hyperlink r:id="rId166">
        <w:r>
          <w:rPr>
            <w:rStyle w:val="Hyperlink"/>
          </w:rPr>
          <w:t xml:space="preserve">https://doi.org/10.1177/026858091006004002</w:t>
        </w:r>
      </w:hyperlink>
      <w:r>
        <w:t xml:space="preserve">.</w:t>
      </w:r>
    </w:p>
    <w:bookmarkEnd w:id="167"/>
    <w:bookmarkStart w:id="169"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68">
        <w:r>
          <w:rPr>
            <w:rStyle w:val="Hyperlink"/>
          </w:rPr>
          <w:t xml:space="preserve">https://oec.world/en/rankings/eci/hs6/hs96</w:t>
        </w:r>
      </w:hyperlink>
      <w:r>
        <w:t xml:space="preserve">.</w:t>
      </w:r>
    </w:p>
    <w:bookmarkEnd w:id="169"/>
    <w:bookmarkStart w:id="170"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70"/>
    <w:bookmarkStart w:id="172" w:name="ref-degen_parti_2022"/>
    <w:p>
      <w:pPr>
        <w:pStyle w:val="Bibliography"/>
      </w:pPr>
      <w:r>
        <w:t xml:space="preserve">Degen, Bernard. 2022.</w:t>
      </w:r>
      <w:r>
        <w:t xml:space="preserve"> </w:t>
      </w:r>
      <w:r>
        <w:t xml:space="preserve">“Parti socialiste (</w:t>
      </w:r>
      <w:r>
        <w:t xml:space="preserve">PS</w:t>
      </w:r>
      <w:r>
        <w:t xml:space="preserve">). Dictionnaire Historique de la Suisse.”</w:t>
      </w:r>
      <w:r>
        <w:t xml:space="preserve"> </w:t>
      </w:r>
      <w:r>
        <w:t xml:space="preserve">January 24, 2022.</w:t>
      </w:r>
      <w:r>
        <w:t xml:space="preserve"> </w:t>
      </w:r>
      <w:hyperlink r:id="rId171">
        <w:r>
          <w:rPr>
            <w:rStyle w:val="Hyperlink"/>
          </w:rPr>
          <w:t xml:space="preserve">https://hls-dhs-dss.ch/articles/017393/2022-01-24/</w:t>
        </w:r>
      </w:hyperlink>
      <w:r>
        <w:t xml:space="preserve">.</w:t>
      </w:r>
    </w:p>
    <w:bookmarkEnd w:id="172"/>
    <w:bookmarkStart w:id="174"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73">
        <w:r>
          <w:rPr>
            <w:rStyle w:val="Hyperlink"/>
          </w:rPr>
          <w:t xml:space="preserve">https://wid.world/wp-content/uploads/2021/03/WorldInequalityLab_WP2021_08_PoliticalCleavages_AustriaBelgiumNLSwitzerland.pdf</w:t>
        </w:r>
      </w:hyperlink>
      <w:r>
        <w:t xml:space="preserve">.</w:t>
      </w:r>
    </w:p>
    <w:bookmarkEnd w:id="174"/>
    <w:bookmarkStart w:id="176"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75">
        <w:r>
          <w:rPr>
            <w:rStyle w:val="Hyperlink"/>
          </w:rPr>
          <w:t xml:space="preserve">https://www.letemps.ch/economie/gerhard-schwarz-une-suisse-neoliberale-cest-une-fake-news</w:t>
        </w:r>
      </w:hyperlink>
      <w:r>
        <w:t xml:space="preserve">.</w:t>
      </w:r>
    </w:p>
    <w:bookmarkEnd w:id="176"/>
    <w:bookmarkStart w:id="178"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77">
        <w:r>
          <w:rPr>
            <w:rStyle w:val="Hyperlink"/>
          </w:rPr>
          <w:t xml:space="preserve">https://doi.org/10.1093/qje/qjab036</w:t>
        </w:r>
      </w:hyperlink>
      <w:r>
        <w:t xml:space="preserve">.</w:t>
      </w:r>
    </w:p>
    <w:bookmarkEnd w:id="178"/>
    <w:bookmarkStart w:id="179"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79"/>
    <w:bookmarkStart w:id="181"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80">
        <w:r>
          <w:rPr>
            <w:rStyle w:val="Hyperlink"/>
          </w:rPr>
          <w:t xml:space="preserve">https://www.avenir-suisse.ch/fr/7-bonnes-raisons-de-privatiser-lenergie/</w:t>
        </w:r>
      </w:hyperlink>
      <w:r>
        <w:t xml:space="preserve">.</w:t>
      </w:r>
    </w:p>
    <w:bookmarkEnd w:id="181"/>
    <w:bookmarkStart w:id="182"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82"/>
    <w:bookmarkStart w:id="184"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83">
        <w:r>
          <w:rPr>
            <w:rStyle w:val="Hyperlink"/>
          </w:rPr>
          <w:t xml:space="preserve">https://doi.org/10.48573/9EX9-FP54</w:t>
        </w:r>
      </w:hyperlink>
      <w:r>
        <w:t xml:space="preserve">.</w:t>
      </w:r>
    </w:p>
    <w:bookmarkEnd w:id="184"/>
    <w:bookmarkStart w:id="185"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85"/>
    <w:bookmarkStart w:id="187"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86">
        <w:r>
          <w:rPr>
            <w:rStyle w:val="Hyperlink"/>
          </w:rPr>
          <w:t xml:space="preserve">https://doi.org/10.1080/13501763.2017.1310279</w:t>
        </w:r>
      </w:hyperlink>
      <w:r>
        <w:t xml:space="preserve">.</w:t>
      </w:r>
    </w:p>
    <w:bookmarkEnd w:id="187"/>
    <w:bookmarkStart w:id="189"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88">
        <w:r>
          <w:rPr>
            <w:rStyle w:val="Hyperlink"/>
          </w:rPr>
          <w:t xml:space="preserve">https://doi.org/10.2307/1953494</w:t>
        </w:r>
      </w:hyperlink>
      <w:r>
        <w:t xml:space="preserve">.</w:t>
      </w:r>
    </w:p>
    <w:bookmarkEnd w:id="189"/>
    <w:bookmarkStart w:id="191"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90">
        <w:r>
          <w:rPr>
            <w:rStyle w:val="Hyperlink"/>
          </w:rPr>
          <w:t xml:space="preserve">https://doi.org/10.2307/j.ctv346rbz</w:t>
        </w:r>
      </w:hyperlink>
      <w:r>
        <w:t xml:space="preserve">.</w:t>
      </w:r>
    </w:p>
    <w:bookmarkEnd w:id="191"/>
    <w:bookmarkStart w:id="192" w:name="ref-inglehart_changing_2009"/>
    <w:p>
      <w:pPr>
        <w:pStyle w:val="Bibliography"/>
      </w:pPr>
      <w:r>
        <w:t xml:space="preserve">———.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92"/>
    <w:bookmarkStart w:id="194"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93">
        <w:r>
          <w:rPr>
            <w:rStyle w:val="Hyperlink"/>
          </w:rPr>
          <w:t xml:space="preserve">https://doi.org/10.2307/1962590</w:t>
        </w:r>
      </w:hyperlink>
      <w:r>
        <w:t xml:space="preserve">.</w:t>
      </w:r>
    </w:p>
    <w:bookmarkEnd w:id="194"/>
    <w:bookmarkStart w:id="196"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95">
        <w:r>
          <w:rPr>
            <w:rStyle w:val="Hyperlink"/>
          </w:rPr>
          <w:t xml:space="preserve">https://doi.org/10.3917/infle.020.0183</w:t>
        </w:r>
      </w:hyperlink>
      <w:r>
        <w:t xml:space="preserve">.</w:t>
      </w:r>
    </w:p>
    <w:bookmarkEnd w:id="196"/>
    <w:bookmarkStart w:id="197"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97"/>
    <w:bookmarkStart w:id="198"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98"/>
    <w:bookmarkStart w:id="200"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99">
        <w:r>
          <w:rPr>
            <w:rStyle w:val="Hyperlink"/>
          </w:rPr>
          <w:t xml:space="preserve">https://doi.org/10.4000/histoirepolitique.7344</w:t>
        </w:r>
      </w:hyperlink>
      <w:r>
        <w:t xml:space="preserve">.</w:t>
      </w:r>
    </w:p>
    <w:bookmarkEnd w:id="200"/>
    <w:bookmarkStart w:id="202"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201">
        <w:r>
          <w:rPr>
            <w:rStyle w:val="Hyperlink"/>
          </w:rPr>
          <w:t xml:space="preserve">http://gen.lib.rus.ec/book/index.php?md5=672bb6ec977ceddc83c745ffc8db0022</w:t>
        </w:r>
      </w:hyperlink>
      <w:r>
        <w:t xml:space="preserve">.</w:t>
      </w:r>
    </w:p>
    <w:bookmarkEnd w:id="202"/>
    <w:bookmarkStart w:id="204"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203">
        <w:r>
          <w:rPr>
            <w:rStyle w:val="Hyperlink"/>
          </w:rPr>
          <w:t xml:space="preserve">https://doi.org/10.1111/j.1475-6765.2006.00644.x</w:t>
        </w:r>
      </w:hyperlink>
      <w:r>
        <w:t xml:space="preserve">.</w:t>
      </w:r>
    </w:p>
    <w:bookmarkEnd w:id="204"/>
    <w:bookmarkStart w:id="206"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205">
        <w:r>
          <w:rPr>
            <w:rStyle w:val="Hyperlink"/>
          </w:rPr>
          <w:t xml:space="preserve">https://doi.org/10.1017/CBO9780511790720</w:t>
        </w:r>
      </w:hyperlink>
      <w:r>
        <w:t xml:space="preserve">.</w:t>
      </w:r>
    </w:p>
    <w:bookmarkEnd w:id="206"/>
    <w:bookmarkStart w:id="207"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207"/>
    <w:bookmarkStart w:id="209"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208">
        <w:r>
          <w:rPr>
            <w:rStyle w:val="Hyperlink"/>
          </w:rPr>
          <w:t xml:space="preserve">https://doi.org/10.2307/1954890</w:t>
        </w:r>
      </w:hyperlink>
      <w:r>
        <w:t xml:space="preserve">.</w:t>
      </w:r>
    </w:p>
    <w:bookmarkEnd w:id="209"/>
    <w:bookmarkStart w:id="210"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210"/>
    <w:bookmarkStart w:id="211"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211"/>
    <w:bookmarkStart w:id="212"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212"/>
    <w:bookmarkStart w:id="213"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213"/>
    <w:bookmarkStart w:id="215"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214">
        <w:r>
          <w:rPr>
            <w:rStyle w:val="Hyperlink"/>
          </w:rPr>
          <w:t xml:space="preserve">https://doi.org/10.1080/1350176032000059053</w:t>
        </w:r>
      </w:hyperlink>
      <w:r>
        <w:t xml:space="preserve">.</w:t>
      </w:r>
    </w:p>
    <w:bookmarkEnd w:id="215"/>
    <w:bookmarkStart w:id="217"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216">
        <w:r>
          <w:rPr>
            <w:rStyle w:val="Hyperlink"/>
          </w:rPr>
          <w:t xml:space="preserve">https://doi.org/10.2202/1935-6226.1022</w:t>
        </w:r>
      </w:hyperlink>
      <w:r>
        <w:t xml:space="preserve">.</w:t>
      </w:r>
    </w:p>
    <w:bookmarkEnd w:id="217"/>
    <w:bookmarkStart w:id="218"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18"/>
    <w:bookmarkStart w:id="220"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19">
        <w:r>
          <w:rPr>
            <w:rStyle w:val="Hyperlink"/>
          </w:rPr>
          <w:t xml:space="preserve">https://archive-ouverte.unige.ch/unige:83364</w:t>
        </w:r>
      </w:hyperlink>
      <w:r>
        <w:t xml:space="preserve">.</w:t>
      </w:r>
    </w:p>
    <w:bookmarkEnd w:id="220"/>
    <w:bookmarkStart w:id="221" w:name="ref-meuwly_aux_1992"/>
    <w:p>
      <w:pPr>
        <w:pStyle w:val="Bibliography"/>
      </w:pPr>
      <w:r>
        <w:t xml:space="preserve">Meuwly, Olivier. 1992.</w:t>
      </w:r>
      <w:r>
        <w:t xml:space="preserve"> </w:t>
      </w:r>
      <w:r>
        <w:rPr>
          <w:iCs/>
          <w:i/>
        </w:rPr>
        <w:t xml:space="preserve">Aux sources du radicalisme: les origines de la démocratie libérale</w:t>
      </w:r>
      <w:r>
        <w:t xml:space="preserve">. Éditions du sabre.</w:t>
      </w:r>
    </w:p>
    <w:bookmarkEnd w:id="221"/>
    <w:bookmarkStart w:id="222" w:name="ref-meuwly_liberte_2008"/>
    <w:p>
      <w:pPr>
        <w:pStyle w:val="Bibliography"/>
      </w:pPr>
      <w:r>
        <w:t xml:space="preserve">———. 2008.</w:t>
      </w:r>
      <w:r>
        <w:t xml:space="preserve"> </w:t>
      </w:r>
      <w:r>
        <w:rPr>
          <w:iCs/>
          <w:i/>
        </w:rPr>
        <w:t xml:space="preserve">La Liberté Cacophonique: Essai Sur La Crise Des Droites Suisses</w:t>
      </w:r>
      <w:r>
        <w:t xml:space="preserve">. Genève: Éditions Slatkine.</w:t>
      </w:r>
    </w:p>
    <w:bookmarkEnd w:id="222"/>
    <w:bookmarkStart w:id="223"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23"/>
    <w:bookmarkStart w:id="224"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24"/>
    <w:bookmarkStart w:id="226" w:name="ref-muller_grutli_2010"/>
    <w:p>
      <w:pPr>
        <w:pStyle w:val="Bibliography"/>
      </w:pPr>
      <w:r>
        <w:t xml:space="preserve">Müller, Felix. 2010.</w:t>
      </w:r>
      <w:r>
        <w:t xml:space="preserve"> </w:t>
      </w:r>
      <w:r>
        <w:t xml:space="preserve">“Grutli (société). Dictionnaire Historique de la Suisse.”</w:t>
      </w:r>
      <w:r>
        <w:t xml:space="preserve"> </w:t>
      </w:r>
      <w:r>
        <w:t xml:space="preserve">2010.</w:t>
      </w:r>
      <w:r>
        <w:t xml:space="preserve"> </w:t>
      </w:r>
      <w:hyperlink r:id="rId225">
        <w:r>
          <w:rPr>
            <w:rStyle w:val="Hyperlink"/>
          </w:rPr>
          <w:t xml:space="preserve">https://hls-dhs-dss.ch/articles/017397/2010-12-22/</w:t>
        </w:r>
      </w:hyperlink>
      <w:r>
        <w:t xml:space="preserve">.</w:t>
      </w:r>
    </w:p>
    <w:bookmarkEnd w:id="226"/>
    <w:bookmarkStart w:id="228"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27">
        <w:r>
          <w:rPr>
            <w:rStyle w:val="Hyperlink"/>
          </w:rPr>
          <w:t xml:space="preserve">https://hdr.undp.org/content/human-development-report-2021-22</w:t>
        </w:r>
      </w:hyperlink>
      <w:r>
        <w:t xml:space="preserve">.</w:t>
      </w:r>
    </w:p>
    <w:bookmarkEnd w:id="228"/>
    <w:bookmarkStart w:id="230"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29">
        <w:r>
          <w:rPr>
            <w:rStyle w:val="Hyperlink"/>
          </w:rPr>
          <w:t xml:space="preserve">https://doi.org/10.1080/10705510701575396</w:t>
        </w:r>
      </w:hyperlink>
      <w:r>
        <w:t xml:space="preserve">.</w:t>
      </w:r>
    </w:p>
    <w:bookmarkEnd w:id="230"/>
    <w:bookmarkStart w:id="232"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31">
        <w:r>
          <w:rPr>
            <w:rStyle w:val="Hyperlink"/>
          </w:rPr>
          <w:t xml:space="preserve">https://doi.org/10.1017/S0143814X98000129</w:t>
        </w:r>
      </w:hyperlink>
      <w:r>
        <w:t xml:space="preserve">.</w:t>
      </w:r>
    </w:p>
    <w:bookmarkEnd w:id="232"/>
    <w:bookmarkStart w:id="234"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33">
        <w:r>
          <w:rPr>
            <w:rStyle w:val="Hyperlink"/>
          </w:rPr>
          <w:t xml:space="preserve">https://www.oecd-ilibrary.org/economics/oecd-economic-surveys-switzerland-1992_eco_surveys-che-1992-en</w:t>
        </w:r>
      </w:hyperlink>
      <w:r>
        <w:t xml:space="preserve">.</w:t>
      </w:r>
    </w:p>
    <w:bookmarkEnd w:id="234"/>
    <w:bookmarkStart w:id="236"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35">
        <w:r>
          <w:rPr>
            <w:rStyle w:val="Hyperlink"/>
          </w:rPr>
          <w:t xml:space="preserve">https://www.oecd-ilibrary.org/economics/oecd-economic-surveys-switzerland-2019_7e6fd372-en</w:t>
        </w:r>
      </w:hyperlink>
      <w:r>
        <w:t xml:space="preserve">.</w:t>
      </w:r>
    </w:p>
    <w:bookmarkEnd w:id="236"/>
    <w:bookmarkStart w:id="238"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37">
        <w:r>
          <w:rPr>
            <w:rStyle w:val="Hyperlink"/>
          </w:rPr>
          <w:t xml:space="preserve">https://www.oecd-ilibrary.org/economics/oecd-economic-surveys-switzerland-2022_1fde6924-en</w:t>
        </w:r>
      </w:hyperlink>
      <w:r>
        <w:t xml:space="preserve">.</w:t>
      </w:r>
    </w:p>
    <w:bookmarkEnd w:id="238"/>
    <w:bookmarkStart w:id="240" w:name="ref-oesch_redrawing_2006"/>
    <w:p>
      <w:pPr>
        <w:pStyle w:val="Bibliography"/>
      </w:pPr>
      <w:r>
        <w:t xml:space="preserve">Oesch, Daniel. 2006.</w:t>
      </w:r>
      <w:r>
        <w:t xml:space="preserve"> </w:t>
      </w:r>
      <w:r>
        <w:rPr>
          <w:iCs/>
          <w:i/>
        </w:rPr>
        <w:t xml:space="preserve">Redrawing the Class Map</w:t>
      </w:r>
      <w:r>
        <w:t xml:space="preserve">. London: Palgrave Macmillan</w:t>
      </w:r>
      <w:r>
        <w:t xml:space="preserve"> </w:t>
      </w:r>
      <w:r>
        <w:t xml:space="preserve">UK</w:t>
      </w:r>
      <w:r>
        <w:t xml:space="preserve">.</w:t>
      </w:r>
      <w:r>
        <w:t xml:space="preserve"> </w:t>
      </w:r>
      <w:hyperlink r:id="rId239">
        <w:r>
          <w:rPr>
            <w:rStyle w:val="Hyperlink"/>
          </w:rPr>
          <w:t xml:space="preserve">https://doi.org/10.1057/9780230504592</w:t>
        </w:r>
      </w:hyperlink>
      <w:r>
        <w:t xml:space="preserve">.</w:t>
      </w:r>
    </w:p>
    <w:bookmarkEnd w:id="240"/>
    <w:bookmarkStart w:id="242" w:name="ref-oesch_explaining_2008-1"/>
    <w:p>
      <w:pPr>
        <w:pStyle w:val="Bibliography"/>
      </w:pPr>
      <w:r>
        <w:t xml:space="preserve">———. 2008a.</w:t>
      </w:r>
      <w:r>
        <w:t xml:space="preserve"> </w:t>
      </w:r>
      <w:r>
        <w:t xml:space="preserve">“Explaining Workers’ Support for Right-Wing Populist Parties in Western Europe: Evidence from Austria, Belgium, France, Norway, and Switzerland.”</w:t>
      </w:r>
      <w:r>
        <w:t xml:space="preserve"> </w:t>
      </w:r>
      <w:r>
        <w:rPr>
          <w:iCs/>
          <w:i/>
        </w:rPr>
        <w:t xml:space="preserve">International Political Science Review</w:t>
      </w:r>
      <w:r>
        <w:t xml:space="preserve"> </w:t>
      </w:r>
      <w:r>
        <w:t xml:space="preserve">29 (3): 349–73.</w:t>
      </w:r>
      <w:r>
        <w:t xml:space="preserve"> </w:t>
      </w:r>
      <w:hyperlink r:id="rId241">
        <w:r>
          <w:rPr>
            <w:rStyle w:val="Hyperlink"/>
          </w:rPr>
          <w:t xml:space="preserve">https://doi.org/10.1177/0192512107088390</w:t>
        </w:r>
      </w:hyperlink>
      <w:r>
        <w:t xml:space="preserve">.</w:t>
      </w:r>
    </w:p>
    <w:bookmarkEnd w:id="242"/>
    <w:bookmarkStart w:id="244" w:name="ref-oesch_changing_2008"/>
    <w:p>
      <w:pPr>
        <w:pStyle w:val="Bibliography"/>
      </w:pPr>
      <w:r>
        <w:t xml:space="preserve">———. 2008b.</w:t>
      </w:r>
      <w:r>
        <w:t xml:space="preserve"> </w:t>
      </w:r>
      <w:r>
        <w:t xml:space="preserve">“The Changing Shape of Class Voting.”</w:t>
      </w:r>
      <w:r>
        <w:t xml:space="preserve"> </w:t>
      </w:r>
      <w:r>
        <w:rPr>
          <w:iCs/>
          <w:i/>
        </w:rPr>
        <w:t xml:space="preserve">European Societies</w:t>
      </w:r>
      <w:r>
        <w:t xml:space="preserve"> </w:t>
      </w:r>
      <w:r>
        <w:t xml:space="preserve">10 (3): 329–55.</w:t>
      </w:r>
      <w:r>
        <w:t xml:space="preserve"> </w:t>
      </w:r>
      <w:hyperlink r:id="rId243">
        <w:r>
          <w:rPr>
            <w:rStyle w:val="Hyperlink"/>
          </w:rPr>
          <w:t xml:space="preserve">https://doi.org/10.1080/14616690701846946</w:t>
        </w:r>
      </w:hyperlink>
      <w:r>
        <w:t xml:space="preserve">.</w:t>
      </w:r>
    </w:p>
    <w:bookmarkEnd w:id="244"/>
    <w:bookmarkStart w:id="245" w:name="ref-oesch_swiss_2011"/>
    <w:p>
      <w:pPr>
        <w:pStyle w:val="Bibliography"/>
      </w:pPr>
      <w:r>
        <w:t xml:space="preserve">———.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45"/>
    <w:bookmarkStart w:id="247"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46">
        <w:r>
          <w:rPr>
            <w:rStyle w:val="Hyperlink"/>
          </w:rPr>
          <w:t xml:space="preserve">https://doi.org/10.1002/j.1662-6370.2010.tb00433.x</w:t>
        </w:r>
      </w:hyperlink>
      <w:r>
        <w:t xml:space="preserve">.</w:t>
      </w:r>
    </w:p>
    <w:bookmarkEnd w:id="247"/>
    <w:bookmarkStart w:id="249"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48">
        <w:r>
          <w:rPr>
            <w:rStyle w:val="Hyperlink"/>
          </w:rPr>
          <w:t xml:space="preserve">https://doi.org/10.1111/1475-6765.12259</w:t>
        </w:r>
      </w:hyperlink>
      <w:r>
        <w:t xml:space="preserve">.</w:t>
      </w:r>
    </w:p>
    <w:bookmarkEnd w:id="249"/>
    <w:bookmarkStart w:id="250"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50"/>
    <w:bookmarkStart w:id="251"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51"/>
    <w:bookmarkStart w:id="25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52"/>
    <w:bookmarkStart w:id="25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53"/>
    <w:bookmarkStart w:id="254" w:name="ref-piketty_capital_2019"/>
    <w:p>
      <w:pPr>
        <w:pStyle w:val="Bibliography"/>
      </w:pPr>
      <w:r>
        <w:t xml:space="preserve">———. 2019.</w:t>
      </w:r>
      <w:r>
        <w:t xml:space="preserve"> </w:t>
      </w:r>
      <w:r>
        <w:rPr>
          <w:iCs/>
          <w:i/>
        </w:rPr>
        <w:t xml:space="preserve">Capital Et Idéologie</w:t>
      </w:r>
      <w:r>
        <w:t xml:space="preserve">. Le Seuil.</w:t>
      </w:r>
    </w:p>
    <w:bookmarkEnd w:id="254"/>
    <w:bookmarkStart w:id="256"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55">
        <w:r>
          <w:rPr>
            <w:rStyle w:val="Hyperlink"/>
          </w:rPr>
          <w:t xml:space="preserve">https://doi.org/10.1111/spsr.12124</w:t>
        </w:r>
      </w:hyperlink>
      <w:r>
        <w:t xml:space="preserve">.</w:t>
      </w:r>
    </w:p>
    <w:bookmarkEnd w:id="256"/>
    <w:bookmarkStart w:id="258"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57">
        <w:r>
          <w:rPr>
            <w:rStyle w:val="Hyperlink"/>
          </w:rPr>
          <w:t xml:space="preserve">http://gen.lib.rus.ec/book/index.php?md5=DC2AFED8958B9AE0932FFEFEAB45546C</w:t>
        </w:r>
      </w:hyperlink>
      <w:r>
        <w:t xml:space="preserve">.</w:t>
      </w:r>
    </w:p>
    <w:bookmarkEnd w:id="258"/>
    <w:bookmarkStart w:id="259" w:name="ref-ribeaud_quand_1998"/>
    <w:p>
      <w:pPr>
        <w:pStyle w:val="Bibliography"/>
      </w:pPr>
      <w:r>
        <w:t xml:space="preserve">Ribeaud, José. 1998.</w:t>
      </w:r>
      <w:r>
        <w:t xml:space="preserve"> </w:t>
      </w:r>
      <w:r>
        <w:rPr>
          <w:iCs/>
          <w:i/>
        </w:rPr>
        <w:t xml:space="preserve">Quand La Suisse Disparaîtra</w:t>
      </w:r>
      <w:r>
        <w:t xml:space="preserve">. Vevey: L’Aire.</w:t>
      </w:r>
    </w:p>
    <w:bookmarkEnd w:id="259"/>
    <w:bookmarkStart w:id="261" w:name="ref-schwok_causes_1993"/>
    <w:p>
      <w:pPr>
        <w:pStyle w:val="Bibliography"/>
      </w:pPr>
      <w:r>
        <w:t xml:space="preserve">Schwok, René. 1993.</w:t>
      </w:r>
      <w:r>
        <w:t xml:space="preserve"> </w:t>
      </w:r>
      <w:r>
        <w:t xml:space="preserve">“Causes Et Conséquences Du Refus de La Suisse d’adhérer à l’espace Économique Européen.”</w:t>
      </w:r>
      <w:r>
        <w:t xml:space="preserve"> </w:t>
      </w:r>
      <w:r>
        <w:rPr>
          <w:iCs/>
          <w:i/>
        </w:rPr>
        <w:t xml:space="preserve">Relations Internationales</w:t>
      </w:r>
      <w:r>
        <w:t xml:space="preserve">, no. 73: 95–108.</w:t>
      </w:r>
      <w:r>
        <w:t xml:space="preserve"> </w:t>
      </w:r>
      <w:hyperlink r:id="rId260">
        <w:r>
          <w:rPr>
            <w:rStyle w:val="Hyperlink"/>
          </w:rPr>
          <w:t xml:space="preserve">https://www.jstor.org/stable/45344498</w:t>
        </w:r>
      </w:hyperlink>
      <w:r>
        <w:t xml:space="preserve">.</w:t>
      </w:r>
    </w:p>
    <w:bookmarkEnd w:id="261"/>
    <w:bookmarkStart w:id="263"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62">
        <w:r>
          <w:rPr>
            <w:rStyle w:val="Hyperlink"/>
          </w:rPr>
          <w:t xml:space="preserve">https://www.epflpress.org/produit/1421/9782889155279/politique-suisse</w:t>
        </w:r>
      </w:hyperlink>
      <w:r>
        <w:t xml:space="preserve">.</w:t>
      </w:r>
    </w:p>
    <w:bookmarkEnd w:id="263"/>
    <w:bookmarkStart w:id="265" w:name="ref-skenderovic_union_2017"/>
    <w:p>
      <w:pPr>
        <w:pStyle w:val="Bibliography"/>
      </w:pPr>
      <w:r>
        <w:t xml:space="preserve">Skenderovic, Damir. 2017.</w:t>
      </w:r>
      <w:r>
        <w:t xml:space="preserve"> </w:t>
      </w:r>
      <w:r>
        <w:t xml:space="preserve">“Union démocratique du centre (</w:t>
      </w:r>
      <w:r>
        <w:t xml:space="preserve">UDC</w:t>
      </w:r>
      <w:r>
        <w:t xml:space="preserve">). Dictionnaire Historique de la Suisse.”</w:t>
      </w:r>
      <w:r>
        <w:t xml:space="preserve"> </w:t>
      </w:r>
      <w:r>
        <w:t xml:space="preserve">2017.</w:t>
      </w:r>
      <w:r>
        <w:t xml:space="preserve"> </w:t>
      </w:r>
      <w:hyperlink r:id="rId264">
        <w:r>
          <w:rPr>
            <w:rStyle w:val="Hyperlink"/>
          </w:rPr>
          <w:t xml:space="preserve">https://hls-dhs-dss.ch/articles/017389/2017-03-20/</w:t>
        </w:r>
      </w:hyperlink>
      <w:r>
        <w:t xml:space="preserve">.</w:t>
      </w:r>
    </w:p>
    <w:bookmarkEnd w:id="265"/>
    <w:bookmarkStart w:id="267" w:name="ref-summermatter_stampfli_2020"/>
    <w:p>
      <w:pPr>
        <w:pStyle w:val="Bibliography"/>
      </w:pPr>
      <w:r>
        <w:t xml:space="preserve">Summermatter, Stephanie. 2020.</w:t>
      </w:r>
      <w:r>
        <w:t xml:space="preserve"> </w:t>
      </w:r>
      <w:r>
        <w:t xml:space="preserve">“Stämpfli, Jakob. Dictionnaire Historique de la Suisse.”</w:t>
      </w:r>
      <w:r>
        <w:t xml:space="preserve"> </w:t>
      </w:r>
      <w:r>
        <w:t xml:space="preserve">2020.</w:t>
      </w:r>
      <w:r>
        <w:t xml:space="preserve"> </w:t>
      </w:r>
      <w:hyperlink r:id="rId266">
        <w:r>
          <w:rPr>
            <w:rStyle w:val="Hyperlink"/>
          </w:rPr>
          <w:t xml:space="preserve">https://hls-dhs-dss.ch/articles/004635/2020-04-15/</w:t>
        </w:r>
      </w:hyperlink>
      <w:r>
        <w:t xml:space="preserve">.</w:t>
      </w:r>
    </w:p>
    <w:bookmarkEnd w:id="267"/>
    <w:bookmarkStart w:id="269"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68">
        <w:r>
          <w:rPr>
            <w:rStyle w:val="Hyperlink"/>
          </w:rPr>
          <w:t xml:space="preserve">https://doi.org/10.3917/socio.103.0243</w:t>
        </w:r>
      </w:hyperlink>
      <w:r>
        <w:t xml:space="preserve">.</w:t>
      </w:r>
    </w:p>
    <w:bookmarkEnd w:id="269"/>
    <w:bookmarkStart w:id="271"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70">
        <w:r>
          <w:rPr>
            <w:rStyle w:val="Hyperlink"/>
          </w:rPr>
          <w:t xml:space="preserve">https://doi.org/10.1017/S1755773913000246</w:t>
        </w:r>
      </w:hyperlink>
      <w:r>
        <w:t xml:space="preserve">.</w:t>
      </w:r>
    </w:p>
    <w:bookmarkEnd w:id="271"/>
    <w:bookmarkStart w:id="272"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72"/>
    <w:bookmarkStart w:id="274"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73">
        <w:r>
          <w:rPr>
            <w:rStyle w:val="Hyperlink"/>
          </w:rPr>
          <w:t xml:space="preserve">https://doi.org/10.48573/PCBM-2280</w:t>
        </w:r>
      </w:hyperlink>
      <w:r>
        <w:t xml:space="preserve">.</w:t>
      </w:r>
    </w:p>
    <w:bookmarkEnd w:id="274"/>
    <w:bookmarkStart w:id="276"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75">
        <w:r>
          <w:rPr>
            <w:rStyle w:val="Hyperlink"/>
          </w:rPr>
          <w:t xml:space="preserve">https://doi.org/10.2202/1935-6226.1042</w:t>
        </w:r>
      </w:hyperlink>
      <w:r>
        <w:t xml:space="preserve">.</w:t>
      </w:r>
    </w:p>
    <w:bookmarkEnd w:id="276"/>
    <w:bookmarkStart w:id="278" w:name="ref-vermunt_latent_2017"/>
    <w:p>
      <w:pPr>
        <w:pStyle w:val="Bibliography"/>
      </w:pPr>
      <w:r>
        <w:t xml:space="preserve">Vermunt, Jeroen K. 2017.</w:t>
      </w:r>
      <w:r>
        <w:t xml:space="preserve"> </w:t>
      </w:r>
      <w:r>
        <w:t xml:space="preserve">“Latent Class Modeling with Covariates: Two Improved Three-Step Approaches.”</w:t>
      </w:r>
      <w:r>
        <w:t xml:space="preserve"> </w:t>
      </w:r>
      <w:r>
        <w:rPr>
          <w:iCs/>
          <w:i/>
        </w:rPr>
        <w:t xml:space="preserve">Political Analysis</w:t>
      </w:r>
      <w:r>
        <w:t xml:space="preserve"> </w:t>
      </w:r>
      <w:r>
        <w:t xml:space="preserve">18 (4): 450–69.</w:t>
      </w:r>
      <w:r>
        <w:t xml:space="preserve"> </w:t>
      </w:r>
      <w:hyperlink r:id="rId277">
        <w:r>
          <w:rPr>
            <w:rStyle w:val="Hyperlink"/>
          </w:rPr>
          <w:t xml:space="preserve">https://doi.org/10.1093/pan/mpq025</w:t>
        </w:r>
      </w:hyperlink>
      <w:r>
        <w:t xml:space="preserve">.</w:t>
      </w:r>
    </w:p>
    <w:bookmarkEnd w:id="278"/>
    <w:bookmarkStart w:id="279"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79"/>
    <w:bookmarkStart w:id="281"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80">
        <w:r>
          <w:rPr>
            <w:rStyle w:val="Hyperlink"/>
          </w:rPr>
          <w:t xml:space="preserve">https://archive-ouverte.unige.ch/unige:14538</w:t>
        </w:r>
      </w:hyperlink>
      <w:r>
        <w:t xml:space="preserve">.</w:t>
      </w:r>
    </w:p>
    <w:bookmarkEnd w:id="281"/>
    <w:bookmarkStart w:id="283"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82">
        <w:r>
          <w:rPr>
            <w:rStyle w:val="Hyperlink"/>
          </w:rPr>
          <w:t xml:space="preserve">https://doi.org/10.1111/ajps.12743</w:t>
        </w:r>
      </w:hyperlink>
      <w:r>
        <w:t xml:space="preserve">.</w:t>
      </w:r>
    </w:p>
    <w:bookmarkEnd w:id="283"/>
    <w:bookmarkEnd w:id="284"/>
    <w:bookmarkEnd w:id="2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39">
    <w:p>
      <w:pPr>
        <w:pStyle w:val="FootnoteText"/>
      </w:pPr>
      <w:r>
        <w:rPr>
          <w:rStyle w:val="FootnoteReference"/>
        </w:rPr>
        <w:footnoteRef/>
      </w:r>
      <w:r>
        <w:t xml:space="preserve"> </w:t>
      </w:r>
      <w:r>
        <w:t xml:space="preserve">Alfred Escher, born in 1819 in Zurich, is surely one of the most emblematic figures of the 19th century Swiss-German high bourgeoisie. Strongly involved in the railway industry, he founded the Credit Suisse in 1856. Elected in the national council from 1844 to 1882, his seamless defense of laissez-faire capitalism and of the interests of the Swiss industrial capitalists earned him the name of</w:t>
      </w:r>
      <w:r>
        <w:t xml:space="preserve"> </w:t>
      </w:r>
      <w:r>
        <w:t xml:space="preserve">“</w:t>
      </w:r>
      <w:r>
        <w:t xml:space="preserve">federal baron</w:t>
      </w:r>
      <w:r>
        <w:t xml:space="preserve">”</w:t>
      </w:r>
      <w:r>
        <w:t xml:space="preserve">. Despite his ardent defense of private interests, Escher supported the establishment of federal public education throughout his career. In particular, he played an important role in the creation of the Swiss Federal Institute of Technology of Zurich (ETH Zurich) in 1855. See</w:t>
      </w:r>
      <w:r>
        <w:t xml:space="preserve"> </w:t>
      </w:r>
      <w:r>
        <w:t xml:space="preserve">Bürgi (2020)</w:t>
      </w:r>
      <w:r>
        <w:t xml:space="preserve">.</w:t>
      </w:r>
    </w:p>
  </w:footnote>
  <w:footnote w:id="68">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0">
    <w:p>
      <w:pPr>
        <w:pStyle w:val="FootnoteText"/>
      </w:pPr>
      <w:r>
        <w:rPr>
          <w:rStyle w:val="FootnoteReference"/>
        </w:rPr>
        <w:footnoteRef/>
      </w:r>
    </w:p>
    <w:p>
      <w:pPr>
        <w:numPr>
          <w:ilvl w:val="0"/>
          <w:numId w:val="1032"/>
        </w:numPr>
        <w:pStyle w:val="Compact"/>
      </w:pPr>
      <w:r>
        <w:t xml:space="preserve">For further information on the history of social security in Switzerland see the History of Swiss Social Security website: https://www.historyofsocialsecurity.ch/home.</w:t>
      </w:r>
    </w:p>
  </w:footnote>
  <w:footnote w:id="76">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82">
    <w:p>
      <w:pPr>
        <w:pStyle w:val="FootnoteText"/>
      </w:pPr>
      <w:r>
        <w:rPr>
          <w:rStyle w:val="FootnoteReference"/>
        </w:rPr>
        <w:footnoteRef/>
      </w:r>
      <w:r>
        <w:t xml:space="preserve"> </w:t>
      </w:r>
      <w:r>
        <w:t xml:space="preserve">The full results of the 12 clusters model can be consulted</w:t>
      </w:r>
      <w:r>
        <w:t xml:space="preserve"> </w:t>
      </w:r>
      <w:hyperlink r:id="rId83">
        <w:r>
          <w:rPr>
            <w:rStyle w:val="Hyperlink"/>
          </w:rPr>
          <w:t xml:space="preserve">here</w:t>
        </w:r>
      </w:hyperlink>
      <w:r>
        <w:t xml:space="preserve"> </w:t>
      </w:r>
      <w:r>
        <w:t xml:space="preserve">(https://jeylal.github.io/selects1999results/)</w:t>
      </w:r>
    </w:p>
  </w:footnote>
  <w:footnote w:id="84">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11">
    <w:nsid w:val="A993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18" Target="media/rId118.png" /><Relationship Type="http://schemas.openxmlformats.org/officeDocument/2006/relationships/image" Id="rId114" Target="media/rId114.png" /><Relationship Type="http://schemas.openxmlformats.org/officeDocument/2006/relationships/image" Id="rId127" Target="media/rId127.png"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image" Id="rId98" Target="media/rId98.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89" Target="media/rId89.png" /><Relationship Type="http://schemas.openxmlformats.org/officeDocument/2006/relationships/image" Id="rId71" Target="media/rId71.png" /><Relationship Type="http://schemas.openxmlformats.org/officeDocument/2006/relationships/hyperlink" Id="rId201" Target="http://gen.lib.rus.ec/book/index.php?md5=672bb6ec977ceddc83c745ffc8db0022" TargetMode="External" /><Relationship Type="http://schemas.openxmlformats.org/officeDocument/2006/relationships/hyperlink" Id="rId257" Target="http://gen.lib.rus.ec/book/index.php?md5=DC2AFED8958B9AE0932FFEFEAB45546C" TargetMode="External" /><Relationship Type="http://schemas.openxmlformats.org/officeDocument/2006/relationships/hyperlink" Id="rId157" Target="http://gen.lib.rus.ec/book/index.php?md5=ee123095cfe9fb8d6bcd03d6579a0705" TargetMode="External" /><Relationship Type="http://schemas.openxmlformats.org/officeDocument/2006/relationships/hyperlink" Id="rId280" Target="https://archive-ouverte.unige.ch/unige:14538" TargetMode="External" /><Relationship Type="http://schemas.openxmlformats.org/officeDocument/2006/relationships/hyperlink" Id="rId219" Target="https://archive-ouverte.unige.ch/unige:83364" TargetMode="External" /><Relationship Type="http://schemas.openxmlformats.org/officeDocument/2006/relationships/hyperlink" Id="rId162" Target="https://doi.org/10.1002/j.1662-6370.1997.tb00198.x" TargetMode="External" /><Relationship Type="http://schemas.openxmlformats.org/officeDocument/2006/relationships/hyperlink" Id="rId246" Target="https://doi.org/10.1002/j.1662-6370.2010.tb00433.x" TargetMode="External" /><Relationship Type="http://schemas.openxmlformats.org/officeDocument/2006/relationships/hyperlink" Id="rId205" Target="https://doi.org/10.1017/CBO9780511790720" TargetMode="External" /><Relationship Type="http://schemas.openxmlformats.org/officeDocument/2006/relationships/hyperlink" Id="rId231" Target="https://doi.org/10.1017/S0143814X98000129" TargetMode="External" /><Relationship Type="http://schemas.openxmlformats.org/officeDocument/2006/relationships/hyperlink" Id="rId270" Target="https://doi.org/10.1017/S1755773913000246" TargetMode="External" /><Relationship Type="http://schemas.openxmlformats.org/officeDocument/2006/relationships/hyperlink" Id="rId239" Target="https://doi.org/10.1057/9780230504592" TargetMode="External" /><Relationship Type="http://schemas.openxmlformats.org/officeDocument/2006/relationships/hyperlink" Id="rId142" Target="https://doi.org/10.1080/09692290.2021.1913440" TargetMode="External" /><Relationship Type="http://schemas.openxmlformats.org/officeDocument/2006/relationships/hyperlink" Id="rId229" Target="https://doi.org/10.1080/10705510701575396" TargetMode="External" /><Relationship Type="http://schemas.openxmlformats.org/officeDocument/2006/relationships/hyperlink" Id="rId214" Target="https://doi.org/10.1080/1350176032000059053" TargetMode="External" /><Relationship Type="http://schemas.openxmlformats.org/officeDocument/2006/relationships/hyperlink" Id="rId186" Target="https://doi.org/10.1080/13501763.2017.1310279" TargetMode="External" /><Relationship Type="http://schemas.openxmlformats.org/officeDocument/2006/relationships/hyperlink" Id="rId152" Target="https://doi.org/10.1080/13563467.2023.2215701" TargetMode="External" /><Relationship Type="http://schemas.openxmlformats.org/officeDocument/2006/relationships/hyperlink" Id="rId243" Target="https://doi.org/10.1080/14616690701846946" TargetMode="External" /><Relationship Type="http://schemas.openxmlformats.org/officeDocument/2006/relationships/hyperlink" Id="rId137" Target="https://doi.org/10.1093/acprof:oso/9780198787815.001.0001" TargetMode="External" /><Relationship Type="http://schemas.openxmlformats.org/officeDocument/2006/relationships/hyperlink" Id="rId277" Target="https://doi.org/10.1093/pan/mpq025" TargetMode="External" /><Relationship Type="http://schemas.openxmlformats.org/officeDocument/2006/relationships/hyperlink" Id="rId177" Target="https://doi.org/10.1093/qje/qjab036" TargetMode="External" /><Relationship Type="http://schemas.openxmlformats.org/officeDocument/2006/relationships/hyperlink" Id="rId146" Target="https://doi.org/10.1093/ser/mwn018" TargetMode="External" /><Relationship Type="http://schemas.openxmlformats.org/officeDocument/2006/relationships/hyperlink" Id="rId248" Target="https://doi.org/10.1111/1475-6765.12259" TargetMode="External" /><Relationship Type="http://schemas.openxmlformats.org/officeDocument/2006/relationships/hyperlink" Id="rId282" Target="https://doi.org/10.1111/ajps.12743" TargetMode="External" /><Relationship Type="http://schemas.openxmlformats.org/officeDocument/2006/relationships/hyperlink" Id="rId203" Target="https://doi.org/10.1111/j.1475-6765.2006.00644.x" TargetMode="External" /><Relationship Type="http://schemas.openxmlformats.org/officeDocument/2006/relationships/hyperlink" Id="rId255" Target="https://doi.org/10.1111/spsr.12124" TargetMode="External" /><Relationship Type="http://schemas.openxmlformats.org/officeDocument/2006/relationships/hyperlink" Id="rId134" Target="https://doi.org/10.1177/002200947901400402" TargetMode="External" /><Relationship Type="http://schemas.openxmlformats.org/officeDocument/2006/relationships/hyperlink" Id="rId241" Target="https://doi.org/10.1177/0192512107088390" TargetMode="External" /><Relationship Type="http://schemas.openxmlformats.org/officeDocument/2006/relationships/hyperlink" Id="rId166" Target="https://doi.org/10.1177/026858091006004002" TargetMode="External" /><Relationship Type="http://schemas.openxmlformats.org/officeDocument/2006/relationships/hyperlink" Id="rId216" Target="https://doi.org/10.2202/1935-6226.1022" TargetMode="External" /><Relationship Type="http://schemas.openxmlformats.org/officeDocument/2006/relationships/hyperlink" Id="rId275" Target="https://doi.org/10.2202/1935-6226.1042" TargetMode="External" /><Relationship Type="http://schemas.openxmlformats.org/officeDocument/2006/relationships/hyperlink" Id="rId188" Target="https://doi.org/10.2307/1953494" TargetMode="External" /><Relationship Type="http://schemas.openxmlformats.org/officeDocument/2006/relationships/hyperlink" Id="rId208" Target="https://doi.org/10.2307/1954890" TargetMode="External" /><Relationship Type="http://schemas.openxmlformats.org/officeDocument/2006/relationships/hyperlink" Id="rId193" Target="https://doi.org/10.2307/1962590" TargetMode="External" /><Relationship Type="http://schemas.openxmlformats.org/officeDocument/2006/relationships/hyperlink" Id="rId190" Target="https://doi.org/10.2307/j.ctv346rbz" TargetMode="External" /><Relationship Type="http://schemas.openxmlformats.org/officeDocument/2006/relationships/hyperlink" Id="rId160" Target="https://doi.org/10.23662/FORS-DS-688-2" TargetMode="External" /><Relationship Type="http://schemas.openxmlformats.org/officeDocument/2006/relationships/hyperlink" Id="rId195" Target="https://doi.org/10.3917/infle.020.0183" TargetMode="External" /><Relationship Type="http://schemas.openxmlformats.org/officeDocument/2006/relationships/hyperlink" Id="rId268" Target="https://doi.org/10.3917/socio.103.0243" TargetMode="External" /><Relationship Type="http://schemas.openxmlformats.org/officeDocument/2006/relationships/hyperlink" Id="rId199" Target="https://doi.org/10.4000/histoirepolitique.7344" TargetMode="External" /><Relationship Type="http://schemas.openxmlformats.org/officeDocument/2006/relationships/hyperlink" Id="rId139" Target="https://doi.org/10.4000/regulation.20350" TargetMode="External" /><Relationship Type="http://schemas.openxmlformats.org/officeDocument/2006/relationships/hyperlink" Id="rId148" Target="https://doi.org/10.4337/9781782549925.00015" TargetMode="External" /><Relationship Type="http://schemas.openxmlformats.org/officeDocument/2006/relationships/hyperlink" Id="rId183" Target="https://doi.org/10.48573/9EX9-FP54" TargetMode="External" /><Relationship Type="http://schemas.openxmlformats.org/officeDocument/2006/relationships/hyperlink" Id="rId273" Target="https://doi.org/10.48573/PCBM-2280" TargetMode="External" /><Relationship Type="http://schemas.openxmlformats.org/officeDocument/2006/relationships/hyperlink" Id="rId155" Target="https://doi.org/10.5169/seals-515017" TargetMode="External" /><Relationship Type="http://schemas.openxmlformats.org/officeDocument/2006/relationships/hyperlink" Id="rId227" Target="https://hdr.undp.org/content/human-development-report-2021-22" TargetMode="External" /><Relationship Type="http://schemas.openxmlformats.org/officeDocument/2006/relationships/hyperlink" Id="rId164" Target="https://hls-dhs-dss.ch/articles/003626/2020-01-20/" TargetMode="External" /><Relationship Type="http://schemas.openxmlformats.org/officeDocument/2006/relationships/hyperlink" Id="rId266" Target="https://hls-dhs-dss.ch/articles/004635/2020-04-15/" TargetMode="External" /><Relationship Type="http://schemas.openxmlformats.org/officeDocument/2006/relationships/hyperlink" Id="rId264" Target="https://hls-dhs-dss.ch/articles/017389/2017-03-20/" TargetMode="External" /><Relationship Type="http://schemas.openxmlformats.org/officeDocument/2006/relationships/hyperlink" Id="rId171" Target="https://hls-dhs-dss.ch/articles/017393/2022-01-24/" TargetMode="External" /><Relationship Type="http://schemas.openxmlformats.org/officeDocument/2006/relationships/hyperlink" Id="rId225" Target="https://hls-dhs-dss.ch/articles/017397/2010-12-22/" TargetMode="External" /><Relationship Type="http://schemas.openxmlformats.org/officeDocument/2006/relationships/hyperlink" Id="rId83" Target="https://jeylal.github.io/selects1999results/" TargetMode="External" /><Relationship Type="http://schemas.openxmlformats.org/officeDocument/2006/relationships/hyperlink" Id="rId168" Target="https://oec.world/en/rankings/eci/hs6/hs96" TargetMode="External" /><Relationship Type="http://schemas.openxmlformats.org/officeDocument/2006/relationships/hyperlink" Id="rId173" Target="https://wid.world/wp-content/uploads/2021/03/WorldInequalityLab_WP2021_08_PoliticalCleavages_AustriaBelgiumNLSwitzerland.pdf" TargetMode="External" /><Relationship Type="http://schemas.openxmlformats.org/officeDocument/2006/relationships/hyperlink" Id="rId180" Target="https://www.avenir-suisse.ch/fr/7-bonnes-raisons-de-privatiser-lenergie/" TargetMode="External" /><Relationship Type="http://schemas.openxmlformats.org/officeDocument/2006/relationships/hyperlink" Id="rId262" Target="https://www.epflpress.org/produit/1421/9782889155279/politique-suisse" TargetMode="External" /><Relationship Type="http://schemas.openxmlformats.org/officeDocument/2006/relationships/hyperlink" Id="rId260" Target="https://www.jstor.org/stable/45344498" TargetMode="External" /><Relationship Type="http://schemas.openxmlformats.org/officeDocument/2006/relationships/hyperlink" Id="rId175" Target="https://www.letemps.ch/economie/gerhard-schwarz-une-suisse-neoliberale-cest-une-fake-news" TargetMode="External" /><Relationship Type="http://schemas.openxmlformats.org/officeDocument/2006/relationships/hyperlink" Id="rId233" Target="https://www.oecd-ilibrary.org/economics/oecd-economic-surveys-switzerland-1992_eco_surveys-che-1992-en" TargetMode="External" /><Relationship Type="http://schemas.openxmlformats.org/officeDocument/2006/relationships/hyperlink" Id="rId235" Target="https://www.oecd-ilibrary.org/economics/oecd-economic-surveys-switzerland-2019_7e6fd372-en" TargetMode="External" /><Relationship Type="http://schemas.openxmlformats.org/officeDocument/2006/relationships/hyperlink" Id="rId237"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201" Target="http://gen.lib.rus.ec/book/index.php?md5=672bb6ec977ceddc83c745ffc8db0022" TargetMode="External" /><Relationship Type="http://schemas.openxmlformats.org/officeDocument/2006/relationships/hyperlink" Id="rId257" Target="http://gen.lib.rus.ec/book/index.php?md5=DC2AFED8958B9AE0932FFEFEAB45546C" TargetMode="External" /><Relationship Type="http://schemas.openxmlformats.org/officeDocument/2006/relationships/hyperlink" Id="rId157" Target="http://gen.lib.rus.ec/book/index.php?md5=ee123095cfe9fb8d6bcd03d6579a0705" TargetMode="External" /><Relationship Type="http://schemas.openxmlformats.org/officeDocument/2006/relationships/hyperlink" Id="rId280" Target="https://archive-ouverte.unige.ch/unige:14538" TargetMode="External" /><Relationship Type="http://schemas.openxmlformats.org/officeDocument/2006/relationships/hyperlink" Id="rId219" Target="https://archive-ouverte.unige.ch/unige:83364" TargetMode="External" /><Relationship Type="http://schemas.openxmlformats.org/officeDocument/2006/relationships/hyperlink" Id="rId162" Target="https://doi.org/10.1002/j.1662-6370.1997.tb00198.x" TargetMode="External" /><Relationship Type="http://schemas.openxmlformats.org/officeDocument/2006/relationships/hyperlink" Id="rId246" Target="https://doi.org/10.1002/j.1662-6370.2010.tb00433.x" TargetMode="External" /><Relationship Type="http://schemas.openxmlformats.org/officeDocument/2006/relationships/hyperlink" Id="rId205" Target="https://doi.org/10.1017/CBO9780511790720" TargetMode="External" /><Relationship Type="http://schemas.openxmlformats.org/officeDocument/2006/relationships/hyperlink" Id="rId231" Target="https://doi.org/10.1017/S0143814X98000129" TargetMode="External" /><Relationship Type="http://schemas.openxmlformats.org/officeDocument/2006/relationships/hyperlink" Id="rId270" Target="https://doi.org/10.1017/S1755773913000246" TargetMode="External" /><Relationship Type="http://schemas.openxmlformats.org/officeDocument/2006/relationships/hyperlink" Id="rId239" Target="https://doi.org/10.1057/9780230504592" TargetMode="External" /><Relationship Type="http://schemas.openxmlformats.org/officeDocument/2006/relationships/hyperlink" Id="rId142" Target="https://doi.org/10.1080/09692290.2021.1913440" TargetMode="External" /><Relationship Type="http://schemas.openxmlformats.org/officeDocument/2006/relationships/hyperlink" Id="rId229" Target="https://doi.org/10.1080/10705510701575396" TargetMode="External" /><Relationship Type="http://schemas.openxmlformats.org/officeDocument/2006/relationships/hyperlink" Id="rId214" Target="https://doi.org/10.1080/1350176032000059053" TargetMode="External" /><Relationship Type="http://schemas.openxmlformats.org/officeDocument/2006/relationships/hyperlink" Id="rId186" Target="https://doi.org/10.1080/13501763.2017.1310279" TargetMode="External" /><Relationship Type="http://schemas.openxmlformats.org/officeDocument/2006/relationships/hyperlink" Id="rId152" Target="https://doi.org/10.1080/13563467.2023.2215701" TargetMode="External" /><Relationship Type="http://schemas.openxmlformats.org/officeDocument/2006/relationships/hyperlink" Id="rId243" Target="https://doi.org/10.1080/14616690701846946" TargetMode="External" /><Relationship Type="http://schemas.openxmlformats.org/officeDocument/2006/relationships/hyperlink" Id="rId137" Target="https://doi.org/10.1093/acprof:oso/9780198787815.001.0001" TargetMode="External" /><Relationship Type="http://schemas.openxmlformats.org/officeDocument/2006/relationships/hyperlink" Id="rId277" Target="https://doi.org/10.1093/pan/mpq025" TargetMode="External" /><Relationship Type="http://schemas.openxmlformats.org/officeDocument/2006/relationships/hyperlink" Id="rId177" Target="https://doi.org/10.1093/qje/qjab036" TargetMode="External" /><Relationship Type="http://schemas.openxmlformats.org/officeDocument/2006/relationships/hyperlink" Id="rId146" Target="https://doi.org/10.1093/ser/mwn018" TargetMode="External" /><Relationship Type="http://schemas.openxmlformats.org/officeDocument/2006/relationships/hyperlink" Id="rId248" Target="https://doi.org/10.1111/1475-6765.12259" TargetMode="External" /><Relationship Type="http://schemas.openxmlformats.org/officeDocument/2006/relationships/hyperlink" Id="rId282" Target="https://doi.org/10.1111/ajps.12743" TargetMode="External" /><Relationship Type="http://schemas.openxmlformats.org/officeDocument/2006/relationships/hyperlink" Id="rId203" Target="https://doi.org/10.1111/j.1475-6765.2006.00644.x" TargetMode="External" /><Relationship Type="http://schemas.openxmlformats.org/officeDocument/2006/relationships/hyperlink" Id="rId255" Target="https://doi.org/10.1111/spsr.12124" TargetMode="External" /><Relationship Type="http://schemas.openxmlformats.org/officeDocument/2006/relationships/hyperlink" Id="rId134" Target="https://doi.org/10.1177/002200947901400402" TargetMode="External" /><Relationship Type="http://schemas.openxmlformats.org/officeDocument/2006/relationships/hyperlink" Id="rId241" Target="https://doi.org/10.1177/0192512107088390" TargetMode="External" /><Relationship Type="http://schemas.openxmlformats.org/officeDocument/2006/relationships/hyperlink" Id="rId166" Target="https://doi.org/10.1177/026858091006004002" TargetMode="External" /><Relationship Type="http://schemas.openxmlformats.org/officeDocument/2006/relationships/hyperlink" Id="rId216" Target="https://doi.org/10.2202/1935-6226.1022" TargetMode="External" /><Relationship Type="http://schemas.openxmlformats.org/officeDocument/2006/relationships/hyperlink" Id="rId275" Target="https://doi.org/10.2202/1935-6226.1042" TargetMode="External" /><Relationship Type="http://schemas.openxmlformats.org/officeDocument/2006/relationships/hyperlink" Id="rId188" Target="https://doi.org/10.2307/1953494" TargetMode="External" /><Relationship Type="http://schemas.openxmlformats.org/officeDocument/2006/relationships/hyperlink" Id="rId208" Target="https://doi.org/10.2307/1954890" TargetMode="External" /><Relationship Type="http://schemas.openxmlformats.org/officeDocument/2006/relationships/hyperlink" Id="rId193" Target="https://doi.org/10.2307/1962590" TargetMode="External" /><Relationship Type="http://schemas.openxmlformats.org/officeDocument/2006/relationships/hyperlink" Id="rId190" Target="https://doi.org/10.2307/j.ctv346rbz" TargetMode="External" /><Relationship Type="http://schemas.openxmlformats.org/officeDocument/2006/relationships/hyperlink" Id="rId160" Target="https://doi.org/10.23662/FORS-DS-688-2" TargetMode="External" /><Relationship Type="http://schemas.openxmlformats.org/officeDocument/2006/relationships/hyperlink" Id="rId195" Target="https://doi.org/10.3917/infle.020.0183" TargetMode="External" /><Relationship Type="http://schemas.openxmlformats.org/officeDocument/2006/relationships/hyperlink" Id="rId268" Target="https://doi.org/10.3917/socio.103.0243" TargetMode="External" /><Relationship Type="http://schemas.openxmlformats.org/officeDocument/2006/relationships/hyperlink" Id="rId199" Target="https://doi.org/10.4000/histoirepolitique.7344" TargetMode="External" /><Relationship Type="http://schemas.openxmlformats.org/officeDocument/2006/relationships/hyperlink" Id="rId139" Target="https://doi.org/10.4000/regulation.20350" TargetMode="External" /><Relationship Type="http://schemas.openxmlformats.org/officeDocument/2006/relationships/hyperlink" Id="rId148" Target="https://doi.org/10.4337/9781782549925.00015" TargetMode="External" /><Relationship Type="http://schemas.openxmlformats.org/officeDocument/2006/relationships/hyperlink" Id="rId183" Target="https://doi.org/10.48573/9EX9-FP54" TargetMode="External" /><Relationship Type="http://schemas.openxmlformats.org/officeDocument/2006/relationships/hyperlink" Id="rId273" Target="https://doi.org/10.48573/PCBM-2280" TargetMode="External" /><Relationship Type="http://schemas.openxmlformats.org/officeDocument/2006/relationships/hyperlink" Id="rId155" Target="https://doi.org/10.5169/seals-515017" TargetMode="External" /><Relationship Type="http://schemas.openxmlformats.org/officeDocument/2006/relationships/hyperlink" Id="rId227" Target="https://hdr.undp.org/content/human-development-report-2021-22" TargetMode="External" /><Relationship Type="http://schemas.openxmlformats.org/officeDocument/2006/relationships/hyperlink" Id="rId164" Target="https://hls-dhs-dss.ch/articles/003626/2020-01-20/" TargetMode="External" /><Relationship Type="http://schemas.openxmlformats.org/officeDocument/2006/relationships/hyperlink" Id="rId266" Target="https://hls-dhs-dss.ch/articles/004635/2020-04-15/" TargetMode="External" /><Relationship Type="http://schemas.openxmlformats.org/officeDocument/2006/relationships/hyperlink" Id="rId264" Target="https://hls-dhs-dss.ch/articles/017389/2017-03-20/" TargetMode="External" /><Relationship Type="http://schemas.openxmlformats.org/officeDocument/2006/relationships/hyperlink" Id="rId171" Target="https://hls-dhs-dss.ch/articles/017393/2022-01-24/" TargetMode="External" /><Relationship Type="http://schemas.openxmlformats.org/officeDocument/2006/relationships/hyperlink" Id="rId225" Target="https://hls-dhs-dss.ch/articles/017397/2010-12-22/" TargetMode="External" /><Relationship Type="http://schemas.openxmlformats.org/officeDocument/2006/relationships/hyperlink" Id="rId83" Target="https://jeylal.github.io/selects1999results/" TargetMode="External" /><Relationship Type="http://schemas.openxmlformats.org/officeDocument/2006/relationships/hyperlink" Id="rId168" Target="https://oec.world/en/rankings/eci/hs6/hs96" TargetMode="External" /><Relationship Type="http://schemas.openxmlformats.org/officeDocument/2006/relationships/hyperlink" Id="rId173" Target="https://wid.world/wp-content/uploads/2021/03/WorldInequalityLab_WP2021_08_PoliticalCleavages_AustriaBelgiumNLSwitzerland.pdf" TargetMode="External" /><Relationship Type="http://schemas.openxmlformats.org/officeDocument/2006/relationships/hyperlink" Id="rId180" Target="https://www.avenir-suisse.ch/fr/7-bonnes-raisons-de-privatiser-lenergie/" TargetMode="External" /><Relationship Type="http://schemas.openxmlformats.org/officeDocument/2006/relationships/hyperlink" Id="rId262" Target="https://www.epflpress.org/produit/1421/9782889155279/politique-suisse" TargetMode="External" /><Relationship Type="http://schemas.openxmlformats.org/officeDocument/2006/relationships/hyperlink" Id="rId260" Target="https://www.jstor.org/stable/45344498" TargetMode="External" /><Relationship Type="http://schemas.openxmlformats.org/officeDocument/2006/relationships/hyperlink" Id="rId175" Target="https://www.letemps.ch/economie/gerhard-schwarz-une-suisse-neoliberale-cest-une-fake-news" TargetMode="External" /><Relationship Type="http://schemas.openxmlformats.org/officeDocument/2006/relationships/hyperlink" Id="rId233" Target="https://www.oecd-ilibrary.org/economics/oecd-economic-surveys-switzerland-1992_eco_surveys-che-1992-en" TargetMode="External" /><Relationship Type="http://schemas.openxmlformats.org/officeDocument/2006/relationships/hyperlink" Id="rId235" Target="https://www.oecd-ilibrary.org/economics/oecd-economic-surveys-switzerland-2019_7e6fd372-en" TargetMode="External" /><Relationship Type="http://schemas.openxmlformats.org/officeDocument/2006/relationships/hyperlink" Id="rId237"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2024-01-19T00:11:14Z</dcterms:created>
  <dcterms:modified xsi:type="dcterms:W3CDTF">2024-01-19T00:11:14Z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