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31.png" ContentType="image/png"/>
  <Override PartName="/word/media/rId127.png" ContentType="image/png"/>
  <Override PartName="/word/media/rId123.png" ContentType="image/png"/>
  <Override PartName="/word/media/rId136.png" ContentType="image/png"/>
  <Override PartName="/word/media/rId111.png" ContentType="image/png"/>
  <Override PartName="/word/media/rId107.png" ContentType="image/png"/>
  <Override PartName="/word/media/rId103.png" ContentType="image/png"/>
  <Override PartName="/word/media/rId27.png" ContentType="image/png"/>
  <Override PartName="/word/media/rId31.png" ContentType="image/png"/>
  <Override PartName="/word/media/rId62.png" ContentType="image/png"/>
  <Override PartName="/word/media/rId54.png" ContentType="image/png"/>
  <Override PartName="/word/media/rId58.png" ContentType="image/png"/>
  <Override PartName="/word/media/rId44.png" ContentType="image/png"/>
  <Override PartName="/word/media/rId48.png" ContentType="image/png"/>
  <Override PartName="/word/media/rId9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Political</w:t>
      </w:r>
      <w:r>
        <w:t xml:space="preserve"> </w:t>
      </w:r>
      <w:r>
        <w:t xml:space="preserve">Economy</w:t>
      </w:r>
      <w:r>
        <w:t xml:space="preserve"> </w:t>
      </w:r>
      <w:r>
        <w:t xml:space="preserve">of</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Blocs</w:t>
      </w:r>
      <w:r>
        <w:t xml:space="preserve"> </w:t>
      </w:r>
      <w:r>
        <w:t xml:space="preserve">in</w:t>
      </w:r>
      <w:r>
        <w:t xml:space="preserve"> </w:t>
      </w:r>
      <w:r>
        <w:t xml:space="preserve">Switzerland:</w:t>
      </w:r>
      <w:r>
        <w:t xml:space="preserve"> </w:t>
      </w:r>
      <w:r>
        <w:t xml:space="preserve">a</w:t>
      </w:r>
      <w:r>
        <w:t xml:space="preserve"> </w:t>
      </w:r>
      <w:r>
        <w:t xml:space="preserve">Neorealist</w:t>
      </w:r>
      <w:r>
        <w:t xml:space="preserve"> </w:t>
      </w:r>
      <w:r>
        <w:t xml:space="preserve">Approach</w:t>
      </w:r>
    </w:p>
    <w:p>
      <w:pPr>
        <w:pStyle w:val="Subtitle"/>
      </w:pPr>
      <w:r>
        <w:t xml:space="preserve">Master</w:t>
      </w:r>
      <w:r>
        <w:t xml:space="preserve"> </w:t>
      </w:r>
      <w:r>
        <w:t xml:space="preserve">in</w:t>
      </w:r>
      <w:r>
        <w:t xml:space="preserve"> </w:t>
      </w:r>
      <w:r>
        <w:t xml:space="preserve">the</w:t>
      </w:r>
      <w:r>
        <w:t xml:space="preserve"> </w:t>
      </w:r>
      <w:r>
        <w:t xml:space="preserve">Political</w:t>
      </w:r>
      <w:r>
        <w:t xml:space="preserve"> </w:t>
      </w:r>
      <w:r>
        <w:t xml:space="preserve">Economy</w:t>
      </w:r>
      <w:r>
        <w:t xml:space="preserve"> </w:t>
      </w:r>
      <w:r>
        <w:t xml:space="preserve">of</w:t>
      </w:r>
      <w:r>
        <w:t xml:space="preserve"> </w:t>
      </w:r>
      <w:r>
        <w:t xml:space="preserve">Capitalism,</w:t>
      </w:r>
      <w:r>
        <w:t xml:space="preserve"> </w:t>
      </w:r>
      <w:r>
        <w:t xml:space="preserve">University</w:t>
      </w:r>
      <w:r>
        <w:t xml:space="preserve"> </w:t>
      </w:r>
      <w:r>
        <w:t xml:space="preserve">of</w:t>
      </w:r>
      <w:r>
        <w:t xml:space="preserve"> </w:t>
      </w:r>
      <w:r>
        <w:t xml:space="preserve">Geneva</w:t>
      </w:r>
    </w:p>
    <w:p>
      <w:pPr>
        <w:pStyle w:val="Author"/>
      </w:pPr>
      <w:r>
        <w:t xml:space="preserve">Celâl</w:t>
      </w:r>
      <w:r>
        <w:t xml:space="preserve"> </w:t>
      </w:r>
      <w:r>
        <w:t xml:space="preserve">Güney</w:t>
      </w:r>
    </w:p>
    <w:p>
      <w:pPr>
        <w:pStyle w:val="Author"/>
      </w:pPr>
      <w:r>
        <w:t xml:space="preserve">Supervisor:</w:t>
      </w:r>
      <w:r>
        <w:t xml:space="preserve"> </w:t>
      </w:r>
      <w:r>
        <w:t xml:space="preserve">professor</w:t>
      </w:r>
      <w:r>
        <w:t xml:space="preserve"> </w:t>
      </w:r>
      <w:r>
        <w:t xml:space="preserve">Bruno</w:t>
      </w:r>
      <w:r>
        <w:t xml:space="preserve"> </w:t>
      </w:r>
      <w:r>
        <w:t xml:space="preserve">Amable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7" w:name="introduction"/>
    <w:p>
      <w:pPr>
        <w:pStyle w:val="Heading1"/>
      </w:pPr>
      <w:r>
        <w:t xml:space="preserve">1. Introduction</w:t>
      </w:r>
    </w:p>
    <w:bookmarkStart w:id="23"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 LME type of capitalism.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century,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(Garessus 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3"/>
    <w:bookmarkStart w:id="36"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The motivation behind this research question is to underline the socio-political conditions which drive the stability or transformation of any given socio-economic model. Neoliberal reforms are not the result of an inevitable evolution that imposes itself in a predestined manner on institutional change, and thus put restraints on political choices which will inevitably be constraint to implement the one best way prescribed by neoclassic theory. Rather, they are the result of a political strategy, which needs to rest on a sufficiently viable and sustainable social base.</w:t>
      </w:r>
    </w:p>
    <w:p>
      <w:pPr>
        <w:pStyle w:val="BodyText"/>
      </w:pPr>
      <w:r>
        <w:t xml:space="preserve">A way to answer this research question is thus to explore the relevant Swiss social blocs and assess the extent to which these blocs evolved under the influence of different factors: socio-economic characteristics, institutional dynamics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4"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differentiated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which predominates in mainstream Public Choice theories and in certain Marxist currents.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Political strategies thus aggregate socio-political groups into social blocs.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does not imply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4"/>
    <w:bookmarkStart w:id="35"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economic and political institutions.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5"/>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 In Lijphart’s framework, the success and stability of the Swiss model compared to France and Italy, which are relatively closer to the majoritarian model, would thus be explained by its political institutions favoring consensus, power-sharing, and compromises.</w:t>
      </w:r>
    </w:p>
    <w:p>
      <w:pPr>
        <w:pStyle w:val="BodyText"/>
      </w:pPr>
      <w:r>
        <w:t xml:space="preserve">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0" w:name="fig-trust1"/>
          <w:p>
            <w:pPr>
              <w:pStyle w:val="Compact"/>
              <w:jc w:val="center"/>
            </w:pPr>
            <w:r>
              <w:drawing>
                <wp:inline>
                  <wp:extent cx="4620126" cy="3696101"/>
                  <wp:effectExtent b="0" l="0" r="0" t="0"/>
                  <wp:docPr descr="" title="" id="28" name="Picture"/>
                  <a:graphic>
                    <a:graphicData uri="http://schemas.openxmlformats.org/drawingml/2006/picture">
                      <pic:pic>
                        <pic:nvPicPr>
                          <pic:cNvPr descr="intro_files/figure-docx/fig-trust1-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0"/>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very low level of trust. The persistence of political mistrust in government in Italy and France are reflections of the persistent political crisis in which these countries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2014b)</w:t>
      </w:r>
      <w:r>
        <w:t xml:space="preserve">.</w:t>
      </w:r>
    </w:p>
    <w:p>
      <w:pPr>
        <w:pStyle w:val="BodyText"/>
      </w:pPr>
      <w:r>
        <w:t xml:space="preserve">Since the break-up of the DSB in France and Italy, both countries experienced successive political strategies carrying a neoliberal agenda These strategies were first adopted by the right as way out of the political crisis and break-up of the DSB, but they failed due to the economic crisis and the difficulties to build a dominant social alliance which would start from a neoliberal core (executives, self-employed, small entrepreneurs etc) and be extended to other social groups. In France, Sarkozy’s strategy was to attract the support of private sector’s employees alongside the neoliberal core by implementing a reform of the labour market based on flexicurity. In Italy, Berlusconi’s strategy was to conciliate the neoliberal core with precarious classes by promising that neoliberal and supply side reforms would foster employment and growth. These two strategies were however greatly disrupted by the Great Recession, which marked the end of a neoliberal strategy carried by the right and based on a compromise between the neoliberal core and relatively more popular groups. The political strategy carried thereafter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 In Italy, it was the Monti government that sought to create this social alliance which exclude the bulk of popular classes</w:t>
      </w:r>
      <w:r>
        <w:t xml:space="preserve"> </w:t>
      </w:r>
      <w:r>
        <w:t xml:space="preserve">(Amable, Guillaud, and Palombarini 2012; Amable and Palombarini 2014a, 2018)</w:t>
      </w:r>
      <w:r>
        <w:t xml:space="preserve">.</w:t>
      </w:r>
    </w:p>
    <w:p>
      <w:pPr>
        <w:pStyle w:val="BodyText"/>
      </w:pPr>
      <w:r>
        <w:t xml:space="preserve">Going back to Switzerland, other data sources show a more contrasted picture of the country’s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offering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4" w:name="fig-trust2"/>
          <w:p>
            <w:pPr>
              <w:pStyle w:val="Compact"/>
              <w:jc w:val="center"/>
            </w:pPr>
            <w:r>
              <w:drawing>
                <wp:inline>
                  <wp:extent cx="4620126" cy="3696101"/>
                  <wp:effectExtent b="0" l="0" r="0" t="0"/>
                  <wp:docPr descr="" title="" id="32" name="Picture"/>
                  <a:graphic>
                    <a:graphicData uri="http://schemas.openxmlformats.org/drawingml/2006/picture">
                      <pic:pic>
                        <pic:nvPicPr>
                          <pic:cNvPr descr="intro_files/figure-docx/fig-trust2-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4"/>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that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Political observers and journalists like José Ribeaud or Pietro Boschetti generally associate the crisis of the 90s with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But the political crisis of the 90s was also the result of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party support, political leaning and cleavages using post-voting survey data such as VoxIt has never been done in the literature, one possible reason being that researchers tend to focus more on post-election survey data. Last, this research is the first to conduct an endogenous identification of Swiss socio-political groups through a latent class analysis using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5"/>
    <w:bookmarkEnd w:id="36"/>
    <w:bookmarkEnd w:id="37"/>
    <w:bookmarkStart w:id="101" w:name="Xe50ae872f7cbe6c73a06c5181548ddfc4a9759b"/>
    <w:p>
      <w:pPr>
        <w:pStyle w:val="Heading1"/>
      </w:pPr>
      <w:r>
        <w:t xml:space="preserve">2. Social blocs, structural factors and political divides in Switzerland</w:t>
      </w:r>
    </w:p>
    <w:bookmarkStart w:id="42"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strongly unitary and centralized state inspired by the French system and imposed by Napoleon. The unpopularity of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who took power in a majority of cantons. That period was characterized by a growing polarization between liberal and progressive groups in proto-industrialized and protestant cantons and those attached to the traditional models of the Catholic 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 It is particularly important to stress the heterogeneity of the Radical bloc, which contrasts with the its almost hegemonic domination over Swiss politics in the second half of the 20th century. For four decades (1848-1891), all seven seats of the federal council were held by Radicals despite growing contradictions within the bloc and an increasing opposition coming from the Catholic conservatives, who only gained their first government seat in 1891.</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8"/>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9"/>
      </w:r>
      <w:r>
        <w:t xml:space="preserve"> </w:t>
      </w:r>
      <w:r>
        <w:t xml:space="preserve">(1820-1879) and Johann Jakob Speiser (1813-1856), were opposed by liberal Radicals such as Alfred Escher</w:t>
      </w:r>
      <w:r>
        <w:rPr>
          <w:rStyle w:val="FootnoteReference"/>
        </w:rPr>
        <w:footnoteReference w:id="40"/>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disrupt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the Marxian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associations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social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considered to be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interests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 This bloc is hence bourgeois only because it gathers right-wing parties and business interest associations, a definition which is rather narrow and can be misleading since it does not take into account the social basis of the bloc. From a neorealist perspective, which seeks to identify the relevant dominant and dominated social blocs underpinning a given socio-economic model, a social bloc cannot be reduced to an alliance between political parties. More precisely, social blocs are</w:t>
      </w:r>
      <w:r>
        <w:t xml:space="preserve"> </w:t>
      </w:r>
      <w:r>
        <w:t xml:space="preserve">“</w:t>
      </w:r>
      <w:r>
        <w:t xml:space="preserve">alliances between socio-political groups united around a defined political strategy</w:t>
      </w:r>
      <w:r>
        <w:t xml:space="preserve">”</w:t>
      </w:r>
      <w:r>
        <w:t xml:space="preserve"> </w:t>
      </w:r>
      <w:r>
        <w:t xml:space="preserve">(Amable and Palombarini 2023, 3)</w:t>
      </w:r>
      <w:r>
        <w:t xml:space="preserve">. These socio-political groups are sets of agents expressing similar social demands, or policy expectations. Contrary to what has been recently argued by</w:t>
      </w:r>
      <w:r>
        <w:t xml:space="preserve"> </w:t>
      </w:r>
      <w:r>
        <w:t xml:space="preserve">May, Nölke, and Schedelik (2024)</w:t>
      </w:r>
      <w:r>
        <w:t xml:space="preserve">, the neorealist conception of social blocs is thus not strictly</w:t>
      </w:r>
      <w:r>
        <w:t xml:space="preserve"> </w:t>
      </w:r>
      <w:r>
        <w:t xml:space="preserve">“</w:t>
      </w:r>
      <w:r>
        <w:t xml:space="preserve">voter-based</w:t>
      </w:r>
      <w:r>
        <w:t xml:space="preserve">”</w:t>
      </w:r>
      <w:r>
        <w:t xml:space="preserve"> </w:t>
      </w:r>
      <w:r>
        <w:t xml:space="preserve">since social blocs are aggregations of different socio-political groups which are not confined to voters.</w:t>
      </w:r>
    </w:p>
    <w:p>
      <w:pPr>
        <w:pStyle w:val="BodyText"/>
      </w:pPr>
      <w:r>
        <w:t xml:space="preserve">In addition,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socio-political groups having strong bourgeois traits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abundant and important literature on the structural power of Swiss elites. According to studies from the sociology of elites’ perspective,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perspectives omit the importance for the Swiss socio-economic model to be supported by a social bloc composed of different socio-political groups united around a political strategy. The narrow conception of a Swiss DSB which would be limited to a political alliance between political parties and business associations must hence leave room to a more accurate investigation starting from the identification of the different Swiss socio-economic and socio-political groups, and the different political strategies which sought to aggregate the relevant socio-political groups into social blocs.</w:t>
      </w:r>
    </w:p>
    <w:p>
      <w:pPr>
        <w:pStyle w:val="BodyText"/>
      </w:pPr>
      <w:r>
        <w:t xml:space="preserve">Such an analysis, especially regarding the identification of Swiss socio-political groups, may prove delicate for 19th and 20th century Switzerland, due to the lack of good-quality individual survey data, which only began to be collected systematically and consistently from the 1990s onwards. Until the post-war period, the evolution of the Swiss social blocs could nonetheless be resumed as follows, based on short reconstruction of the Swiss social blocs eschewed above. From the middle to the late 19th century, the Radicals formed a dominant social bloc, which was strongly heterogeneous in terms of the socio-political and socio-economic groups gathered by its political strategy centered around the construction of a central state.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2008, 2010)</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asymmetrical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 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1"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1"/>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and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2"/>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which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had clearly a bourgeois composition since it is consistently supported by the most wealthy and educated groups since the post-war period. The PDC and the UDC cannot really be described as bourgeois parties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that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3"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3"/>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determinants in explaining the success of the radical right: the latter’s supporters being more likely to feel threatened by immigrant’s impact on their country’s culture rather than on their standard-of-living. Against the argument of the decline of class voting,</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w:t>
      </w:r>
      <w:r>
        <w:t xml:space="preserve"> </w:t>
      </w:r>
      <w:r>
        <w:t xml:space="preserve">(SELECTS) cumulative dataset 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in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7" w:name="fig-educ"/>
          <w:p>
            <w:pPr>
              <w:pStyle w:val="Compact"/>
              <w:jc w:val="center"/>
            </w:pPr>
            <w:r>
              <w:drawing>
                <wp:inline>
                  <wp:extent cx="4620126" cy="3696101"/>
                  <wp:effectExtent b="0" l="0" r="0" t="0"/>
                  <wp:docPr descr="" title="" id="45" name="Picture"/>
                  <a:graphic>
                    <a:graphicData uri="http://schemas.openxmlformats.org/drawingml/2006/picture">
                      <pic:pic>
                        <pic:nvPicPr>
                          <pic:cNvPr descr="part1_files/figure-docx/fig-educ-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7"/>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1" w:name="fig-inc"/>
          <w:p>
            <w:pPr>
              <w:pStyle w:val="Compact"/>
              <w:jc w:val="center"/>
            </w:pPr>
            <w:r>
              <w:drawing>
                <wp:inline>
                  <wp:extent cx="4620126" cy="3696101"/>
                  <wp:effectExtent b="0" l="0" r="0" t="0"/>
                  <wp:docPr descr="" title="" id="49" name="Picture"/>
                  <a:graphic>
                    <a:graphicData uri="http://schemas.openxmlformats.org/drawingml/2006/picture">
                      <pic:pic>
                        <pic:nvPicPr>
                          <pic:cNvPr descr="part1_files/figure-docx/fig-inc-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1"/>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2"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2"/>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3"/>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time periods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discrepancy between estimated proportions for party support and actual party strength during the national elections suggests that UDC’s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369610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shows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were a brahmin left party from 1981 to 2016.</w:t>
      </w:r>
    </w:p>
    <w:p>
      <w:pPr>
        <w:pStyle w:val="BodyText"/>
      </w:pPr>
      <w:r>
        <w:t xml:space="preserve">Third, the results show that the Swiss People’s Party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terminology).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most wealthy and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shows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shows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tends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tends to increase since in 2008-2012, but is not significant in 2012-2016. Regarding support for state intervention, the differences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PLR-PRD, but the latter seems to be gradually transforming into a merchant right composition since the beginning of the 2010s. The Greens’ supporters belong to the brahmin left since the 80s and there is no clear trend that the party evolved into a bourgeois party. Regarding the UDC, the latter used to be a merchant right party in the 80s, and evolved into a</w:t>
      </w:r>
      <w:r>
        <w:t xml:space="preserve"> </w:t>
      </w:r>
      <w:r>
        <w:t xml:space="preserve">“</w:t>
      </w:r>
      <w:r>
        <w:t xml:space="preserve">populist</w:t>
      </w:r>
      <w:r>
        <w:t xml:space="preserve">”</w:t>
      </w:r>
      <w:r>
        <w:t xml:space="preserve"> </w:t>
      </w:r>
      <w:r>
        <w:t xml:space="preserve">or, in Piketty’s terms, a</w:t>
      </w:r>
      <w:r>
        <w:t xml:space="preserve"> </w:t>
      </w:r>
      <w:r>
        <w:t xml:space="preserve">“</w:t>
      </w:r>
      <w:r>
        <w:t xml:space="preserve">nativist</w:t>
      </w:r>
      <w:r>
        <w:t xml:space="preserve">”</w:t>
      </w:r>
      <w:r>
        <w:t xml:space="preserve"> </w:t>
      </w:r>
      <w:r>
        <w:t xml:space="preserve">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Each canton has its own party system and some political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which defines socio-political groups endogenously from a set of policy preferences,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0"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goal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France’s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were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99"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0"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developed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was at this moment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BodyText"/>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UDC.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an anti-immigration and anti-European integration program. In that matter, the rejection by Swiss citizen of the adhesion to the European Economic Area in 1992 certainly marked the beginning of UDC’s fortunes,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addition to Hauser’s report, Jean-Pascal Delamuraz, Radical member of the Federal Council, asked a group of economists and businessmen to provide for clear reforms to fight against the crisis. This group, led by David de Pury, was constituted by neoliberal economists from Swiss universities, public administrations, and business managers from banks and multinational corporations, who developed a neoliberal discourse advocating the transformation of Swiss coordinated capitalism into a new neoliberal model.</w:t>
      </w:r>
    </w:p>
    <w:p>
      <w:pPr>
        <w:pStyle w:val="BodyText"/>
      </w:pPr>
      <w:r>
        <w:t xml:space="preserve">The reforms advocated by this first white book</w:t>
      </w:r>
      <w:r>
        <w:t xml:space="preserve"> </w:t>
      </w:r>
      <w:r>
        <w:t xml:space="preserve">(Leutwiler et al. 1991)</w:t>
      </w:r>
      <w:r>
        <w:t xml:space="preserve"> </w:t>
      </w:r>
      <w:r>
        <w:t xml:space="preserve">touched upon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were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7"/>
      </w:r>
      <w:r>
        <w:t xml:space="preserve">.</w:t>
      </w:r>
    </w:p>
    <w:p>
      <w:pPr>
        <w:pStyle w:val="BodyText"/>
      </w:pPr>
      <w:r>
        <w:t xml:space="preserve">Whereas the first White Paper generated little interest and debate in the Swiss public, the second one, published in 1995, became far more controversial. While recognizing the progress of the reforms undertaken by the revitalization program, the report recommended a stronger pursuit of the reforms: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enshrinement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 The authors of the white books, especially David de Pury, were also highly supportive of Switzerland’s membership to European Union. Europe integration was seen as</w:t>
      </w:r>
      <w:r>
        <w:t xml:space="preserve"> </w:t>
      </w:r>
      <w:r>
        <w:t xml:space="preserve">“</w:t>
      </w:r>
      <w:r>
        <w:t xml:space="preserve">a fortuitous opportunity for Switzerland to dismantle its structural rigidities</w:t>
      </w:r>
      <w:r>
        <w:t xml:space="preserve">”</w:t>
      </w:r>
      <w:r>
        <w:t xml:space="preserve">(Holzen 1991)</w:t>
      </w:r>
      <w:r>
        <w:t xml:space="preserve"> </w:t>
      </w:r>
      <w:r>
        <w:t xml:space="preserve">and to avoid that</w:t>
      </w:r>
      <w:r>
        <w:t xml:space="preserve"> </w:t>
      </w:r>
      <w:r>
        <w:t xml:space="preserve">“</w:t>
      </w:r>
      <w:r>
        <w:t xml:space="preserve">Switzerland becomes a cartel in the middle of Europe</w:t>
      </w:r>
      <w:r>
        <w:t xml:space="preserve">”</w:t>
      </w:r>
      <w:r>
        <w:t xml:space="preserve">(Krill and Brandt 1992)</w:t>
      </w:r>
      <w:r>
        <w:t xml:space="preserve">. The vision of European integration as a tool to promote neoliberal reforms was not shared at all by the UDC and Christophe Blocher, who, unlike De Pury, considered that European integration was a threat to the implementation of structural reforms in Switzerland</w:t>
      </w:r>
      <w:r>
        <w:t xml:space="preserve">(Zeller, Häberlin, and Schoch 1992)</w:t>
      </w:r>
      <w:r>
        <w:t xml:space="preserve">.</w:t>
      </w:r>
    </w:p>
    <w:bookmarkEnd w:id="78"/>
    <w:bookmarkStart w:id="79"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t xml:space="preserve">(J.-C. Rennwald 1998, 227, author’s translation)</w:t>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t xml:space="preserve">(J.-C. Rennwald 1998, 227, author’s translation)</w:t>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into detail the transformations described above, and also test their empirical validity using a innovative and detailed approach. By taking into account the multi-dimensionality of social conflict and political cleavages, this approach allows to endogenously define socio-political groups from a set of indicator variables related to policy preferences, issue positions and social cleavages.</w:t>
      </w:r>
    </w:p>
    <w:bookmarkEnd w:id="79"/>
    <w:bookmarkEnd w:id="80"/>
    <w:bookmarkStart w:id="82"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1"/>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Swiss Germans,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2"/>
    <w:bookmarkStart w:id="90"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6"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4" name="Picture"/>
                  <a:graphic>
                    <a:graphicData uri="http://schemas.openxmlformats.org/drawingml/2006/picture">
                      <pic:pic>
                        <pic:nvPicPr>
                          <pic:cNvPr descr="cltable.png" id="85" name="Picture"/>
                          <pic:cNvPicPr>
                            <a:picLocks noChangeArrowheads="1" noChangeAspect="1"/>
                          </pic:cNvPicPr>
                        </pic:nvPicPr>
                        <pic:blipFill>
                          <a:blip r:embed="rId83"/>
                          <a:stretch>
                            <a:fillRect/>
                          </a:stretch>
                        </pic:blipFill>
                        <pic:spPr bwMode="auto">
                          <a:xfrm>
                            <a:off x="0" y="0"/>
                            <a:ext cx="5334000" cy="4929391"/>
                          </a:xfrm>
                          <a:prstGeom prst="rect">
                            <a:avLst/>
                          </a:prstGeom>
                          <a:noFill/>
                          <a:ln w="9525">
                            <a:noFill/>
                            <a:headEnd/>
                            <a:tailEnd/>
                          </a:ln>
                        </pic:spPr>
                      </pic:pic>
                    </a:graphicData>
                  </a:graphic>
                </wp:inline>
              </w:drawing>
            </w:r>
          </w:p>
          <w:bookmarkEnd w:id="86"/>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7"/>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9"/>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0"/>
    <w:bookmarkStart w:id="93"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1"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1"/>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This cluster is, in terms of policy preferences, the closest to the neoliberal project advocated by the white books.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2"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2"/>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3"/>
    <w:bookmarkStart w:id="98"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7" w:name="fig-manifesto"/>
          <w:p>
            <w:pPr>
              <w:pStyle w:val="Compact"/>
              <w:jc w:val="center"/>
            </w:pPr>
            <w:r>
              <w:drawing>
                <wp:inline>
                  <wp:extent cx="5334000" cy="3556000"/>
                  <wp:effectExtent b="0" l="0" r="0" t="0"/>
                  <wp:docPr descr="" title="" id="95" name="Picture"/>
                  <a:graphic>
                    <a:graphicData uri="http://schemas.openxmlformats.org/drawingml/2006/picture">
                      <pic:pic>
                        <pic:nvPicPr>
                          <pic:cNvPr descr="part1_files/figure-docx/fig-manifesto-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7"/>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The limited size of the social basis supportive towards a bourgeois bloc strategy also explains why the white books were so badly received in the Swiss public opinion, and even among the PRD and PDC whose members thought that the program advocated by De Pury and coauthors was too radical. The press of the time underlined the malaise that the reports provoked among the Radicals split between those supportive towards the reports and those who criticized the program because of the lack of compromises with less affluent groups</w:t>
      </w:r>
      <w:r>
        <w:t xml:space="preserve"> </w:t>
      </w:r>
      <w:r>
        <w:t xml:space="preserve">(Carera 1993; Crevoisier 1996)</w:t>
      </w:r>
      <w:r>
        <w:t xml:space="preserve">. De Pury himself was aware that the bourgeois bloc strategy would fail because of the restricted size of its social basis. Despite some support in favour of his candidacy to replace Delamuraz’ seat in the Federal Council in 1998, de Pury announced that he did not want to govern a country that he felt was incapable to change and declared:</w:t>
      </w:r>
      <w:r>
        <w:t xml:space="preserve"> </w:t>
      </w:r>
      <w:r>
        <w:t xml:space="preserve">“</w:t>
      </w:r>
      <w:r>
        <w:t xml:space="preserve">I am in favour of profound changes in our country and, frankly, I don’t see them coming in the short term</w:t>
      </w:r>
      <w:r>
        <w:t xml:space="preserve">”</w:t>
      </w:r>
      <w:r>
        <w:t xml:space="preserve"> </w:t>
      </w:r>
      <w:r>
        <w:t xml:space="preserve">(</w:t>
      </w:r>
      <w:r>
        <w:t xml:space="preserve">“David de Pury Ne Veut Pas Diriger Une Suisse Qu’il Sent Incapable de Changer”</w:t>
      </w:r>
      <w:r>
        <w:t xml:space="preserve"> </w:t>
      </w:r>
      <w:r>
        <w:t xml:space="preserve">1998, author’s translation)</w:t>
      </w:r>
      <w:r>
        <w:t xml:space="preserve">.</w:t>
      </w:r>
    </w:p>
    <w:p>
      <w:pPr>
        <w:pStyle w:val="BodyText"/>
      </w:pPr>
      <w:r>
        <w:t xml:space="preserve">To sum up,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 of conservative neoliberalism.</w:t>
      </w:r>
    </w:p>
    <w:bookmarkEnd w:id="98"/>
    <w:bookmarkEnd w:id="99"/>
    <w:bookmarkEnd w:id="100"/>
    <w:bookmarkEnd w:id="101"/>
    <w:bookmarkStart w:id="102"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2"/>
    <w:bookmarkStart w:id="141"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6" w:name="fig-plotdescrparties"/>
          <w:p>
            <w:pPr>
              <w:pStyle w:val="Compact"/>
              <w:jc w:val="center"/>
            </w:pPr>
            <w:r>
              <w:drawing>
                <wp:inline>
                  <wp:extent cx="5334000" cy="2667000"/>
                  <wp:effectExtent b="0" l="0" r="0" t="0"/>
                  <wp:docPr descr="" title="" id="104" name="Picture"/>
                  <a:graphic>
                    <a:graphicData uri="http://schemas.openxmlformats.org/drawingml/2006/picture">
                      <pic:pic>
                        <pic:nvPicPr>
                          <pic:cNvPr descr="conclusion_appendix_files/figure-docx/fig-plotdescrparties-1.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6"/>
        </w:tc>
      </w:tr>
    </w:tbl>
    <w:tbl>
      <w:tblPr>
        <w:tblStyle w:val="Table"/>
        <w:tblW w:type="pct" w:w="5000"/>
        <w:tblLook w:firstRow="0" w:lastRow="0" w:firstColumn="0" w:lastColumn="0" w:noHBand="0" w:noVBand="0" w:val="0000"/>
        <w:jc w:val="start"/>
        <w:tblLayout w:type="fixed"/>
      </w:tblPr>
      <w:tblGrid>
        <w:gridCol w:w="7920"/>
      </w:tblGrid>
      <w:tr>
        <w:tc>
          <w:tcPr/>
          <w:bookmarkStart w:id="110" w:name="fig-plotdescrleaning"/>
          <w:p>
            <w:pPr>
              <w:pStyle w:val="Compact"/>
              <w:jc w:val="center"/>
            </w:pPr>
            <w:r>
              <w:drawing>
                <wp:inline>
                  <wp:extent cx="4620126" cy="3696101"/>
                  <wp:effectExtent b="0" l="0" r="0" t="0"/>
                  <wp:docPr descr="" title="" id="108" name="Picture"/>
                  <a:graphic>
                    <a:graphicData uri="http://schemas.openxmlformats.org/drawingml/2006/picture">
                      <pic:pic>
                        <pic:nvPicPr>
                          <pic:cNvPr descr="conclusion_appendix_files/figure-docx/fig-plotdescrleanin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0"/>
        </w:tc>
      </w:tr>
    </w:tbl>
    <w:tbl>
      <w:tblPr>
        <w:tblStyle w:val="Table"/>
        <w:tblW w:type="pct" w:w="5000"/>
        <w:tblLook w:firstRow="0" w:lastRow="0" w:firstColumn="0" w:lastColumn="0" w:noHBand="0" w:noVBand="0" w:val="0000"/>
        <w:jc w:val="start"/>
        <w:tblLayout w:type="fixed"/>
      </w:tblPr>
      <w:tblGrid>
        <w:gridCol w:w="7920"/>
      </w:tblGrid>
      <w:tr>
        <w:tc>
          <w:tcPr/>
          <w:bookmarkStart w:id="114" w:name="fig-plotdescrIP"/>
          <w:p>
            <w:pPr>
              <w:pStyle w:val="Compact"/>
              <w:jc w:val="center"/>
            </w:pPr>
            <w:r>
              <w:drawing>
                <wp:inline>
                  <wp:extent cx="5334000" cy="2667000"/>
                  <wp:effectExtent b="0" l="0" r="0" t="0"/>
                  <wp:docPr descr="" title="" id="112" name="Picture"/>
                  <a:graphic>
                    <a:graphicData uri="http://schemas.openxmlformats.org/drawingml/2006/picture">
                      <pic:pic>
                        <pic:nvPicPr>
                          <pic:cNvPr descr="conclusion_appendix_files/figure-docx/fig-plotdescrIP-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4"/>
        </w:tc>
      </w:tr>
    </w:tbl>
    <w:tbl>
      <w:tblPr>
        <w:tblStyle w:val="Table"/>
        <w:tblW w:type="pct" w:w="5000"/>
        <w:tblLook w:firstRow="0" w:lastRow="0" w:firstColumn="0" w:lastColumn="0" w:noHBand="0" w:noVBand="0" w:val="0000"/>
        <w:jc w:val="start"/>
        <w:tblLayout w:type="fixed"/>
      </w:tblPr>
      <w:tblGrid>
        <w:gridCol w:w="7920"/>
      </w:tblGrid>
      <w:tr>
        <w:tc>
          <w:tcPr/>
          <w:bookmarkStart w:id="116"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5">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IP"/>
          <w:p>
            <w:pPr>
              <w:jc w:val="center"/>
            </w:pPr>
            <w:pPr>
              <w:jc w:val="start"/>
              <w:spacing w:before="200"/>
              <w:pStyle w:val="ImageCaption"/>
            </w:pPr>
            <w:r>
              <w:t xml:space="preserve">Table 4.4: Binary logit regressions: issue position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6" w:name="fig-glmerameparties"/>
          <w:p>
            <w:pPr>
              <w:pStyle w:val="Compact"/>
              <w:jc w:val="center"/>
            </w:pPr>
            <w:r>
              <w:drawing>
                <wp:inline>
                  <wp:extent cx="4620126" cy="6468176"/>
                  <wp:effectExtent b="0" l="0" r="0" t="0"/>
                  <wp:docPr descr="" title="" id="124" name="Picture"/>
                  <a:graphic>
                    <a:graphicData uri="http://schemas.openxmlformats.org/drawingml/2006/picture">
                      <pic:pic>
                        <pic:nvPicPr>
                          <pic:cNvPr descr="conclusion_appendix_files/figure-docx/fig-glmerameparties-1.png" id="125" name="Picture"/>
                          <pic:cNvPicPr>
                            <a:picLocks noChangeArrowheads="1" noChangeAspect="1"/>
                          </pic:cNvPicPr>
                        </pic:nvPicPr>
                        <pic:blipFill>
                          <a:blip r:embed="rId123"/>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6"/>
        </w:tc>
      </w:tr>
    </w:tbl>
    <w:tbl>
      <w:tblPr>
        <w:tblStyle w:val="Table"/>
        <w:tblW w:type="pct" w:w="5000"/>
        <w:tblLook w:firstRow="0" w:lastRow="0" w:firstColumn="0" w:lastColumn="0" w:noHBand="0" w:noVBand="0" w:val="0000"/>
        <w:jc w:val="start"/>
        <w:tblLayout w:type="fixed"/>
      </w:tblPr>
      <w:tblGrid>
        <w:gridCol w:w="7920"/>
      </w:tblGrid>
      <w:tr>
        <w:tc>
          <w:tcPr/>
          <w:bookmarkStart w:id="130" w:name="fig-glmerameleaning"/>
          <w:p>
            <w:pPr>
              <w:pStyle w:val="Compact"/>
              <w:jc w:val="center"/>
            </w:pPr>
            <w:r>
              <w:drawing>
                <wp:inline>
                  <wp:extent cx="4620126" cy="3696101"/>
                  <wp:effectExtent b="0" l="0" r="0" t="0"/>
                  <wp:docPr descr="" title="" id="128" name="Picture"/>
                  <a:graphic>
                    <a:graphicData uri="http://schemas.openxmlformats.org/drawingml/2006/picture">
                      <pic:pic>
                        <pic:nvPicPr>
                          <pic:cNvPr descr="conclusion_appendix_files/figure-docx/fig-glmerameleaning-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0"/>
        </w:tc>
      </w:tr>
    </w:tbl>
    <w:tbl>
      <w:tblPr>
        <w:tblStyle w:val="Table"/>
        <w:tblW w:type="pct" w:w="5000"/>
        <w:tblLook w:firstRow="0" w:lastRow="0" w:firstColumn="0" w:lastColumn="0" w:noHBand="0" w:noVBand="0" w:val="0000"/>
        <w:jc w:val="start"/>
        <w:tblLayout w:type="fixed"/>
      </w:tblPr>
      <w:tblGrid>
        <w:gridCol w:w="7920"/>
      </w:tblGrid>
      <w:tr>
        <w:tc>
          <w:tcPr/>
          <w:bookmarkStart w:id="134" w:name="fig-glmerameIP"/>
          <w:p>
            <w:pPr>
              <w:pStyle w:val="Compact"/>
              <w:jc w:val="center"/>
            </w:pPr>
            <w:r>
              <w:drawing>
                <wp:inline>
                  <wp:extent cx="4620126" cy="3696101"/>
                  <wp:effectExtent b="0" l="0" r="0" t="0"/>
                  <wp:docPr descr="" title="" id="132" name="Picture"/>
                  <a:graphic>
                    <a:graphicData uri="http://schemas.openxmlformats.org/drawingml/2006/picture">
                      <pic:pic>
                        <pic:nvPicPr>
                          <pic:cNvPr descr="conclusion_appendix_files/figure-docx/fig-glmerameIP-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4"/>
        </w:tc>
      </w:tr>
    </w:tbl>
    <w:tbl>
      <w:tblPr>
        <w:tblStyle w:val="Table"/>
        <w:tblW w:type="pct" w:w="5000"/>
        <w:tblLook w:firstRow="0" w:lastRow="0" w:firstColumn="0" w:lastColumn="0" w:noHBand="0" w:noVBand="0" w:val="0000"/>
        <w:jc w:val="start"/>
        <w:tblLayout w:type="fixed"/>
      </w:tblPr>
      <w:tblGrid>
        <w:gridCol w:w="7920"/>
      </w:tblGrid>
      <w:tr>
        <w:tc>
          <w:tcPr/>
          <w:bookmarkStart w:id="135"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9" w:name="fig-lcaindicators"/>
          <w:p>
            <w:pPr>
              <w:pStyle w:val="Compact"/>
              <w:jc w:val="center"/>
            </w:pPr>
            <w:r>
              <w:drawing>
                <wp:inline>
                  <wp:extent cx="5334000" cy="1939636"/>
                  <wp:effectExtent b="0" l="0" r="0" t="0"/>
                  <wp:docPr descr="" title="" id="137" name="Picture"/>
                  <a:graphic>
                    <a:graphicData uri="http://schemas.openxmlformats.org/drawingml/2006/picture">
                      <pic:pic>
                        <pic:nvPicPr>
                          <pic:cNvPr descr="conclusion_appendix_files/figure-docx/fig-lcaindicators-1.png" id="138" name="Picture"/>
                          <pic:cNvPicPr>
                            <a:picLocks noChangeArrowheads="1" noChangeAspect="1"/>
                          </pic:cNvPicPr>
                        </pic:nvPicPr>
                        <pic:blipFill>
                          <a:blip r:embed="rId136"/>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39"/>
        </w:tc>
      </w:tr>
    </w:tbl>
    <w:tbl>
      <w:tblPr>
        <w:tblStyle w:val="Table"/>
        <w:tblW w:type="pct" w:w="5000"/>
        <w:tblLook w:firstRow="0" w:lastRow="0" w:firstColumn="0" w:lastColumn="0" w:noHBand="0" w:noVBand="0" w:val="0000"/>
        <w:jc w:val="start"/>
        <w:tblLayout w:type="fixed"/>
      </w:tblPr>
      <w:tblGrid>
        <w:gridCol w:w="7920"/>
      </w:tblGrid>
      <w:tr>
        <w:tc>
          <w:tcPr/>
          <w:bookmarkStart w:id="140"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0"/>
        </w:tc>
      </w:tr>
    </w:tbl>
    <w:bookmarkEnd w:id="141"/>
    <w:bookmarkStart w:id="333" w:name="references"/>
    <w:p>
      <w:pPr>
        <w:pStyle w:val="Heading1"/>
      </w:pPr>
      <w:r>
        <w:t xml:space="preserve">References</w:t>
      </w:r>
    </w:p>
    <w:bookmarkStart w:id="332" w:name="refs"/>
    <w:bookmarkStart w:id="142"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2"/>
    <w:bookmarkStart w:id="144"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3">
        <w:r>
          <w:rPr>
            <w:rStyle w:val="Hyperlink"/>
          </w:rPr>
          <w:t xml:space="preserve">https://doi.org/10.1177/002200947901400402</w:t>
        </w:r>
      </w:hyperlink>
      <w:r>
        <w:t xml:space="preserve">.</w:t>
      </w:r>
    </w:p>
    <w:bookmarkEnd w:id="144"/>
    <w:bookmarkStart w:id="145"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5"/>
    <w:bookmarkStart w:id="147"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6">
        <w:r>
          <w:rPr>
            <w:rStyle w:val="Hyperlink"/>
          </w:rPr>
          <w:t xml:space="preserve">https://doi.org/10.1017/S1744137415000211</w:t>
        </w:r>
      </w:hyperlink>
      <w:r>
        <w:t xml:space="preserve">.</w:t>
      </w:r>
    </w:p>
    <w:bookmarkEnd w:id="147"/>
    <w:bookmarkStart w:id="149"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8">
        <w:r>
          <w:rPr>
            <w:rStyle w:val="Hyperlink"/>
          </w:rPr>
          <w:t xml:space="preserve">https://doi.org/10.1093/acprof:oso/9780198787815.001.0001</w:t>
        </w:r>
      </w:hyperlink>
      <w:r>
        <w:t xml:space="preserve">.</w:t>
      </w:r>
    </w:p>
    <w:bookmarkEnd w:id="149"/>
    <w:bookmarkStart w:id="151"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0">
        <w:r>
          <w:rPr>
            <w:rStyle w:val="Hyperlink"/>
          </w:rPr>
          <w:t xml:space="preserve">https://doi.org/10.4000/regulation.20350</w:t>
        </w:r>
      </w:hyperlink>
      <w:r>
        <w:t xml:space="preserve">.</w:t>
      </w:r>
    </w:p>
    <w:bookmarkEnd w:id="151"/>
    <w:bookmarkStart w:id="153"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2">
        <w:r>
          <w:rPr>
            <w:rStyle w:val="Hyperlink"/>
          </w:rPr>
          <w:t xml:space="preserve">https://archive-ouverte.unige.ch/unige:172056</w:t>
        </w:r>
      </w:hyperlink>
      <w:r>
        <w:t xml:space="preserve">.</w:t>
      </w:r>
    </w:p>
    <w:bookmarkEnd w:id="153"/>
    <w:bookmarkStart w:id="154"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4"/>
    <w:bookmarkStart w:id="156"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5">
        <w:r>
          <w:rPr>
            <w:rStyle w:val="Hyperlink"/>
          </w:rPr>
          <w:t xml:space="preserve">https://doi.org/10.1080/09692290.2021.1913440</w:t>
        </w:r>
      </w:hyperlink>
      <w:r>
        <w:t xml:space="preserve">.</w:t>
      </w:r>
    </w:p>
    <w:bookmarkEnd w:id="156"/>
    <w:bookmarkStart w:id="157"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7"/>
    <w:bookmarkStart w:id="158"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8"/>
    <w:bookmarkStart w:id="160"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9">
        <w:r>
          <w:rPr>
            <w:rStyle w:val="Hyperlink"/>
          </w:rPr>
          <w:t xml:space="preserve">https://doi.org/10.1093/ser/mwn018</w:t>
        </w:r>
      </w:hyperlink>
      <w:r>
        <w:t xml:space="preserve">.</w:t>
      </w:r>
    </w:p>
    <w:bookmarkEnd w:id="160"/>
    <w:bookmarkStart w:id="161" w:name="ref-amable_bloc_2014"/>
    <w:p>
      <w:pPr>
        <w:pStyle w:val="Bibliography"/>
      </w:pPr>
      <w:r>
        <w:t xml:space="preserve">———. 2014a.</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Edward Elgar.</w:t>
      </w:r>
    </w:p>
    <w:bookmarkEnd w:id="161"/>
    <w:bookmarkStart w:id="163" w:name="ref-magara_bloc_2014"/>
    <w:p>
      <w:pPr>
        <w:pStyle w:val="Bibliography"/>
      </w:pPr>
      <w:r>
        <w:t xml:space="preserve">———. 2014b.</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2">
        <w:r>
          <w:rPr>
            <w:rStyle w:val="Hyperlink"/>
          </w:rPr>
          <w:t xml:space="preserve">https://doi.org/10.4337/9781782549925.00015</w:t>
        </w:r>
      </w:hyperlink>
      <w:r>
        <w:t xml:space="preserve">.</w:t>
      </w:r>
    </w:p>
    <w:bookmarkEnd w:id="163"/>
    <w:bookmarkStart w:id="164"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4"/>
    <w:bookmarkStart w:id="165" w:name="ref-amable_ou_2022"/>
    <w:p>
      <w:pPr>
        <w:pStyle w:val="Bibliography"/>
      </w:pPr>
      <w:r>
        <w:t xml:space="preserve">———. 2022.</w:t>
      </w:r>
      <w:r>
        <w:t xml:space="preserve"> </w:t>
      </w:r>
      <w:r>
        <w:rPr>
          <w:iCs/>
          <w:i/>
        </w:rPr>
        <w:t xml:space="preserve">Où Va Le Bloc Bourgeois ?</w:t>
      </w:r>
      <w:r>
        <w:t xml:space="preserve"> Paris: La Dispute.</w:t>
      </w:r>
    </w:p>
    <w:bookmarkEnd w:id="165"/>
    <w:bookmarkStart w:id="167"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6">
        <w:r>
          <w:rPr>
            <w:rStyle w:val="Hyperlink"/>
          </w:rPr>
          <w:t xml:space="preserve">https://doi.org/10.1080/13563467.2023.2215701</w:t>
        </w:r>
      </w:hyperlink>
      <w:r>
        <w:t xml:space="preserve">.</w:t>
      </w:r>
    </w:p>
    <w:bookmarkEnd w:id="167"/>
    <w:bookmarkStart w:id="169"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8">
        <w:r>
          <w:rPr>
            <w:rStyle w:val="Hyperlink"/>
          </w:rPr>
          <w:t xml:space="preserve">https://marginaleffects.com/</w:t>
        </w:r>
      </w:hyperlink>
      <w:r>
        <w:t xml:space="preserve">.</w:t>
      </w:r>
    </w:p>
    <w:bookmarkEnd w:id="169"/>
    <w:bookmarkStart w:id="170"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0"/>
    <w:bookmarkStart w:id="172"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1">
        <w:r>
          <w:rPr>
            <w:rStyle w:val="Hyperlink"/>
          </w:rPr>
          <w:t xml:space="preserve">https://doi.org/10.5169/seals-515017</w:t>
        </w:r>
      </w:hyperlink>
      <w:r>
        <w:t xml:space="preserve">.</w:t>
      </w:r>
    </w:p>
    <w:bookmarkEnd w:id="172"/>
    <w:bookmarkStart w:id="173" w:name="ref-bonvin_manuel_2015"/>
    <w:p>
      <w:pPr>
        <w:pStyle w:val="Bibliography"/>
      </w:pPr>
      <w:r>
        <w:t xml:space="preserve">Bonvin, Jean-Michel, Pierre Gobet, Stéphane Rossini, and Jean-Pierre Tabin. 2015.</w:t>
      </w:r>
      <w:r>
        <w:t xml:space="preserve"> </w:t>
      </w:r>
      <w:r>
        <w:rPr>
          <w:iCs/>
          <w:i/>
        </w:rPr>
        <w:t xml:space="preserve">Manuel de Politique Sociale</w:t>
      </w:r>
      <w:r>
        <w:t xml:space="preserve">. 2nd ed.</w:t>
      </w:r>
      <w:r>
        <w:t xml:space="preserve"> </w:t>
      </w:r>
      <w:r>
        <w:t xml:space="preserve">ESSP</w:t>
      </w:r>
      <w:r>
        <w:t xml:space="preserve">.</w:t>
      </w:r>
    </w:p>
    <w:bookmarkEnd w:id="173"/>
    <w:bookmarkStart w:id="175"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4">
        <w:r>
          <w:rPr>
            <w:rStyle w:val="Hyperlink"/>
          </w:rPr>
          <w:t xml:space="preserve">http://gen.lib.rus.ec/book/index.php?md5=ee123095cfe9fb8d6bcd03d6579a0705</w:t>
        </w:r>
      </w:hyperlink>
      <w:r>
        <w:t xml:space="preserve">.</w:t>
      </w:r>
    </w:p>
    <w:bookmarkEnd w:id="175"/>
    <w:bookmarkStart w:id="176"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6"/>
    <w:bookmarkStart w:id="178"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7">
        <w:r>
          <w:rPr>
            <w:rStyle w:val="Hyperlink"/>
          </w:rPr>
          <w:t xml:space="preserve">https://doi.org/10.23662/FORS-DS-688-2</w:t>
        </w:r>
      </w:hyperlink>
      <w:r>
        <w:t xml:space="preserve">.</w:t>
      </w:r>
    </w:p>
    <w:bookmarkEnd w:id="178"/>
    <w:bookmarkStart w:id="180"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9">
        <w:r>
          <w:rPr>
            <w:rStyle w:val="Hyperlink"/>
          </w:rPr>
          <w:t xml:space="preserve">https://doi.org/10.1002/j.1662-6370.1997.tb00198.x</w:t>
        </w:r>
      </w:hyperlink>
      <w:r>
        <w:t xml:space="preserve">.</w:t>
      </w:r>
    </w:p>
    <w:bookmarkEnd w:id="180"/>
    <w:bookmarkStart w:id="182"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1">
        <w:r>
          <w:rPr>
            <w:rStyle w:val="Hyperlink"/>
          </w:rPr>
          <w:t xml:space="preserve">https://doi.org/10.1080/14616696.2012.709531</w:t>
        </w:r>
      </w:hyperlink>
      <w:r>
        <w:t xml:space="preserve">.</w:t>
      </w:r>
    </w:p>
    <w:bookmarkEnd w:id="182"/>
    <w:bookmarkStart w:id="184"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3">
        <w:r>
          <w:rPr>
            <w:rStyle w:val="Hyperlink"/>
          </w:rPr>
          <w:t xml:space="preserve">https://hls-dhs-dss.ch/articles/003626/2020-01-20/</w:t>
        </w:r>
      </w:hyperlink>
      <w:r>
        <w:t xml:space="preserve">.</w:t>
      </w:r>
    </w:p>
    <w:bookmarkEnd w:id="184"/>
    <w:bookmarkStart w:id="186" w:name="ref-carera_les_1993"/>
    <w:p>
      <w:pPr>
        <w:pStyle w:val="Bibliography"/>
      </w:pPr>
      <w:r>
        <w:t xml:space="preserve">Carera, Mario. 1993.</w:t>
      </w:r>
      <w:r>
        <w:t xml:space="preserve"> </w:t>
      </w:r>
      <w:r>
        <w:t xml:space="preserve">“Les Leçons Des Patrons Agacent Le Parti Radical.”</w:t>
      </w:r>
      <w:r>
        <w:t xml:space="preserve"> </w:t>
      </w:r>
      <w:r>
        <w:rPr>
          <w:iCs/>
          <w:i/>
        </w:rPr>
        <w:t xml:space="preserve">Le Nouveau Quotidien</w:t>
      </w:r>
      <w:r>
        <w:t xml:space="preserve">, August.</w:t>
      </w:r>
      <w:r>
        <w:t xml:space="preserve"> </w:t>
      </w:r>
      <w:hyperlink r:id="rId185">
        <w:r>
          <w:rPr>
            <w:rStyle w:val="Hyperlink"/>
          </w:rPr>
          <w:t xml:space="preserve">https://www.letempsarchives.ch/page/LNQ_1993_08_30/8/article/9763525/%22david%20de%20pury%22</w:t>
        </w:r>
      </w:hyperlink>
      <w:r>
        <w:t xml:space="preserve">.</w:t>
      </w:r>
    </w:p>
    <w:bookmarkEnd w:id="186"/>
    <w:bookmarkStart w:id="188"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7">
        <w:r>
          <w:rPr>
            <w:rStyle w:val="Hyperlink"/>
          </w:rPr>
          <w:t xml:space="preserve">https://doi.org/10.1080/09538259.2023.2298747</w:t>
        </w:r>
      </w:hyperlink>
      <w:r>
        <w:t xml:space="preserve">.</w:t>
      </w:r>
    </w:p>
    <w:bookmarkEnd w:id="188"/>
    <w:bookmarkStart w:id="190"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9">
        <w:r>
          <w:rPr>
            <w:rStyle w:val="Hyperlink"/>
          </w:rPr>
          <w:t xml:space="preserve">https://doi.org/10.1177/026858091006004002</w:t>
        </w:r>
      </w:hyperlink>
      <w:r>
        <w:t xml:space="preserve">.</w:t>
      </w:r>
    </w:p>
    <w:bookmarkEnd w:id="190"/>
    <w:bookmarkStart w:id="192"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1">
        <w:r>
          <w:rPr>
            <w:rStyle w:val="Hyperlink"/>
          </w:rPr>
          <w:t xml:space="preserve">https://oec.world/en/rankings/eci/hs6/hs96</w:t>
        </w:r>
      </w:hyperlink>
      <w:r>
        <w:t xml:space="preserve">.</w:t>
      </w:r>
    </w:p>
    <w:bookmarkEnd w:id="192"/>
    <w:bookmarkStart w:id="194" w:name="ref-crevoisier_malaise_1996"/>
    <w:p>
      <w:pPr>
        <w:pStyle w:val="Bibliography"/>
      </w:pPr>
      <w:r>
        <w:t xml:space="preserve">Crevoisier, Jean-Marc. 1996.</w:t>
      </w:r>
      <w:r>
        <w:t xml:space="preserve"> </w:t>
      </w:r>
      <w:r>
        <w:t xml:space="preserve">“Le Malaise Entre Mondes Politique Et Économique En Toile de Fond Du Congrès Radical.”</w:t>
      </w:r>
      <w:r>
        <w:t xml:space="preserve"> </w:t>
      </w:r>
      <w:r>
        <w:rPr>
          <w:iCs/>
          <w:i/>
        </w:rPr>
        <w:t xml:space="preserve">Journal de Genève Et Gazette de Lausanne</w:t>
      </w:r>
      <w:r>
        <w:t xml:space="preserve">, January.</w:t>
      </w:r>
      <w:r>
        <w:t xml:space="preserve"> </w:t>
      </w:r>
      <w:hyperlink r:id="rId193">
        <w:r>
          <w:rPr>
            <w:rStyle w:val="Hyperlink"/>
          </w:rPr>
          <w:t xml:space="preserve">https://www.letempsarchives.ch/page/JDG_1996_01_22/6/article/9291348/%22david%20de%20pury%22</w:t>
        </w:r>
      </w:hyperlink>
      <w:r>
        <w:t xml:space="preserve">.</w:t>
      </w:r>
    </w:p>
    <w:bookmarkEnd w:id="194"/>
    <w:bookmarkStart w:id="196" w:name="ref-noauthor_david_1998"/>
    <w:p>
      <w:pPr>
        <w:pStyle w:val="Bibliography"/>
      </w:pPr>
      <w:r>
        <w:t xml:space="preserve">“David de Pury Ne Veut Pas Diriger Une Suisse Qu’il Sent Incapable de Changer.”</w:t>
      </w:r>
      <w:r>
        <w:t xml:space="preserve"> </w:t>
      </w:r>
      <w:r>
        <w:t xml:space="preserve">1998.</w:t>
      </w:r>
      <w:r>
        <w:t xml:space="preserve"> </w:t>
      </w:r>
      <w:r>
        <w:rPr>
          <w:iCs/>
          <w:i/>
        </w:rPr>
        <w:t xml:space="preserve">Journal de Genève Et Gazette de Lausanne</w:t>
      </w:r>
      <w:r>
        <w:t xml:space="preserve">, January.</w:t>
      </w:r>
      <w:r>
        <w:t xml:space="preserve"> </w:t>
      </w:r>
      <w:hyperlink r:id="rId195">
        <w:r>
          <w:rPr>
            <w:rStyle w:val="Hyperlink"/>
          </w:rPr>
          <w:t xml:space="preserve">https://www.letempsarchives.ch/page/JDG_1998_01_20/1</w:t>
        </w:r>
      </w:hyperlink>
      <w:r>
        <w:t xml:space="preserve">.</w:t>
      </w:r>
    </w:p>
    <w:bookmarkEnd w:id="196"/>
    <w:bookmarkStart w:id="198"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7">
        <w:r>
          <w:rPr>
            <w:rStyle w:val="Hyperlink"/>
          </w:rPr>
          <w:t xml:space="preserve">https://www.econstor.eu/handle/10419/63462</w:t>
        </w:r>
      </w:hyperlink>
      <w:r>
        <w:t xml:space="preserve">.</w:t>
      </w:r>
    </w:p>
    <w:bookmarkEnd w:id="198"/>
    <w:bookmarkStart w:id="199"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99"/>
    <w:bookmarkStart w:id="201"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200">
        <w:r>
          <w:rPr>
            <w:rStyle w:val="Hyperlink"/>
          </w:rPr>
          <w:t xml:space="preserve">https://hls-dhs-dss.ch/articles/017393/2022-01-24/</w:t>
        </w:r>
      </w:hyperlink>
      <w:r>
        <w:t xml:space="preserve">.</w:t>
      </w:r>
    </w:p>
    <w:bookmarkEnd w:id="201"/>
    <w:bookmarkStart w:id="203"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202">
        <w:r>
          <w:rPr>
            <w:rStyle w:val="Hyperlink"/>
          </w:rPr>
          <w:t xml:space="preserve">https://wid.world/wp-content/uploads/2021/03/WorldInequalityLab_WP2021_08_PoliticalCleavages_AustriaBelgiumNLSwitzerland.pdf</w:t>
        </w:r>
      </w:hyperlink>
      <w:r>
        <w:t xml:space="preserve">.</w:t>
      </w:r>
    </w:p>
    <w:bookmarkEnd w:id="203"/>
    <w:bookmarkStart w:id="205" w:name="ref-garessus_gerhard_2019"/>
    <w:p>
      <w:pPr>
        <w:pStyle w:val="Bibliography"/>
      </w:pPr>
      <w:r>
        <w:t xml:space="preserve">Garessus, Emmanuel. 2019.</w:t>
      </w:r>
      <w:r>
        <w:t xml:space="preserve"> </w:t>
      </w:r>
      <w:r>
        <w:t xml:space="preserve">“Gerhard Schwarz: «Une Suisse néolibérale? C’est une «fake news» - Le Temps,”</w:t>
      </w:r>
      <w:r>
        <w:t xml:space="preserve"> </w:t>
      </w:r>
      <w:r>
        <w:t xml:space="preserve">November.</w:t>
      </w:r>
      <w:r>
        <w:t xml:space="preserve"> </w:t>
      </w:r>
      <w:hyperlink r:id="rId204">
        <w:r>
          <w:rPr>
            <w:rStyle w:val="Hyperlink"/>
          </w:rPr>
          <w:t xml:space="preserve">https://www.letemps.ch/economie/gerhard-schwarz-une-suisse-neoliberale-cest-une-fake-news</w:t>
        </w:r>
      </w:hyperlink>
      <w:r>
        <w:t xml:space="preserve">.</w:t>
      </w:r>
    </w:p>
    <w:bookmarkEnd w:id="205"/>
    <w:bookmarkStart w:id="207"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6">
        <w:r>
          <w:rPr>
            <w:rStyle w:val="Hyperlink"/>
          </w:rPr>
          <w:t xml:space="preserve">https://doi.org/10.1093/qje/qjab036</w:t>
        </w:r>
      </w:hyperlink>
      <w:r>
        <w:t xml:space="preserve">.</w:t>
      </w:r>
    </w:p>
    <w:bookmarkEnd w:id="207"/>
    <w:bookmarkStart w:id="208"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08"/>
    <w:bookmarkStart w:id="210"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09">
        <w:r>
          <w:rPr>
            <w:rStyle w:val="Hyperlink"/>
          </w:rPr>
          <w:t xml:space="preserve">https://www.avenir-suisse.ch/fr/7-bonnes-raisons-de-privatiser-lenergie/</w:t>
        </w:r>
      </w:hyperlink>
      <w:r>
        <w:t xml:space="preserve">.</w:t>
      </w:r>
    </w:p>
    <w:bookmarkEnd w:id="210"/>
    <w:bookmarkStart w:id="211"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11"/>
    <w:bookmarkStart w:id="213"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12">
        <w:r>
          <w:rPr>
            <w:rStyle w:val="Hyperlink"/>
          </w:rPr>
          <w:t xml:space="preserve">https://doi.org/10.48573/9EX9-FP54</w:t>
        </w:r>
      </w:hyperlink>
      <w:r>
        <w:t xml:space="preserve">.</w:t>
      </w:r>
    </w:p>
    <w:bookmarkEnd w:id="213"/>
    <w:bookmarkStart w:id="214"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4"/>
    <w:bookmarkStart w:id="216" w:name="ref-von_holzen_europe_1991"/>
    <w:p>
      <w:pPr>
        <w:pStyle w:val="Bibliography"/>
      </w:pPr>
      <w:r>
        <w:t xml:space="preserve">Holzen, Madelein von. 1991.</w:t>
      </w:r>
      <w:r>
        <w:t xml:space="preserve"> </w:t>
      </w:r>
      <w:r>
        <w:t xml:space="preserve">“L’europe? Un Coup de Fouet Nécessaire.”</w:t>
      </w:r>
      <w:r>
        <w:t xml:space="preserve"> </w:t>
      </w:r>
      <w:r>
        <w:rPr>
          <w:iCs/>
          <w:i/>
        </w:rPr>
        <w:t xml:space="preserve">Le Journal de Genève</w:t>
      </w:r>
      <w:r>
        <w:t xml:space="preserve">, June.</w:t>
      </w:r>
      <w:r>
        <w:t xml:space="preserve"> </w:t>
      </w:r>
      <w:hyperlink r:id="rId215">
        <w:r>
          <w:rPr>
            <w:rStyle w:val="Hyperlink"/>
          </w:rPr>
          <w:t xml:space="preserve">https://www.letempsarchives.ch/page/JDG_1991_06_20/12/article/8621126/%22david%20de%20pury%22</w:t>
        </w:r>
      </w:hyperlink>
      <w:r>
        <w:t xml:space="preserve">.</w:t>
      </w:r>
    </w:p>
    <w:bookmarkEnd w:id="216"/>
    <w:bookmarkStart w:id="218"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7">
        <w:r>
          <w:rPr>
            <w:rStyle w:val="Hyperlink"/>
          </w:rPr>
          <w:t xml:space="preserve">https://doi.org/10.1080/13501763.2017.1310279</w:t>
        </w:r>
      </w:hyperlink>
      <w:r>
        <w:t xml:space="preserve">.</w:t>
      </w:r>
    </w:p>
    <w:bookmarkEnd w:id="218"/>
    <w:bookmarkStart w:id="220"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19">
        <w:r>
          <w:rPr>
            <w:rStyle w:val="Hyperlink"/>
          </w:rPr>
          <w:t xml:space="preserve">https://doi.org/10.2307/1953494</w:t>
        </w:r>
      </w:hyperlink>
      <w:r>
        <w:t xml:space="preserve">.</w:t>
      </w:r>
    </w:p>
    <w:bookmarkEnd w:id="220"/>
    <w:bookmarkStart w:id="222"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21">
        <w:r>
          <w:rPr>
            <w:rStyle w:val="Hyperlink"/>
          </w:rPr>
          <w:t xml:space="preserve">https://doi.org/10.2307/j.ctv346rbz</w:t>
        </w:r>
      </w:hyperlink>
      <w:r>
        <w:t xml:space="preserve">.</w:t>
      </w:r>
    </w:p>
    <w:bookmarkEnd w:id="222"/>
    <w:bookmarkStart w:id="223"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23"/>
    <w:bookmarkStart w:id="225"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24">
        <w:r>
          <w:rPr>
            <w:rStyle w:val="Hyperlink"/>
          </w:rPr>
          <w:t xml:space="preserve">https://doi.org/10.2307/1962590</w:t>
        </w:r>
      </w:hyperlink>
      <w:r>
        <w:t xml:space="preserve">.</w:t>
      </w:r>
    </w:p>
    <w:bookmarkEnd w:id="225"/>
    <w:bookmarkStart w:id="227"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6">
        <w:r>
          <w:rPr>
            <w:rStyle w:val="Hyperlink"/>
          </w:rPr>
          <w:t xml:space="preserve">https://doi.org/10.3917/infle.020.0183</w:t>
        </w:r>
      </w:hyperlink>
      <w:r>
        <w:t xml:space="preserve">.</w:t>
      </w:r>
    </w:p>
    <w:bookmarkEnd w:id="227"/>
    <w:bookmarkStart w:id="228"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28"/>
    <w:bookmarkStart w:id="229"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29"/>
    <w:bookmarkStart w:id="231"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30">
        <w:r>
          <w:rPr>
            <w:rStyle w:val="Hyperlink"/>
          </w:rPr>
          <w:t xml:space="preserve">https://doi.org/10.4000/histoirepolitique.7344</w:t>
        </w:r>
      </w:hyperlink>
      <w:r>
        <w:t xml:space="preserve">.</w:t>
      </w:r>
    </w:p>
    <w:bookmarkEnd w:id="231"/>
    <w:bookmarkStart w:id="233"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32">
        <w:r>
          <w:rPr>
            <w:rStyle w:val="Hyperlink"/>
          </w:rPr>
          <w:t xml:space="preserve">http://gen.lib.rus.ec/book/index.php?md5=672bb6ec977ceddc83c745ffc8db0022</w:t>
        </w:r>
      </w:hyperlink>
      <w:r>
        <w:t xml:space="preserve">.</w:t>
      </w:r>
    </w:p>
    <w:bookmarkEnd w:id="233"/>
    <w:bookmarkStart w:id="235"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34">
        <w:r>
          <w:rPr>
            <w:rStyle w:val="Hyperlink"/>
          </w:rPr>
          <w:t xml:space="preserve">https://doi.org/10.1111/j.1475-6765.2006.00644.x</w:t>
        </w:r>
      </w:hyperlink>
      <w:r>
        <w:t xml:space="preserve">.</w:t>
      </w:r>
    </w:p>
    <w:bookmarkEnd w:id="235"/>
    <w:bookmarkStart w:id="237"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6">
        <w:r>
          <w:rPr>
            <w:rStyle w:val="Hyperlink"/>
          </w:rPr>
          <w:t xml:space="preserve">https://doi.org/10.1017/CBO9780511790720</w:t>
        </w:r>
      </w:hyperlink>
      <w:r>
        <w:t xml:space="preserve">.</w:t>
      </w:r>
    </w:p>
    <w:bookmarkEnd w:id="237"/>
    <w:bookmarkStart w:id="239" w:name="ref-krill_david_1992"/>
    <w:p>
      <w:pPr>
        <w:pStyle w:val="Bibliography"/>
      </w:pPr>
      <w:r>
        <w:t xml:space="preserve">Krill, Marie-Jeanne, and Pascal Brandt. 1992.</w:t>
      </w:r>
      <w:r>
        <w:t xml:space="preserve"> </w:t>
      </w:r>
      <w:r>
        <w:t xml:space="preserve">“David de Pury: "La Suisse Doit Éviter de Devenir Un Cartel Au Milieu de l’europe".”</w:t>
      </w:r>
      <w:r>
        <w:t xml:space="preserve"> </w:t>
      </w:r>
      <w:r>
        <w:rPr>
          <w:iCs/>
          <w:i/>
        </w:rPr>
        <w:t xml:space="preserve">Journal de Genève Et Gazette de Lausanne</w:t>
      </w:r>
      <w:r>
        <w:t xml:space="preserve">, August.</w:t>
      </w:r>
      <w:r>
        <w:t xml:space="preserve"> </w:t>
      </w:r>
      <w:hyperlink r:id="rId238">
        <w:r>
          <w:rPr>
            <w:rStyle w:val="Hyperlink"/>
          </w:rPr>
          <w:t xml:space="preserve">https://www.letempsarchives.ch/page/JDG_1992_08_07/17/article/8788240/%22La%20Suisse%20doit%20%C3%A9viter%20de%20devenir%20un%20cartel%20au%20milieu%20de%20l'Europe%22</w:t>
        </w:r>
      </w:hyperlink>
      <w:r>
        <w:t xml:space="preserve">.</w:t>
      </w:r>
    </w:p>
    <w:bookmarkEnd w:id="239"/>
    <w:bookmarkStart w:id="240"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40"/>
    <w:bookmarkStart w:id="242"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41">
        <w:r>
          <w:rPr>
            <w:rStyle w:val="Hyperlink"/>
          </w:rPr>
          <w:t xml:space="preserve">https://doi.org/10.2307/1954890</w:t>
        </w:r>
      </w:hyperlink>
      <w:r>
        <w:t xml:space="preserve">.</w:t>
      </w:r>
    </w:p>
    <w:bookmarkEnd w:id="242"/>
    <w:bookmarkStart w:id="243"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43"/>
    <w:bookmarkStart w:id="244"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44"/>
    <w:bookmarkStart w:id="245"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45"/>
    <w:bookmarkStart w:id="246"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46"/>
    <w:bookmarkStart w:id="248"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7">
        <w:r>
          <w:rPr>
            <w:rStyle w:val="Hyperlink"/>
          </w:rPr>
          <w:t xml:space="preserve">https://doi.org/10.1080/1350176032000059053</w:t>
        </w:r>
      </w:hyperlink>
      <w:r>
        <w:t xml:space="preserve">.</w:t>
      </w:r>
    </w:p>
    <w:bookmarkEnd w:id="248"/>
    <w:bookmarkStart w:id="250"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49">
        <w:r>
          <w:rPr>
            <w:rStyle w:val="Hyperlink"/>
          </w:rPr>
          <w:t xml:space="preserve">https://doi.org/10.2202/1935-6226.1022</w:t>
        </w:r>
      </w:hyperlink>
      <w:r>
        <w:t xml:space="preserve">.</w:t>
      </w:r>
    </w:p>
    <w:bookmarkEnd w:id="250"/>
    <w:bookmarkStart w:id="252"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51">
        <w:r>
          <w:rPr>
            <w:rStyle w:val="Hyperlink"/>
          </w:rPr>
          <w:t xml:space="preserve">https://doi.org/10.5169/seals-140416</w:t>
        </w:r>
      </w:hyperlink>
      <w:r>
        <w:t xml:space="preserve">.</w:t>
      </w:r>
    </w:p>
    <w:bookmarkEnd w:id="252"/>
    <w:bookmarkStart w:id="254" w:name="ref-may_growth_2024"/>
    <w:p>
      <w:pPr>
        <w:pStyle w:val="Bibliography"/>
      </w:pPr>
      <w:r>
        <w:t xml:space="preserve">May, Christian, Andreas Nölke, and Michael Schedelik. 2024.</w:t>
      </w:r>
      <w:r>
        <w:t xml:space="preserve"> </w:t>
      </w:r>
      <w:r>
        <w:t xml:space="preserve">“Growth Models and Social Blocs: Taking Gramsci Seriously.”</w:t>
      </w:r>
      <w:r>
        <w:t xml:space="preserve"> </w:t>
      </w:r>
      <w:r>
        <w:rPr>
          <w:iCs/>
          <w:i/>
        </w:rPr>
        <w:t xml:space="preserve">Competition &amp; Change</w:t>
      </w:r>
      <w:r>
        <w:t xml:space="preserve">, February, 10245294241231992.</w:t>
      </w:r>
      <w:r>
        <w:t xml:space="preserve"> </w:t>
      </w:r>
      <w:hyperlink r:id="rId253">
        <w:r>
          <w:rPr>
            <w:rStyle w:val="Hyperlink"/>
          </w:rPr>
          <w:t xml:space="preserve">https://doi.org/10.1177/10245294241231992</w:t>
        </w:r>
      </w:hyperlink>
      <w:r>
        <w:t xml:space="preserve">.</w:t>
      </w:r>
    </w:p>
    <w:bookmarkEnd w:id="254"/>
    <w:bookmarkStart w:id="255"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55"/>
    <w:bookmarkStart w:id="257"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56">
        <w:r>
          <w:rPr>
            <w:rStyle w:val="Hyperlink"/>
          </w:rPr>
          <w:t xml:space="preserve">https://archive-ouverte.unige.ch/unige:83364</w:t>
        </w:r>
      </w:hyperlink>
      <w:r>
        <w:t xml:space="preserve">.</w:t>
      </w:r>
    </w:p>
    <w:bookmarkEnd w:id="257"/>
    <w:bookmarkStart w:id="258"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58"/>
    <w:bookmarkStart w:id="259"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59"/>
    <w:bookmarkStart w:id="260"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60"/>
    <w:bookmarkStart w:id="261"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61"/>
    <w:bookmarkStart w:id="263"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62">
        <w:r>
          <w:rPr>
            <w:rStyle w:val="Hyperlink"/>
          </w:rPr>
          <w:t xml:space="preserve">https://hls-dhs-dss.ch/articles/017397/2010-12-22/</w:t>
        </w:r>
      </w:hyperlink>
      <w:r>
        <w:t xml:space="preserve">.</w:t>
      </w:r>
    </w:p>
    <w:bookmarkEnd w:id="263"/>
    <w:bookmarkStart w:id="265"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64">
        <w:r>
          <w:rPr>
            <w:rStyle w:val="Hyperlink"/>
          </w:rPr>
          <w:t xml:space="preserve">https://hdr.undp.org/content/human-development-report-2021-22</w:t>
        </w:r>
      </w:hyperlink>
      <w:r>
        <w:t xml:space="preserve">.</w:t>
      </w:r>
    </w:p>
    <w:bookmarkEnd w:id="265"/>
    <w:bookmarkStart w:id="267"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66">
        <w:r>
          <w:rPr>
            <w:rStyle w:val="Hyperlink"/>
          </w:rPr>
          <w:t xml:space="preserve">https://doi.org/10.1080/10705510701575396</w:t>
        </w:r>
      </w:hyperlink>
      <w:r>
        <w:t xml:space="preserve">.</w:t>
      </w:r>
    </w:p>
    <w:bookmarkEnd w:id="267"/>
    <w:bookmarkStart w:id="269"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68">
        <w:r>
          <w:rPr>
            <w:rStyle w:val="Hyperlink"/>
          </w:rPr>
          <w:t xml:space="preserve">https://doi.org/10.1017/S0143814X98000129</w:t>
        </w:r>
      </w:hyperlink>
      <w:r>
        <w:t xml:space="preserve">.</w:t>
      </w:r>
    </w:p>
    <w:bookmarkEnd w:id="269"/>
    <w:bookmarkStart w:id="271"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70">
        <w:r>
          <w:rPr>
            <w:rStyle w:val="Hyperlink"/>
          </w:rPr>
          <w:t xml:space="preserve">https://www.oecd-ilibrary.org/economics/oecd-economic-surveys-switzerland-1992_eco_surveys-che-1992-en</w:t>
        </w:r>
      </w:hyperlink>
      <w:r>
        <w:t xml:space="preserve">.</w:t>
      </w:r>
    </w:p>
    <w:bookmarkEnd w:id="271"/>
    <w:bookmarkStart w:id="273"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72">
        <w:r>
          <w:rPr>
            <w:rStyle w:val="Hyperlink"/>
          </w:rPr>
          <w:t xml:space="preserve">https://www.oecd-ilibrary.org/economics/oecd-economic-surveys-switzerland-2019_7e6fd372-en</w:t>
        </w:r>
      </w:hyperlink>
      <w:r>
        <w:t xml:space="preserve">.</w:t>
      </w:r>
    </w:p>
    <w:bookmarkEnd w:id="273"/>
    <w:bookmarkStart w:id="275"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74">
        <w:r>
          <w:rPr>
            <w:rStyle w:val="Hyperlink"/>
          </w:rPr>
          <w:t xml:space="preserve">https://www.oecd-ilibrary.org/economics/oecd-economic-surveys-switzerland-2022_1fde6924-en</w:t>
        </w:r>
      </w:hyperlink>
      <w:r>
        <w:t xml:space="preserve">.</w:t>
      </w:r>
    </w:p>
    <w:bookmarkEnd w:id="275"/>
    <w:bookmarkStart w:id="277"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76">
        <w:r>
          <w:rPr>
            <w:rStyle w:val="Hyperlink"/>
          </w:rPr>
          <w:t xml:space="preserve">https://doi.org/10.1057/9780230504592</w:t>
        </w:r>
      </w:hyperlink>
      <w:r>
        <w:t xml:space="preserve">.</w:t>
      </w:r>
    </w:p>
    <w:bookmarkEnd w:id="277"/>
    <w:bookmarkStart w:id="279"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78">
        <w:r>
          <w:rPr>
            <w:rStyle w:val="Hyperlink"/>
          </w:rPr>
          <w:t xml:space="preserve">https://doi.org/10.1177/0192512107088390</w:t>
        </w:r>
      </w:hyperlink>
      <w:r>
        <w:t xml:space="preserve">.</w:t>
      </w:r>
    </w:p>
    <w:bookmarkEnd w:id="279"/>
    <w:bookmarkStart w:id="281"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80">
        <w:r>
          <w:rPr>
            <w:rStyle w:val="Hyperlink"/>
          </w:rPr>
          <w:t xml:space="preserve">https://doi.org/10.1080/14616690701846946</w:t>
        </w:r>
      </w:hyperlink>
      <w:r>
        <w:t xml:space="preserve">.</w:t>
      </w:r>
    </w:p>
    <w:bookmarkEnd w:id="281"/>
    <w:bookmarkStart w:id="282"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82"/>
    <w:bookmarkStart w:id="284"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83">
        <w:r>
          <w:rPr>
            <w:rStyle w:val="Hyperlink"/>
          </w:rPr>
          <w:t xml:space="preserve">https://doi.org/10.1002/j.1662-6370.2010.tb00433.x</w:t>
        </w:r>
      </w:hyperlink>
      <w:r>
        <w:t xml:space="preserve">.</w:t>
      </w:r>
    </w:p>
    <w:bookmarkEnd w:id="284"/>
    <w:bookmarkStart w:id="286"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85">
        <w:r>
          <w:rPr>
            <w:rStyle w:val="Hyperlink"/>
          </w:rPr>
          <w:t xml:space="preserve">https://doi.org/10.1111/1475-6765.12259</w:t>
        </w:r>
      </w:hyperlink>
      <w:r>
        <w:t xml:space="preserve">.</w:t>
      </w:r>
    </w:p>
    <w:bookmarkEnd w:id="286"/>
    <w:bookmarkStart w:id="287"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87"/>
    <w:bookmarkStart w:id="288"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88"/>
    <w:bookmarkStart w:id="289"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89"/>
    <w:bookmarkStart w:id="290"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90"/>
    <w:bookmarkStart w:id="291" w:name="ref-piketty_capital_2019"/>
    <w:p>
      <w:pPr>
        <w:pStyle w:val="Bibliography"/>
      </w:pPr>
      <w:r>
        <w:t xml:space="preserve">———. 2019.</w:t>
      </w:r>
      <w:r>
        <w:t xml:space="preserve"> </w:t>
      </w:r>
      <w:r>
        <w:rPr>
          <w:iCs/>
          <w:i/>
        </w:rPr>
        <w:t xml:space="preserve">Capital Et Idéologie</w:t>
      </w:r>
      <w:r>
        <w:t xml:space="preserve">. Le Seuil.</w:t>
      </w:r>
    </w:p>
    <w:bookmarkEnd w:id="291"/>
    <w:bookmarkStart w:id="292"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92"/>
    <w:bookmarkStart w:id="294"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93">
        <w:r>
          <w:rPr>
            <w:rStyle w:val="Hyperlink"/>
          </w:rPr>
          <w:t xml:space="preserve">https://doi.org/10.1111/spsr.12124</w:t>
        </w:r>
      </w:hyperlink>
      <w:r>
        <w:t xml:space="preserve">.</w:t>
      </w:r>
    </w:p>
    <w:bookmarkEnd w:id="294"/>
    <w:bookmarkStart w:id="296"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95">
        <w:r>
          <w:rPr>
            <w:rStyle w:val="Hyperlink"/>
          </w:rPr>
          <w:t xml:space="preserve">http://gen.lib.rus.ec/book/index.php?md5=DC2AFED8958B9AE0932FFEFEAB45546C</w:t>
        </w:r>
      </w:hyperlink>
      <w:r>
        <w:t xml:space="preserve">.</w:t>
      </w:r>
    </w:p>
    <w:bookmarkEnd w:id="296"/>
    <w:bookmarkStart w:id="298"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97">
        <w:r>
          <w:rPr>
            <w:rStyle w:val="Hyperlink"/>
          </w:rPr>
          <w:t xml:space="preserve">https://doi.org/10.1080/01402382.2014.920981</w:t>
        </w:r>
      </w:hyperlink>
      <w:r>
        <w:t xml:space="preserve">.</w:t>
      </w:r>
    </w:p>
    <w:bookmarkEnd w:id="298"/>
    <w:bookmarkStart w:id="299" w:name="ref-ribeaud_quand_1998"/>
    <w:p>
      <w:pPr>
        <w:pStyle w:val="Bibliography"/>
      </w:pPr>
      <w:r>
        <w:t xml:space="preserve">Ribeaud, José. 1998.</w:t>
      </w:r>
      <w:r>
        <w:t xml:space="preserve"> </w:t>
      </w:r>
      <w:r>
        <w:rPr>
          <w:iCs/>
          <w:i/>
        </w:rPr>
        <w:t xml:space="preserve">Quand La Suisse Disparaîtra</w:t>
      </w:r>
      <w:r>
        <w:t xml:space="preserve">. Vevey: L’Aire.</w:t>
      </w:r>
    </w:p>
    <w:bookmarkEnd w:id="299"/>
    <w:bookmarkStart w:id="301"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300">
        <w:r>
          <w:rPr>
            <w:rStyle w:val="Hyperlink"/>
          </w:rPr>
          <w:t xml:space="preserve">https://doi.org/10.1111/1468-4446.12929</w:t>
        </w:r>
      </w:hyperlink>
      <w:r>
        <w:t xml:space="preserve">.</w:t>
      </w:r>
    </w:p>
    <w:bookmarkEnd w:id="301"/>
    <w:bookmarkStart w:id="303"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302">
        <w:r>
          <w:rPr>
            <w:rStyle w:val="Hyperlink"/>
          </w:rPr>
          <w:t xml:space="preserve">https://www.jstor.org/stable/45344498</w:t>
        </w:r>
      </w:hyperlink>
      <w:r>
        <w:t xml:space="preserve">.</w:t>
      </w:r>
    </w:p>
    <w:bookmarkEnd w:id="303"/>
    <w:bookmarkStart w:id="305"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304">
        <w:r>
          <w:rPr>
            <w:rStyle w:val="Hyperlink"/>
          </w:rPr>
          <w:t xml:space="preserve">https://www.epflpress.org/produit/1421/9782889155279/politique-suisse</w:t>
        </w:r>
      </w:hyperlink>
      <w:r>
        <w:t xml:space="preserve">.</w:t>
      </w:r>
    </w:p>
    <w:bookmarkEnd w:id="305"/>
    <w:bookmarkStart w:id="307"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306">
        <w:r>
          <w:rPr>
            <w:rStyle w:val="Hyperlink"/>
          </w:rPr>
          <w:t xml:space="preserve">https://hls-dhs-dss.ch/articles/017389/2017-03-20/</w:t>
        </w:r>
      </w:hyperlink>
      <w:r>
        <w:t xml:space="preserve">.</w:t>
      </w:r>
    </w:p>
    <w:bookmarkEnd w:id="307"/>
    <w:bookmarkStart w:id="309"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308">
        <w:r>
          <w:rPr>
            <w:rStyle w:val="Hyperlink"/>
          </w:rPr>
          <w:t xml:space="preserve">https://hls-dhs-dss.ch/articles/004635/2020-04-15/</w:t>
        </w:r>
      </w:hyperlink>
      <w:r>
        <w:t xml:space="preserve">.</w:t>
      </w:r>
    </w:p>
    <w:bookmarkEnd w:id="309"/>
    <w:bookmarkStart w:id="311"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10">
        <w:r>
          <w:rPr>
            <w:rStyle w:val="Hyperlink"/>
          </w:rPr>
          <w:t xml:space="preserve">https://doi.org/10.3917/socio.103.0243</w:t>
        </w:r>
      </w:hyperlink>
      <w:r>
        <w:t xml:space="preserve">.</w:t>
      </w:r>
    </w:p>
    <w:bookmarkEnd w:id="311"/>
    <w:bookmarkStart w:id="313"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12">
        <w:r>
          <w:rPr>
            <w:rStyle w:val="Hyperlink"/>
          </w:rPr>
          <w:t xml:space="preserve">https://doi.org/10.1017/S1755773913000246</w:t>
        </w:r>
      </w:hyperlink>
      <w:r>
        <w:t xml:space="preserve">.</w:t>
      </w:r>
    </w:p>
    <w:bookmarkEnd w:id="313"/>
    <w:bookmarkStart w:id="314"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14"/>
    <w:bookmarkStart w:id="316"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15">
        <w:r>
          <w:rPr>
            <w:rStyle w:val="Hyperlink"/>
          </w:rPr>
          <w:t xml:space="preserve">https://doi.org/10.48573/PCBM-2280</w:t>
        </w:r>
      </w:hyperlink>
      <w:r>
        <w:t xml:space="preserve">.</w:t>
      </w:r>
    </w:p>
    <w:bookmarkEnd w:id="316"/>
    <w:bookmarkStart w:id="318"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17">
        <w:r>
          <w:rPr>
            <w:rStyle w:val="Hyperlink"/>
          </w:rPr>
          <w:t xml:space="preserve">https://doi.org/10.2202/1935-6226.1042</w:t>
        </w:r>
      </w:hyperlink>
      <w:r>
        <w:t xml:space="preserve">.</w:t>
      </w:r>
    </w:p>
    <w:bookmarkEnd w:id="318"/>
    <w:bookmarkStart w:id="320"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19">
        <w:r>
          <w:rPr>
            <w:rStyle w:val="Hyperlink"/>
          </w:rPr>
          <w:t xml:space="preserve">https://doi.org/10.1093/pan/mpq025</w:t>
        </w:r>
      </w:hyperlink>
      <w:r>
        <w:t xml:space="preserve">.</w:t>
      </w:r>
    </w:p>
    <w:bookmarkEnd w:id="320"/>
    <w:bookmarkStart w:id="321"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21"/>
    <w:bookmarkStart w:id="323" w:name="ref-noauthor_votation_1993"/>
    <w:p>
      <w:pPr>
        <w:pStyle w:val="Bibliography"/>
      </w:pPr>
      <w:r>
        <w:rPr>
          <w:iCs/>
          <w:i/>
        </w:rPr>
        <w:t xml:space="preserve">Votation Populaire Du 28 Novembre 1993. Explications Du Conseil Fédéral</w:t>
      </w:r>
      <w:r>
        <w:t xml:space="preserve">. 1993. Chancellerie fédérale.</w:t>
      </w:r>
      <w:r>
        <w:t xml:space="preserve"> </w:t>
      </w:r>
      <w:hyperlink r:id="rId322">
        <w:r>
          <w:rPr>
            <w:rStyle w:val="Hyperlink"/>
          </w:rPr>
          <w:t xml:space="preserve">https://swissvotes.ch/attachments/63342ae40faa4e6957c10e3ae7ac0f68f7627dfaae54a13a5b363b97d19765f5</w:t>
        </w:r>
      </w:hyperlink>
      <w:r>
        <w:t xml:space="preserve">.</w:t>
      </w:r>
    </w:p>
    <w:bookmarkEnd w:id="323"/>
    <w:bookmarkStart w:id="325"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24">
        <w:r>
          <w:rPr>
            <w:rStyle w:val="Hyperlink"/>
          </w:rPr>
          <w:t xml:space="preserve">https://doi.org/10.1093/ser/mwaa014</w:t>
        </w:r>
      </w:hyperlink>
      <w:r>
        <w:t xml:space="preserve">.</w:t>
      </w:r>
    </w:p>
    <w:bookmarkEnd w:id="325"/>
    <w:bookmarkStart w:id="327"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26">
        <w:r>
          <w:rPr>
            <w:rStyle w:val="Hyperlink"/>
          </w:rPr>
          <w:t xml:space="preserve">https://archive-ouverte.unige.ch/unige:14538</w:t>
        </w:r>
      </w:hyperlink>
      <w:r>
        <w:t xml:space="preserve">.</w:t>
      </w:r>
    </w:p>
    <w:bookmarkEnd w:id="327"/>
    <w:bookmarkStart w:id="329" w:name="ref-zeller_christophe_1992"/>
    <w:p>
      <w:pPr>
        <w:pStyle w:val="Bibliography"/>
      </w:pPr>
      <w:r>
        <w:t xml:space="preserve">Zeller, Willy, Thomas Häberlin, and Claudia Schoch. 1992.</w:t>
      </w:r>
      <w:r>
        <w:t xml:space="preserve"> </w:t>
      </w:r>
      <w:r>
        <w:t xml:space="preserve">“Christophe Blocher Et David de Pury Confrontent Leurs Vues Sur l’europe.”</w:t>
      </w:r>
      <w:r>
        <w:t xml:space="preserve"> </w:t>
      </w:r>
      <w:r>
        <w:t xml:space="preserve">Translated by Alexandre Fischer.</w:t>
      </w:r>
      <w:r>
        <w:t xml:space="preserve"> </w:t>
      </w:r>
      <w:r>
        <w:rPr>
          <w:iCs/>
          <w:i/>
        </w:rPr>
        <w:t xml:space="preserve">Le Nouveau Quotidien</w:t>
      </w:r>
      <w:r>
        <w:t xml:space="preserve">, August.</w:t>
      </w:r>
      <w:r>
        <w:t xml:space="preserve"> </w:t>
      </w:r>
      <w:hyperlink r:id="rId328">
        <w:r>
          <w:rPr>
            <w:rStyle w:val="Hyperlink"/>
          </w:rPr>
          <w:t xml:space="preserve">https://www.letempsarchives.ch/page/LNQ_1992_08_27/14/article/9690564/%22david%20de%20pury%22</w:t>
        </w:r>
      </w:hyperlink>
      <w:r>
        <w:t xml:space="preserve">.</w:t>
      </w:r>
    </w:p>
    <w:bookmarkEnd w:id="329"/>
    <w:bookmarkStart w:id="331"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30">
        <w:r>
          <w:rPr>
            <w:rStyle w:val="Hyperlink"/>
          </w:rPr>
          <w:t xml:space="preserve">https://doi.org/10.1111/ajps.12743</w:t>
        </w:r>
      </w:hyperlink>
      <w:r>
        <w:t xml:space="preserve">.</w:t>
      </w:r>
    </w:p>
    <w:bookmarkEnd w:id="331"/>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5">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38">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39">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0">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3">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0">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2">
    <w:p>
      <w:pPr>
        <w:pStyle w:val="FootnoteText"/>
      </w:pPr>
      <w:r>
        <w:rPr>
          <w:rStyle w:val="FootnoteReference"/>
        </w:rPr>
        <w:footnoteRef/>
      </w:r>
      <w:r>
        <w:t xml:space="preserve"> </w:t>
      </w:r>
      <w:r>
        <w:t xml:space="preserve">Bonvin et al. (2015)</w:t>
      </w:r>
      <w:r>
        <w:t xml:space="preserve">, for further information on the history of social security in Switzerland, see the History of Swiss Social Security website: https://www.historyofsocialsecurity.ch/home.</w:t>
      </w:r>
    </w:p>
  </w:footnote>
  <w:footnote w:id="77">
    <w:p>
      <w:pPr>
        <w:pStyle w:val="FootnoteText"/>
      </w:pPr>
      <w:r>
        <w:rPr>
          <w:rStyle w:val="FootnoteReference"/>
        </w:rPr>
        <w:footnoteRef/>
      </w:r>
      <w:r>
        <w:t xml:space="preserve"> </w:t>
      </w:r>
      <w:r>
        <w:rPr>
          <w:iCs/>
          <w:i/>
        </w:rPr>
        <w:t xml:space="preserve">Votation Populaire Du 28 Novembre 1993. Explications Du Conseil Fédéral</w:t>
      </w:r>
      <w:r>
        <w:t xml:space="preserve"> </w:t>
      </w:r>
      <w:r>
        <w:t xml:space="preserve">(1993)</w:t>
      </w:r>
      <w:r>
        <w:t xml:space="preserve">, p.6-9, author’s translation</w:t>
      </w:r>
    </w:p>
  </w:footnote>
  <w:footnote w:id="81">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7">
    <w:p>
      <w:pPr>
        <w:pStyle w:val="FootnoteText"/>
      </w:pPr>
      <w:r>
        <w:rPr>
          <w:rStyle w:val="FootnoteReference"/>
        </w:rPr>
        <w:footnoteRef/>
      </w:r>
      <w:r>
        <w:t xml:space="preserve"> </w:t>
      </w:r>
      <w:r>
        <w:t xml:space="preserve">The full results of the 12 clusters model can be consulted</w:t>
      </w:r>
      <w:r>
        <w:t xml:space="preserve"> </w:t>
      </w:r>
      <w:hyperlink r:id="rId88">
        <w:r>
          <w:rPr>
            <w:rStyle w:val="Hyperlink"/>
          </w:rPr>
          <w:t xml:space="preserve">here</w:t>
        </w:r>
      </w:hyperlink>
      <w:r>
        <w:t xml:space="preserve"> </w:t>
      </w:r>
      <w:r>
        <w:t xml:space="preserve">(https://jeylal.github.io/selects1999results/)</w:t>
      </w:r>
    </w:p>
  </w:footnote>
  <w:footnote w:id="89">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32" Target="http://gen.lib.rus.ec/book/index.php?md5=672bb6ec977ceddc83c745ffc8db0022" TargetMode="External" /><Relationship Type="http://schemas.openxmlformats.org/officeDocument/2006/relationships/hyperlink" Id="rId295" Target="http://gen.lib.rus.ec/book/index.php?md5=DC2AFED8958B9AE0932FFEFEAB45546C" TargetMode="External" /><Relationship Type="http://schemas.openxmlformats.org/officeDocument/2006/relationships/hyperlink" Id="rId174" Target="http://gen.lib.rus.ec/book/index.php?md5=ee123095cfe9fb8d6bcd03d6579a0705" TargetMode="External" /><Relationship Type="http://schemas.openxmlformats.org/officeDocument/2006/relationships/hyperlink" Id="rId326" Target="https://archive-ouverte.unige.ch/unige:14538" TargetMode="External" /><Relationship Type="http://schemas.openxmlformats.org/officeDocument/2006/relationships/hyperlink" Id="rId152" Target="https://archive-ouverte.unige.ch/unige:172056" TargetMode="External" /><Relationship Type="http://schemas.openxmlformats.org/officeDocument/2006/relationships/hyperlink" Id="rId256" Target="https://archive-ouverte.unige.ch/unige:83364" TargetMode="External" /><Relationship Type="http://schemas.openxmlformats.org/officeDocument/2006/relationships/hyperlink" Id="rId179" Target="https://doi.org/10.1002/j.1662-6370.1997.tb00198.x" TargetMode="External" /><Relationship Type="http://schemas.openxmlformats.org/officeDocument/2006/relationships/hyperlink" Id="rId283" Target="https://doi.org/10.1002/j.1662-6370.2010.tb00433.x" TargetMode="External" /><Relationship Type="http://schemas.openxmlformats.org/officeDocument/2006/relationships/hyperlink" Id="rId236" Target="https://doi.org/10.1017/CBO9780511790720" TargetMode="External" /><Relationship Type="http://schemas.openxmlformats.org/officeDocument/2006/relationships/hyperlink" Id="rId268" Target="https://doi.org/10.1017/S0143814X98000129" TargetMode="External" /><Relationship Type="http://schemas.openxmlformats.org/officeDocument/2006/relationships/hyperlink" Id="rId146" Target="https://doi.org/10.1017/S1744137415000211" TargetMode="External" /><Relationship Type="http://schemas.openxmlformats.org/officeDocument/2006/relationships/hyperlink" Id="rId312" Target="https://doi.org/10.1017/S1755773913000246" TargetMode="External" /><Relationship Type="http://schemas.openxmlformats.org/officeDocument/2006/relationships/hyperlink" Id="rId276" Target="https://doi.org/10.1057/9780230504592" TargetMode="External" /><Relationship Type="http://schemas.openxmlformats.org/officeDocument/2006/relationships/hyperlink" Id="rId297" Target="https://doi.org/10.1080/01402382.2014.920981" TargetMode="External" /><Relationship Type="http://schemas.openxmlformats.org/officeDocument/2006/relationships/hyperlink" Id="rId187" Target="https://doi.org/10.1080/09538259.2023.2298747" TargetMode="External" /><Relationship Type="http://schemas.openxmlformats.org/officeDocument/2006/relationships/hyperlink" Id="rId155" Target="https://doi.org/10.1080/09692290.2021.1913440" TargetMode="External" /><Relationship Type="http://schemas.openxmlformats.org/officeDocument/2006/relationships/hyperlink" Id="rId266" Target="https://doi.org/10.1080/10705510701575396" TargetMode="External" /><Relationship Type="http://schemas.openxmlformats.org/officeDocument/2006/relationships/hyperlink" Id="rId247" Target="https://doi.org/10.1080/1350176032000059053" TargetMode="External" /><Relationship Type="http://schemas.openxmlformats.org/officeDocument/2006/relationships/hyperlink" Id="rId217" Target="https://doi.org/10.1080/13501763.2017.1310279" TargetMode="External" /><Relationship Type="http://schemas.openxmlformats.org/officeDocument/2006/relationships/hyperlink" Id="rId166" Target="https://doi.org/10.1080/13563467.2023.2215701" TargetMode="External" /><Relationship Type="http://schemas.openxmlformats.org/officeDocument/2006/relationships/hyperlink" Id="rId280" Target="https://doi.org/10.1080/14616690701846946" TargetMode="External" /><Relationship Type="http://schemas.openxmlformats.org/officeDocument/2006/relationships/hyperlink" Id="rId181" Target="https://doi.org/10.1080/14616696.2012.709531" TargetMode="External" /><Relationship Type="http://schemas.openxmlformats.org/officeDocument/2006/relationships/hyperlink" Id="rId148" Target="https://doi.org/10.1093/acprof:oso/9780198787815.001.0001" TargetMode="External" /><Relationship Type="http://schemas.openxmlformats.org/officeDocument/2006/relationships/hyperlink" Id="rId319" Target="https://doi.org/10.1093/pan/mpq025" TargetMode="External" /><Relationship Type="http://schemas.openxmlformats.org/officeDocument/2006/relationships/hyperlink" Id="rId206" Target="https://doi.org/10.1093/qje/qjab036" TargetMode="External" /><Relationship Type="http://schemas.openxmlformats.org/officeDocument/2006/relationships/hyperlink" Id="rId324" Target="https://doi.org/10.1093/ser/mwaa014" TargetMode="External" /><Relationship Type="http://schemas.openxmlformats.org/officeDocument/2006/relationships/hyperlink" Id="rId159" Target="https://doi.org/10.1093/ser/mwn018" TargetMode="External" /><Relationship Type="http://schemas.openxmlformats.org/officeDocument/2006/relationships/hyperlink" Id="rId300" Target="https://doi.org/10.1111/1468-4446.12929" TargetMode="External" /><Relationship Type="http://schemas.openxmlformats.org/officeDocument/2006/relationships/hyperlink" Id="rId285" Target="https://doi.org/10.1111/1475-6765.12259" TargetMode="External" /><Relationship Type="http://schemas.openxmlformats.org/officeDocument/2006/relationships/hyperlink" Id="rId330" Target="https://doi.org/10.1111/ajps.12743" TargetMode="External" /><Relationship Type="http://schemas.openxmlformats.org/officeDocument/2006/relationships/hyperlink" Id="rId234" Target="https://doi.org/10.1111/j.1475-6765.2006.00644.x" TargetMode="External" /><Relationship Type="http://schemas.openxmlformats.org/officeDocument/2006/relationships/hyperlink" Id="rId293" Target="https://doi.org/10.1111/spsr.12124" TargetMode="External" /><Relationship Type="http://schemas.openxmlformats.org/officeDocument/2006/relationships/hyperlink" Id="rId143" Target="https://doi.org/10.1177/002200947901400402" TargetMode="External" /><Relationship Type="http://schemas.openxmlformats.org/officeDocument/2006/relationships/hyperlink" Id="rId278" Target="https://doi.org/10.1177/0192512107088390" TargetMode="External" /><Relationship Type="http://schemas.openxmlformats.org/officeDocument/2006/relationships/hyperlink" Id="rId189" Target="https://doi.org/10.1177/026858091006004002" TargetMode="External" /><Relationship Type="http://schemas.openxmlformats.org/officeDocument/2006/relationships/hyperlink" Id="rId253" Target="https://doi.org/10.1177/10245294241231992" TargetMode="External" /><Relationship Type="http://schemas.openxmlformats.org/officeDocument/2006/relationships/hyperlink" Id="rId249" Target="https://doi.org/10.2202/1935-6226.1022" TargetMode="External" /><Relationship Type="http://schemas.openxmlformats.org/officeDocument/2006/relationships/hyperlink" Id="rId317" Target="https://doi.org/10.2202/1935-6226.1042" TargetMode="External" /><Relationship Type="http://schemas.openxmlformats.org/officeDocument/2006/relationships/hyperlink" Id="rId219" Target="https://doi.org/10.2307/1953494" TargetMode="External" /><Relationship Type="http://schemas.openxmlformats.org/officeDocument/2006/relationships/hyperlink" Id="rId241" Target="https://doi.org/10.2307/1954890" TargetMode="External" /><Relationship Type="http://schemas.openxmlformats.org/officeDocument/2006/relationships/hyperlink" Id="rId224" Target="https://doi.org/10.2307/1962590" TargetMode="External" /><Relationship Type="http://schemas.openxmlformats.org/officeDocument/2006/relationships/hyperlink" Id="rId221" Target="https://doi.org/10.2307/j.ctv346rbz" TargetMode="External" /><Relationship Type="http://schemas.openxmlformats.org/officeDocument/2006/relationships/hyperlink" Id="rId177" Target="https://doi.org/10.23662/FORS-DS-688-2" TargetMode="External" /><Relationship Type="http://schemas.openxmlformats.org/officeDocument/2006/relationships/hyperlink" Id="rId226" Target="https://doi.org/10.3917/infle.020.0183" TargetMode="External" /><Relationship Type="http://schemas.openxmlformats.org/officeDocument/2006/relationships/hyperlink" Id="rId310" Target="https://doi.org/10.3917/socio.103.0243" TargetMode="External" /><Relationship Type="http://schemas.openxmlformats.org/officeDocument/2006/relationships/hyperlink" Id="rId230"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62" Target="https://doi.org/10.4337/9781782549925.00015" TargetMode="External" /><Relationship Type="http://schemas.openxmlformats.org/officeDocument/2006/relationships/hyperlink" Id="rId212" Target="https://doi.org/10.48573/9EX9-FP54" TargetMode="External" /><Relationship Type="http://schemas.openxmlformats.org/officeDocument/2006/relationships/hyperlink" Id="rId315" Target="https://doi.org/10.48573/PCBM-2280" TargetMode="External" /><Relationship Type="http://schemas.openxmlformats.org/officeDocument/2006/relationships/hyperlink" Id="rId251" Target="https://doi.org/10.5169/seals-140416" TargetMode="External" /><Relationship Type="http://schemas.openxmlformats.org/officeDocument/2006/relationships/hyperlink" Id="rId171" Target="https://doi.org/10.5169/seals-515017" TargetMode="External" /><Relationship Type="http://schemas.openxmlformats.org/officeDocument/2006/relationships/hyperlink" Id="rId264" Target="https://hdr.undp.org/content/human-development-report-2021-22" TargetMode="External" /><Relationship Type="http://schemas.openxmlformats.org/officeDocument/2006/relationships/hyperlink" Id="rId183" Target="https://hls-dhs-dss.ch/articles/003626/2020-01-20/" TargetMode="External" /><Relationship Type="http://schemas.openxmlformats.org/officeDocument/2006/relationships/hyperlink" Id="rId308" Target="https://hls-dhs-dss.ch/articles/004635/2020-04-15/" TargetMode="External" /><Relationship Type="http://schemas.openxmlformats.org/officeDocument/2006/relationships/hyperlink" Id="rId306" Target="https://hls-dhs-dss.ch/articles/017389/2017-03-20/" TargetMode="External" /><Relationship Type="http://schemas.openxmlformats.org/officeDocument/2006/relationships/hyperlink" Id="rId200" Target="https://hls-dhs-dss.ch/articles/017393/2022-01-24/" TargetMode="External" /><Relationship Type="http://schemas.openxmlformats.org/officeDocument/2006/relationships/hyperlink" Id="rId262"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68" Target="https://marginaleffects.com/" TargetMode="External" /><Relationship Type="http://schemas.openxmlformats.org/officeDocument/2006/relationships/hyperlink" Id="rId191" Target="https://oec.world/en/rankings/eci/hs6/hs96" TargetMode="External" /><Relationship Type="http://schemas.openxmlformats.org/officeDocument/2006/relationships/hyperlink" Id="rId322" Target="https://swissvotes.ch/attachments/63342ae40faa4e6957c10e3ae7ac0f68f7627dfaae54a13a5b363b97d19765f5" TargetMode="External" /><Relationship Type="http://schemas.openxmlformats.org/officeDocument/2006/relationships/hyperlink" Id="rId202" Target="https://wid.world/wp-content/uploads/2021/03/WorldInequalityLab_WP2021_08_PoliticalCleavages_AustriaBelgiumNLSwitzerland.pdf" TargetMode="External" /><Relationship Type="http://schemas.openxmlformats.org/officeDocument/2006/relationships/hyperlink" Id="rId209" Target="https://www.avenir-suisse.ch/fr/7-bonnes-raisons-de-privatiser-lenergie/" TargetMode="External" /><Relationship Type="http://schemas.openxmlformats.org/officeDocument/2006/relationships/hyperlink" Id="rId197" Target="https://www.econstor.eu/handle/10419/63462" TargetMode="External" /><Relationship Type="http://schemas.openxmlformats.org/officeDocument/2006/relationships/hyperlink" Id="rId304" Target="https://www.epflpress.org/produit/1421/9782889155279/politique-suisse" TargetMode="External" /><Relationship Type="http://schemas.openxmlformats.org/officeDocument/2006/relationships/hyperlink" Id="rId302" Target="https://www.jstor.org/stable/45344498" TargetMode="External" /><Relationship Type="http://schemas.openxmlformats.org/officeDocument/2006/relationships/hyperlink" Id="rId204" Target="https://www.letemps.ch/economie/gerhard-schwarz-une-suisse-neoliberale-cest-une-fake-news" TargetMode="External" /><Relationship Type="http://schemas.openxmlformats.org/officeDocument/2006/relationships/hyperlink" Id="rId215" Target="https://www.letempsarchives.ch/page/JDG_1991_06_20/12/article/8621126/%22david%20de%20pury%22" TargetMode="External" /><Relationship Type="http://schemas.openxmlformats.org/officeDocument/2006/relationships/hyperlink" Id="rId238" Target="https://www.letempsarchives.ch/page/JDG_1992_08_07/17/article/8788240/%22La%20Suisse%20doit%20%C3%A9viter%20de%20devenir%20un%20cartel%20au%20milieu%20de%20l&#39;Europe%22" TargetMode="External" /><Relationship Type="http://schemas.openxmlformats.org/officeDocument/2006/relationships/hyperlink" Id="rId193" Target="https://www.letempsarchives.ch/page/JDG_1996_01_22/6/article/9291348/%22david%20de%20pury%22" TargetMode="External" /><Relationship Type="http://schemas.openxmlformats.org/officeDocument/2006/relationships/hyperlink" Id="rId195" Target="https://www.letempsarchives.ch/page/JDG_1998_01_20/1" TargetMode="External" /><Relationship Type="http://schemas.openxmlformats.org/officeDocument/2006/relationships/hyperlink" Id="rId328" Target="https://www.letempsarchives.ch/page/LNQ_1992_08_27/14/article/9690564/%22david%20de%20pury%22" TargetMode="External" /><Relationship Type="http://schemas.openxmlformats.org/officeDocument/2006/relationships/hyperlink" Id="rId185" Target="https://www.letempsarchives.ch/page/LNQ_1993_08_30/8/article/9763525/%22david%20de%20pury%22" TargetMode="External" /><Relationship Type="http://schemas.openxmlformats.org/officeDocument/2006/relationships/hyperlink" Id="rId270" Target="https://www.oecd-ilibrary.org/economics/oecd-economic-surveys-switzerland-1992_eco_surveys-che-1992-en" TargetMode="External" /><Relationship Type="http://schemas.openxmlformats.org/officeDocument/2006/relationships/hyperlink" Id="rId272" Target="https://www.oecd-ilibrary.org/economics/oecd-economic-surveys-switzerland-2019_7e6fd372-en" TargetMode="External" /><Relationship Type="http://schemas.openxmlformats.org/officeDocument/2006/relationships/hyperlink" Id="rId274"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Political Economy of Institutional Change and Social Blocs in Switzerland: a Neorealist Approach</dc:title>
  <dc:creator>Celâl Güney; Supervisor: professor Bruno Amable</dc:creator>
  <cp:keywords/>
  <dcterms:created xsi:type="dcterms:W3CDTF">2024-03-05T12:55:11Z</dcterms:created>
  <dcterms:modified xsi:type="dcterms:W3CDTF">2024-03-05T12:55:11Z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Master in the Political Economy of Capitalism, University of Geneva</vt:lpwstr>
  </property>
  <property fmtid="{D5CDD505-2E9C-101B-9397-08002B2CF9AE}" pid="14" name="template-partials">
    <vt:lpwstr/>
  </property>
  <property fmtid="{D5CDD505-2E9C-101B-9397-08002B2CF9AE}" pid="15" name="title-block-banner">
    <vt:lpwstr>False</vt:lpwstr>
  </property>
  <property fmtid="{D5CDD505-2E9C-101B-9397-08002B2CF9AE}" pid="16" name="toc-title">
    <vt:lpwstr>Table of contents</vt:lpwstr>
  </property>
</Properties>
</file>