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2FB6" w14:paraId="031D8E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332"/>
            <w:tcMar>
              <w:top w:w="180" w:type="dxa"/>
              <w:left w:w="260" w:type="dxa"/>
              <w:bottom w:w="140" w:type="dxa"/>
              <w:right w:w="260" w:type="dxa"/>
            </w:tcMar>
          </w:tcPr>
          <w:p w14:paraId="11034D7C" w14:textId="77777777" w:rsidR="00C82FB6" w:rsidRDefault="00000000">
            <w:pPr>
              <w:jc w:val="center"/>
            </w:pPr>
            <w:r>
              <w:rPr>
                <w:b/>
                <w:bCs/>
                <w:color w:val="FFFFFF"/>
                <w:sz w:val="48"/>
                <w:szCs w:val="48"/>
              </w:rPr>
              <w:t>DataForge</w:t>
            </w:r>
          </w:p>
          <w:p w14:paraId="46C04CB0" w14:textId="77777777" w:rsidR="00C82FB6" w:rsidRDefault="00000000">
            <w:pPr>
              <w:jc w:val="center"/>
            </w:pPr>
            <w:r>
              <w:rPr>
                <w:b/>
                <w:bCs/>
                <w:color w:val="FFFFFF"/>
                <w:sz w:val="30"/>
                <w:szCs w:val="30"/>
              </w:rPr>
              <w:t>Prototype Performance Bar</w:t>
            </w:r>
          </w:p>
          <w:p w14:paraId="5A4AD015" w14:textId="77B64ADF" w:rsidR="00C82FB6" w:rsidRDefault="00C82FB6" w:rsidP="009D6619"/>
        </w:tc>
      </w:tr>
    </w:tbl>
    <w:p w14:paraId="1FFBE16F" w14:textId="77777777" w:rsidR="00C82FB6" w:rsidRDefault="00C82F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2FB6" w14:paraId="42FA9DA5" w14:textId="77777777">
        <w:tblPrEx>
          <w:tblCellMar>
            <w:top w:w="0" w:type="dxa"/>
            <w:bottom w:w="0" w:type="dxa"/>
          </w:tblCellMar>
        </w:tblPrEx>
        <w:tc>
          <w:tcPr>
            <w:tcW w:w="9360" w:type="dxa"/>
            <w:tcBorders>
              <w:top w:val="single" w:sz="1" w:space="0" w:color="2D6A4F"/>
              <w:left w:val="single" w:sz="1" w:space="0" w:color="2D6A4F"/>
              <w:bottom w:val="single" w:sz="1" w:space="0" w:color="2D6A4F"/>
              <w:right w:val="single" w:sz="1" w:space="0" w:color="2D6A4F"/>
            </w:tcBorders>
            <w:shd w:val="clear" w:color="auto" w:fill="D8EFE3"/>
            <w:tcMar>
              <w:top w:w="100" w:type="dxa"/>
              <w:left w:w="200" w:type="dxa"/>
              <w:bottom w:w="100" w:type="dxa"/>
              <w:right w:w="200" w:type="dxa"/>
            </w:tcMar>
          </w:tcPr>
          <w:p w14:paraId="1D041115" w14:textId="77777777" w:rsidR="00C82FB6" w:rsidRDefault="00000000">
            <w:r>
              <w:rPr>
                <w:b/>
                <w:bCs/>
                <w:color w:val="1B4332"/>
              </w:rPr>
              <w:t xml:space="preserve">Purpose: </w:t>
            </w:r>
            <w:r>
              <w:t>This document defines the agreed performance targets for the DataForge 12-month prototype. These targets are scaled down from the full 36-month industrial proposal (</w:t>
            </w:r>
            <w:proofErr w:type="spellStart"/>
            <w:r>
              <w:t>Dataseed</w:t>
            </w:r>
            <w:proofErr w:type="spellEnd"/>
            <w:r>
              <w:t xml:space="preserve"> R&amp;D, </w:t>
            </w:r>
            <w:proofErr w:type="spellStart"/>
            <w:r>
              <w:t>proje</w:t>
            </w:r>
            <w:proofErr w:type="spellEnd"/>
            <w:r>
              <w:t xml:space="preserve"> </w:t>
            </w:r>
            <w:proofErr w:type="spellStart"/>
            <w:r>
              <w:t>yürütücüsü</w:t>
            </w:r>
            <w:proofErr w:type="spellEnd"/>
            <w:r>
              <w:t>: Emrah Uysal) to reflect laptop-Docker hardware constraints. All targets in the Prototype Bar column are the binding success criteria for Milestone 10 testing.</w:t>
            </w:r>
          </w:p>
          <w:p w14:paraId="40100E1F" w14:textId="77777777" w:rsidR="00C82FB6" w:rsidRDefault="00000000">
            <w:pPr>
              <w:spacing w:before="60"/>
            </w:pPr>
            <w:r>
              <w:rPr>
                <w:b/>
                <w:bCs/>
                <w:color w:val="1B4332"/>
              </w:rPr>
              <w:t xml:space="preserve">Scope note: </w:t>
            </w:r>
            <w:r>
              <w:t>Industrial targets are listed for reference only and are explicitly out of scope for this prototype. The prototype targets TRL 4–5 (validated component in laboratory environment), not TRL 5–7 operational deployment.</w:t>
            </w:r>
          </w:p>
        </w:tc>
      </w:tr>
    </w:tbl>
    <w:p w14:paraId="237E8960" w14:textId="77777777" w:rsidR="00C82FB6" w:rsidRDefault="00C82F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1800"/>
        <w:gridCol w:w="1710"/>
        <w:gridCol w:w="4411"/>
      </w:tblGrid>
      <w:tr w:rsidR="00C82FB6" w14:paraId="4D332943"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40" w:type="dxa"/>
              <w:bottom w:w="100" w:type="dxa"/>
              <w:right w:w="140" w:type="dxa"/>
            </w:tcMar>
            <w:vAlign w:val="center"/>
          </w:tcPr>
          <w:p w14:paraId="4868F7D3" w14:textId="77777777" w:rsidR="00C82FB6" w:rsidRDefault="00000000">
            <w:r>
              <w:rPr>
                <w:b/>
                <w:bCs/>
                <w:color w:val="FFFFFF"/>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40" w:type="dxa"/>
              <w:bottom w:w="100" w:type="dxa"/>
              <w:right w:w="140" w:type="dxa"/>
            </w:tcMar>
            <w:vAlign w:val="center"/>
          </w:tcPr>
          <w:p w14:paraId="7DF82C38" w14:textId="77777777" w:rsidR="00C82FB6" w:rsidRDefault="00000000">
            <w:r>
              <w:rPr>
                <w:b/>
                <w:bCs/>
                <w:color w:val="FFFFFF"/>
              </w:rPr>
              <w:t>Industrial Target</w:t>
            </w:r>
          </w:p>
        </w:tc>
        <w:tc>
          <w:tcPr>
            <w:tcW w:w="171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40" w:type="dxa"/>
              <w:bottom w:w="100" w:type="dxa"/>
              <w:right w:w="140" w:type="dxa"/>
            </w:tcMar>
            <w:vAlign w:val="center"/>
          </w:tcPr>
          <w:p w14:paraId="34C566FE" w14:textId="77777777" w:rsidR="00C82FB6" w:rsidRDefault="00000000">
            <w:r>
              <w:rPr>
                <w:b/>
                <w:bCs/>
                <w:color w:val="FFFFFF"/>
              </w:rPr>
              <w:t>Prototype Bar ✓</w:t>
            </w:r>
          </w:p>
        </w:tc>
        <w:tc>
          <w:tcPr>
            <w:tcW w:w="4411"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40" w:type="dxa"/>
              <w:bottom w:w="100" w:type="dxa"/>
              <w:right w:w="140" w:type="dxa"/>
            </w:tcMar>
            <w:vAlign w:val="center"/>
          </w:tcPr>
          <w:p w14:paraId="140CE17D" w14:textId="77777777" w:rsidR="00C82FB6" w:rsidRDefault="00000000">
            <w:r>
              <w:rPr>
                <w:b/>
                <w:bCs/>
                <w:color w:val="FFFFFF"/>
              </w:rPr>
              <w:t>Rationale for Prototype Value</w:t>
            </w:r>
          </w:p>
        </w:tc>
      </w:tr>
      <w:tr w:rsidR="00C82FB6" w14:paraId="7B45246E"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3EC2D9AA" w14:textId="77777777" w:rsidR="00C82FB6" w:rsidRDefault="00000000">
            <w:r>
              <w:rPr>
                <w:color w:val="000000"/>
              </w:rPr>
              <w:t>Throughput</w:t>
            </w:r>
          </w:p>
        </w:tc>
        <w:tc>
          <w:tcPr>
            <w:tcW w:w="1800"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54251EEE" w14:textId="77777777" w:rsidR="00C82FB6" w:rsidRDefault="00000000">
            <w:r>
              <w:rPr>
                <w:color w:val="000000"/>
              </w:rPr>
              <w:t>≥ 200K events/sec</w:t>
            </w:r>
          </w:p>
        </w:tc>
        <w:tc>
          <w:tcPr>
            <w:tcW w:w="1710" w:type="dxa"/>
            <w:tcBorders>
              <w:top w:val="single" w:sz="1" w:space="0" w:color="40916C"/>
              <w:left w:val="single" w:sz="1" w:space="0" w:color="40916C"/>
              <w:bottom w:val="single" w:sz="1" w:space="0" w:color="40916C"/>
              <w:right w:val="single" w:sz="1" w:space="0" w:color="40916C"/>
            </w:tcBorders>
            <w:shd w:val="clear" w:color="auto" w:fill="C8E6C9"/>
            <w:tcMar>
              <w:top w:w="100" w:type="dxa"/>
              <w:left w:w="140" w:type="dxa"/>
              <w:bottom w:w="100" w:type="dxa"/>
              <w:right w:w="140" w:type="dxa"/>
            </w:tcMar>
            <w:vAlign w:val="center"/>
          </w:tcPr>
          <w:p w14:paraId="2F2077F0" w14:textId="77777777" w:rsidR="00C82FB6" w:rsidRDefault="00000000">
            <w:r>
              <w:rPr>
                <w:b/>
                <w:bCs/>
                <w:color w:val="1B4332"/>
              </w:rPr>
              <w:t>≥ 10K events/sec</w:t>
            </w:r>
          </w:p>
        </w:tc>
        <w:tc>
          <w:tcPr>
            <w:tcW w:w="4411"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0BA6061C" w14:textId="77777777" w:rsidR="00C82FB6" w:rsidRDefault="00000000">
            <w:r>
              <w:rPr>
                <w:color w:val="000000"/>
              </w:rPr>
              <w:t>Prototype runs on a single-broker Kafka instance inside Docker Compose on a laptop. A single broker on shared hardware tops out around 10–20K events/sec — well below the industrial 200K target which assumes dedicated server infrastructure.</w:t>
            </w:r>
          </w:p>
        </w:tc>
      </w:tr>
      <w:tr w:rsidR="00C82FB6" w14:paraId="17A45023"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937C02" w14:textId="77777777" w:rsidR="00C82FB6" w:rsidRDefault="00000000">
            <w:r>
              <w:rPr>
                <w:color w:val="000000"/>
              </w:rPr>
              <w:t>Latency (p95)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092FDF" w14:textId="77777777" w:rsidR="00C82FB6" w:rsidRDefault="00000000">
            <w:r>
              <w:rPr>
                <w:color w:val="000000"/>
              </w:rPr>
              <w:t xml:space="preserve">≤ 50 </w:t>
            </w:r>
            <w:proofErr w:type="spellStart"/>
            <w:r>
              <w:rPr>
                <w:color w:val="000000"/>
              </w:rPr>
              <w:t>ms</w:t>
            </w:r>
            <w:proofErr w:type="spellEnd"/>
          </w:p>
        </w:tc>
        <w:tc>
          <w:tcPr>
            <w:tcW w:w="1710" w:type="dxa"/>
            <w:tcBorders>
              <w:top w:val="single" w:sz="1" w:space="0" w:color="40916C"/>
              <w:left w:val="single" w:sz="1" w:space="0" w:color="40916C"/>
              <w:bottom w:val="single" w:sz="1" w:space="0" w:color="40916C"/>
              <w:right w:val="single" w:sz="1" w:space="0" w:color="40916C"/>
            </w:tcBorders>
            <w:shd w:val="clear" w:color="auto" w:fill="E8F5E9"/>
            <w:tcMar>
              <w:top w:w="100" w:type="dxa"/>
              <w:left w:w="140" w:type="dxa"/>
              <w:bottom w:w="100" w:type="dxa"/>
              <w:right w:w="140" w:type="dxa"/>
            </w:tcMar>
            <w:vAlign w:val="center"/>
          </w:tcPr>
          <w:p w14:paraId="127E3B02" w14:textId="77777777" w:rsidR="00C82FB6" w:rsidRDefault="00000000">
            <w:r>
              <w:rPr>
                <w:b/>
                <w:bCs/>
                <w:color w:val="1B4332"/>
              </w:rPr>
              <w:t xml:space="preserve">≤ 500 </w:t>
            </w:r>
            <w:proofErr w:type="spellStart"/>
            <w:r>
              <w:rPr>
                <w:b/>
                <w:bCs/>
                <w:color w:val="1B4332"/>
              </w:rPr>
              <w:t>ms</w:t>
            </w:r>
            <w:proofErr w:type="spellEnd"/>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AA69AA" w14:textId="77777777" w:rsidR="00C82FB6" w:rsidRDefault="00000000">
            <w:r>
              <w:rPr>
                <w:color w:val="000000"/>
              </w:rPr>
              <w:t xml:space="preserve">Docker's virtual network bridge adds approximately 150–200 </w:t>
            </w:r>
            <w:proofErr w:type="spellStart"/>
            <w:r>
              <w:rPr>
                <w:color w:val="000000"/>
              </w:rPr>
              <w:t>ms</w:t>
            </w:r>
            <w:proofErr w:type="spellEnd"/>
            <w:r>
              <w:rPr>
                <w:color w:val="000000"/>
              </w:rPr>
              <w:t xml:space="preserve"> of overhead vs bare-metal NIC-to-NIC. The 500 </w:t>
            </w:r>
            <w:proofErr w:type="spellStart"/>
            <w:r>
              <w:rPr>
                <w:color w:val="000000"/>
              </w:rPr>
              <w:t>ms</w:t>
            </w:r>
            <w:proofErr w:type="spellEnd"/>
            <w:r>
              <w:rPr>
                <w:color w:val="000000"/>
              </w:rPr>
              <w:t xml:space="preserve"> target absorbs this overhead while still meeting real-time operator alerting expectations.</w:t>
            </w:r>
          </w:p>
        </w:tc>
      </w:tr>
      <w:tr w:rsidR="00C82FB6" w14:paraId="2278D52C"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15A31D18" w14:textId="77777777" w:rsidR="00C82FB6" w:rsidRDefault="00000000">
            <w:r>
              <w:rPr>
                <w:color w:val="000000"/>
              </w:rPr>
              <w:t>Data Loss</w:t>
            </w:r>
          </w:p>
        </w:tc>
        <w:tc>
          <w:tcPr>
            <w:tcW w:w="1800"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2D9FD50C" w14:textId="77777777" w:rsidR="00C82FB6" w:rsidRDefault="00000000">
            <w:r>
              <w:rPr>
                <w:color w:val="000000"/>
              </w:rPr>
              <w:t>≤ 0.1%</w:t>
            </w:r>
          </w:p>
        </w:tc>
        <w:tc>
          <w:tcPr>
            <w:tcW w:w="1710" w:type="dxa"/>
            <w:tcBorders>
              <w:top w:val="single" w:sz="1" w:space="0" w:color="40916C"/>
              <w:left w:val="single" w:sz="1" w:space="0" w:color="40916C"/>
              <w:bottom w:val="single" w:sz="1" w:space="0" w:color="40916C"/>
              <w:right w:val="single" w:sz="1" w:space="0" w:color="40916C"/>
            </w:tcBorders>
            <w:shd w:val="clear" w:color="auto" w:fill="C8E6C9"/>
            <w:tcMar>
              <w:top w:w="100" w:type="dxa"/>
              <w:left w:w="140" w:type="dxa"/>
              <w:bottom w:w="100" w:type="dxa"/>
              <w:right w:w="140" w:type="dxa"/>
            </w:tcMar>
            <w:vAlign w:val="center"/>
          </w:tcPr>
          <w:p w14:paraId="67BCF118" w14:textId="77777777" w:rsidR="00C82FB6" w:rsidRDefault="00000000">
            <w:r>
              <w:rPr>
                <w:b/>
                <w:bCs/>
                <w:color w:val="1B4332"/>
              </w:rPr>
              <w:t>≤ 1%</w:t>
            </w:r>
          </w:p>
        </w:tc>
        <w:tc>
          <w:tcPr>
            <w:tcW w:w="4411"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567A0759" w14:textId="77777777" w:rsidR="00C82FB6" w:rsidRDefault="00000000">
            <w:r>
              <w:rPr>
                <w:color w:val="000000"/>
              </w:rPr>
              <w:t>The prototype uses synthetic data with no hardware failure modes (no packet drops, no NIC errors). 1% accounts for occasional Docker resource contention and controlled fault-injection tests, while proving pipeline resilience.</w:t>
            </w:r>
          </w:p>
        </w:tc>
      </w:tr>
      <w:tr w:rsidR="00C82FB6" w14:paraId="771A3D45"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96CBC9" w14:textId="77777777" w:rsidR="00C82FB6" w:rsidRDefault="00000000">
            <w:r>
              <w:rPr>
                <w:color w:val="000000"/>
              </w:rPr>
              <w:t>Time Sync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14867C" w14:textId="77777777" w:rsidR="00C82FB6" w:rsidRDefault="00000000">
            <w:r>
              <w:rPr>
                <w:color w:val="000000"/>
              </w:rPr>
              <w:t>±200 µs (PTP hardware)</w:t>
            </w:r>
          </w:p>
        </w:tc>
        <w:tc>
          <w:tcPr>
            <w:tcW w:w="1710" w:type="dxa"/>
            <w:tcBorders>
              <w:top w:val="single" w:sz="1" w:space="0" w:color="40916C"/>
              <w:left w:val="single" w:sz="1" w:space="0" w:color="40916C"/>
              <w:bottom w:val="single" w:sz="1" w:space="0" w:color="40916C"/>
              <w:right w:val="single" w:sz="1" w:space="0" w:color="40916C"/>
            </w:tcBorders>
            <w:shd w:val="clear" w:color="auto" w:fill="E8F5E9"/>
            <w:tcMar>
              <w:top w:w="100" w:type="dxa"/>
              <w:left w:w="140" w:type="dxa"/>
              <w:bottom w:w="100" w:type="dxa"/>
              <w:right w:w="140" w:type="dxa"/>
            </w:tcMar>
            <w:vAlign w:val="center"/>
          </w:tcPr>
          <w:p w14:paraId="2277F9D2" w14:textId="77777777" w:rsidR="00C82FB6" w:rsidRDefault="00000000">
            <w:r>
              <w:rPr>
                <w:b/>
                <w:bCs/>
                <w:color w:val="1B4332"/>
              </w:rPr>
              <w:t xml:space="preserve">±1 </w:t>
            </w:r>
            <w:proofErr w:type="spellStart"/>
            <w:r>
              <w:rPr>
                <w:b/>
                <w:bCs/>
                <w:color w:val="1B4332"/>
              </w:rPr>
              <w:t>ms</w:t>
            </w:r>
            <w:proofErr w:type="spellEnd"/>
            <w:r>
              <w:rPr>
                <w:b/>
                <w:bCs/>
                <w:color w:val="1B4332"/>
              </w:rPr>
              <w:t xml:space="preserve"> (software)</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B7BEA9" w14:textId="77777777" w:rsidR="00C82FB6" w:rsidRDefault="00000000">
            <w:r>
              <w:rPr>
                <w:color w:val="000000"/>
              </w:rPr>
              <w:t xml:space="preserve">Hardware PTP (IEEE 1588) requires dedicated NIC support not available in a laptop environment. Software timestamps via int64 Unix milliseconds achieve ±1 </w:t>
            </w:r>
            <w:proofErr w:type="spellStart"/>
            <w:r>
              <w:rPr>
                <w:color w:val="000000"/>
              </w:rPr>
              <w:t>ms</w:t>
            </w:r>
            <w:proofErr w:type="spellEnd"/>
            <w:r>
              <w:rPr>
                <w:color w:val="000000"/>
              </w:rPr>
              <w:t xml:space="preserve"> accuracy — sufficient to demonstrate correct multi-source fusion logic.</w:t>
            </w:r>
          </w:p>
        </w:tc>
      </w:tr>
      <w:tr w:rsidR="00C82FB6" w14:paraId="5C79A096"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44AD8537" w14:textId="77777777" w:rsidR="00C82FB6" w:rsidRDefault="00000000">
            <w:r>
              <w:rPr>
                <w:color w:val="000000"/>
              </w:rPr>
              <w:t>Model AUC</w:t>
            </w:r>
          </w:p>
        </w:tc>
        <w:tc>
          <w:tcPr>
            <w:tcW w:w="1800"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4FDC6047" w14:textId="77777777" w:rsidR="00C82FB6" w:rsidRDefault="00000000">
            <w:r>
              <w:rPr>
                <w:color w:val="000000"/>
              </w:rPr>
              <w:t>≥ 0.90</w:t>
            </w:r>
          </w:p>
        </w:tc>
        <w:tc>
          <w:tcPr>
            <w:tcW w:w="1710" w:type="dxa"/>
            <w:tcBorders>
              <w:top w:val="single" w:sz="1" w:space="0" w:color="40916C"/>
              <w:left w:val="single" w:sz="1" w:space="0" w:color="40916C"/>
              <w:bottom w:val="single" w:sz="1" w:space="0" w:color="40916C"/>
              <w:right w:val="single" w:sz="1" w:space="0" w:color="40916C"/>
            </w:tcBorders>
            <w:shd w:val="clear" w:color="auto" w:fill="C8E6C9"/>
            <w:tcMar>
              <w:top w:w="100" w:type="dxa"/>
              <w:left w:w="140" w:type="dxa"/>
              <w:bottom w:w="100" w:type="dxa"/>
              <w:right w:w="140" w:type="dxa"/>
            </w:tcMar>
            <w:vAlign w:val="center"/>
          </w:tcPr>
          <w:p w14:paraId="546660B4" w14:textId="77777777" w:rsidR="00C82FB6" w:rsidRDefault="00000000">
            <w:r>
              <w:rPr>
                <w:b/>
                <w:bCs/>
                <w:color w:val="1B4332"/>
              </w:rPr>
              <w:t>≥ 0.85</w:t>
            </w:r>
          </w:p>
        </w:tc>
        <w:tc>
          <w:tcPr>
            <w:tcW w:w="4411" w:type="dxa"/>
            <w:tcBorders>
              <w:top w:val="single" w:sz="1" w:space="0" w:color="CCCCCC"/>
              <w:left w:val="single" w:sz="1" w:space="0" w:color="CCCCCC"/>
              <w:bottom w:val="single" w:sz="1" w:space="0" w:color="CCCCCC"/>
              <w:right w:val="single" w:sz="1" w:space="0" w:color="CCCCCC"/>
            </w:tcBorders>
            <w:shd w:val="clear" w:color="auto" w:fill="D8EFE3"/>
            <w:tcMar>
              <w:top w:w="100" w:type="dxa"/>
              <w:left w:w="140" w:type="dxa"/>
              <w:bottom w:w="100" w:type="dxa"/>
              <w:right w:w="140" w:type="dxa"/>
            </w:tcMar>
            <w:vAlign w:val="center"/>
          </w:tcPr>
          <w:p w14:paraId="7698BC38" w14:textId="77777777" w:rsidR="00C82FB6" w:rsidRDefault="00000000">
            <w:r>
              <w:rPr>
                <w:color w:val="000000"/>
              </w:rPr>
              <w:t xml:space="preserve">Training </w:t>
            </w:r>
            <w:proofErr w:type="gramStart"/>
            <w:r>
              <w:rPr>
                <w:color w:val="000000"/>
              </w:rPr>
              <w:t>on</w:t>
            </w:r>
            <w:proofErr w:type="gramEnd"/>
            <w:r>
              <w:rPr>
                <w:color w:val="000000"/>
              </w:rPr>
              <w:t xml:space="preserve"> synthetic data limits model </w:t>
            </w:r>
            <w:proofErr w:type="spellStart"/>
            <w:r>
              <w:rPr>
                <w:color w:val="000000"/>
              </w:rPr>
              <w:t>generalisation</w:t>
            </w:r>
            <w:proofErr w:type="spellEnd"/>
            <w:r>
              <w:rPr>
                <w:color w:val="000000"/>
              </w:rPr>
              <w:t xml:space="preserve"> versus the diverse real-world sensor data the industrial version would use. AUC ≥ 0.85 demonstrates that the detection architecture is sound; higher AUC is expected with real data in the industrial build.</w:t>
            </w:r>
          </w:p>
        </w:tc>
      </w:tr>
      <w:tr w:rsidR="00C82FB6" w14:paraId="33021A27" w14:textId="77777777" w:rsidTr="00D02256">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12783A" w14:textId="77777777" w:rsidR="00C82FB6" w:rsidRDefault="00000000">
            <w:r>
              <w:rPr>
                <w:color w:val="000000"/>
              </w:rPr>
              <w:t>False Positive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9B2BD3" w14:textId="77777777" w:rsidR="00C82FB6" w:rsidRDefault="00000000">
            <w:r>
              <w:rPr>
                <w:color w:val="000000"/>
              </w:rPr>
              <w:t>≤ 2%</w:t>
            </w:r>
          </w:p>
        </w:tc>
        <w:tc>
          <w:tcPr>
            <w:tcW w:w="1710" w:type="dxa"/>
            <w:tcBorders>
              <w:top w:val="single" w:sz="1" w:space="0" w:color="40916C"/>
              <w:left w:val="single" w:sz="1" w:space="0" w:color="40916C"/>
              <w:bottom w:val="single" w:sz="1" w:space="0" w:color="40916C"/>
              <w:right w:val="single" w:sz="1" w:space="0" w:color="40916C"/>
            </w:tcBorders>
            <w:shd w:val="clear" w:color="auto" w:fill="E8F5E9"/>
            <w:tcMar>
              <w:top w:w="100" w:type="dxa"/>
              <w:left w:w="140" w:type="dxa"/>
              <w:bottom w:w="100" w:type="dxa"/>
              <w:right w:w="140" w:type="dxa"/>
            </w:tcMar>
            <w:vAlign w:val="center"/>
          </w:tcPr>
          <w:p w14:paraId="67ED26ED" w14:textId="77777777" w:rsidR="00C82FB6" w:rsidRDefault="00000000">
            <w:r>
              <w:rPr>
                <w:b/>
                <w:bCs/>
                <w:color w:val="1B4332"/>
              </w:rPr>
              <w:t>≤ 5%</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FB33E2" w14:textId="77777777" w:rsidR="00C82FB6" w:rsidRDefault="00000000">
            <w:r>
              <w:rPr>
                <w:color w:val="000000"/>
              </w:rPr>
              <w:t xml:space="preserve">Synthetic anomaly labels are </w:t>
            </w:r>
            <w:proofErr w:type="gramStart"/>
            <w:r>
              <w:rPr>
                <w:color w:val="000000"/>
              </w:rPr>
              <w:t>by definition clean</w:t>
            </w:r>
            <w:proofErr w:type="gramEnd"/>
            <w:r>
              <w:rPr>
                <w:color w:val="000000"/>
              </w:rPr>
              <w:t xml:space="preserve"> but limited in variety. A 5% FPR ceiling is acceptable for prototype validation — it proves the model does not flood operators with noise while acknowledging the simplified label distribution.</w:t>
            </w:r>
          </w:p>
        </w:tc>
      </w:tr>
    </w:tbl>
    <w:p w14:paraId="72B214B8" w14:textId="77777777" w:rsidR="00C82FB6" w:rsidRDefault="00C82F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2FB6" w14:paraId="6FA9EAE5" w14:textId="77777777">
        <w:tblPrEx>
          <w:tblCellMar>
            <w:top w:w="0" w:type="dxa"/>
            <w:bottom w:w="0" w:type="dxa"/>
          </w:tblCellMar>
        </w:tblPrEx>
        <w:tc>
          <w:tcPr>
            <w:tcW w:w="9360" w:type="dxa"/>
            <w:tcBorders>
              <w:top w:val="single" w:sz="1" w:space="0" w:color="F9A825"/>
              <w:left w:val="single" w:sz="1" w:space="0" w:color="F9A825"/>
              <w:bottom w:val="single" w:sz="1" w:space="0" w:color="F9A825"/>
              <w:right w:val="single" w:sz="1" w:space="0" w:color="F9A825"/>
            </w:tcBorders>
            <w:shd w:val="clear" w:color="auto" w:fill="FFF8E1"/>
            <w:tcMar>
              <w:top w:w="80" w:type="dxa"/>
              <w:left w:w="180" w:type="dxa"/>
              <w:bottom w:w="80" w:type="dxa"/>
              <w:right w:w="180" w:type="dxa"/>
            </w:tcMar>
          </w:tcPr>
          <w:p w14:paraId="34D1CCC8" w14:textId="77777777" w:rsidR="00C82FB6" w:rsidRDefault="00000000">
            <w:r>
              <w:rPr>
                <w:b/>
                <w:bCs/>
                <w:sz w:val="17"/>
                <w:szCs w:val="17"/>
              </w:rPr>
              <w:t xml:space="preserve">Out of scope for this prototype: </w:t>
            </w:r>
            <w:r>
              <w:rPr>
                <w:sz w:val="17"/>
                <w:szCs w:val="17"/>
              </w:rPr>
              <w:t>STANAG-certified radar interfaces, hardware PTP synchronization, production throughput (200K events/sec), KMS key management, on-prem/edge deployment, federated multi-site deployment, and pilot user feedback with a live defense partner.</w:t>
            </w:r>
          </w:p>
        </w:tc>
      </w:tr>
    </w:tbl>
    <w:p w14:paraId="128571EB" w14:textId="276345B9" w:rsidR="00C82FB6" w:rsidRDefault="00C82FB6" w:rsidP="009D6619">
      <w:pPr>
        <w:spacing w:before="60" w:after="60"/>
      </w:pPr>
    </w:p>
    <w:sectPr w:rsidR="00C82FB6">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30C1A"/>
    <w:multiLevelType w:val="hybridMultilevel"/>
    <w:tmpl w:val="CA1E9E66"/>
    <w:lvl w:ilvl="0" w:tplc="49AC9E7E">
      <w:start w:val="1"/>
      <w:numFmt w:val="bullet"/>
      <w:lvlText w:val="●"/>
      <w:lvlJc w:val="left"/>
      <w:pPr>
        <w:ind w:left="720" w:hanging="360"/>
      </w:pPr>
    </w:lvl>
    <w:lvl w:ilvl="1" w:tplc="D8887A32">
      <w:start w:val="1"/>
      <w:numFmt w:val="bullet"/>
      <w:lvlText w:val="○"/>
      <w:lvlJc w:val="left"/>
      <w:pPr>
        <w:ind w:left="1440" w:hanging="360"/>
      </w:pPr>
    </w:lvl>
    <w:lvl w:ilvl="2" w:tplc="70C23412">
      <w:start w:val="1"/>
      <w:numFmt w:val="bullet"/>
      <w:lvlText w:val="■"/>
      <w:lvlJc w:val="left"/>
      <w:pPr>
        <w:ind w:left="2160" w:hanging="360"/>
      </w:pPr>
    </w:lvl>
    <w:lvl w:ilvl="3" w:tplc="F1A4B2D2">
      <w:start w:val="1"/>
      <w:numFmt w:val="bullet"/>
      <w:lvlText w:val="●"/>
      <w:lvlJc w:val="left"/>
      <w:pPr>
        <w:ind w:left="2880" w:hanging="360"/>
      </w:pPr>
    </w:lvl>
    <w:lvl w:ilvl="4" w:tplc="B6763B3C">
      <w:start w:val="1"/>
      <w:numFmt w:val="bullet"/>
      <w:lvlText w:val="○"/>
      <w:lvlJc w:val="left"/>
      <w:pPr>
        <w:ind w:left="3600" w:hanging="360"/>
      </w:pPr>
    </w:lvl>
    <w:lvl w:ilvl="5" w:tplc="FA285F5C">
      <w:start w:val="1"/>
      <w:numFmt w:val="bullet"/>
      <w:lvlText w:val="■"/>
      <w:lvlJc w:val="left"/>
      <w:pPr>
        <w:ind w:left="4320" w:hanging="360"/>
      </w:pPr>
    </w:lvl>
    <w:lvl w:ilvl="6" w:tplc="E08270D2">
      <w:start w:val="1"/>
      <w:numFmt w:val="bullet"/>
      <w:lvlText w:val="●"/>
      <w:lvlJc w:val="left"/>
      <w:pPr>
        <w:ind w:left="5040" w:hanging="360"/>
      </w:pPr>
    </w:lvl>
    <w:lvl w:ilvl="7" w:tplc="973C64BC">
      <w:start w:val="1"/>
      <w:numFmt w:val="bullet"/>
      <w:lvlText w:val="●"/>
      <w:lvlJc w:val="left"/>
      <w:pPr>
        <w:ind w:left="5760" w:hanging="360"/>
      </w:pPr>
    </w:lvl>
    <w:lvl w:ilvl="8" w:tplc="F6D4E180">
      <w:start w:val="1"/>
      <w:numFmt w:val="bullet"/>
      <w:lvlText w:val="●"/>
      <w:lvlJc w:val="left"/>
      <w:pPr>
        <w:ind w:left="6480" w:hanging="360"/>
      </w:pPr>
    </w:lvl>
  </w:abstractNum>
  <w:num w:numId="1" w16cid:durableId="1082338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B6"/>
    <w:rsid w:val="0045714B"/>
    <w:rsid w:val="009D6619"/>
    <w:rsid w:val="00C82FB6"/>
    <w:rsid w:val="00D02256"/>
    <w:rsid w:val="00DB2F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0C286"/>
  <w15:docId w15:val="{7121A925-6F87-48E2-A6F9-76CBB4DB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jeylani</cp:lastModifiedBy>
  <cp:revision>4</cp:revision>
  <dcterms:created xsi:type="dcterms:W3CDTF">2026-06-03T15:54:00Z</dcterms:created>
  <dcterms:modified xsi:type="dcterms:W3CDTF">2026-06-03T19:05:00Z</dcterms:modified>
</cp:coreProperties>
</file>