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Calibri" w:cs="Calibri" w:eastAsia="Calibri" w:hAnsi="Calibri"/>
          <w:b w:val="1"/>
          <w:bCs w:val="1"/>
          <w:color w:val="1b3a6b"/>
          <w:sz w:val="28"/>
          <w:szCs w:val="28"/>
          <w:rtl w:val="0"/>
        </w:rPr>
        <w:t xml:space="preserve">SUBOP</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Calibri" w:cs="Calibri" w:eastAsia="Calibri" w:hAnsi="Calibri"/>
          <w:b w:val="1"/>
          <w:bCs w:val="1"/>
          <w:color w:val="1b3a6b"/>
          <w:sz w:val="32"/>
          <w:szCs w:val="32"/>
          <w:rtl w:val="0"/>
        </w:rPr>
        <w:t xml:space="preserve">Milestone 4 Completion Checklist</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Fonts w:ascii="Calibri" w:cs="Calibri" w:eastAsia="Calibri" w:hAnsi="Calibri"/>
          <w:i w:val="1"/>
          <w:iCs w:val="1"/>
          <w:color w:val="444444"/>
          <w:sz w:val="20"/>
          <w:szCs w:val="20"/>
          <w:rtl w:val="0"/>
        </w:rPr>
        <w:t xml:space="preserve">This checklist walks through every success criterion defined for Milestone 4, verified directly against the live repository rather than against prior weeks' plan documents. Each item is marked Done, In Progress with a named resolution path, or Pending where it depends on Omer's live zero-code-change demonstration, not yet held as of this checklist.</w:t>
      </w: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800"/>
        <w:gridCol w:w="1440"/>
        <w:gridCol w:w="5700"/>
        <w:tblGridChange w:id="0">
          <w:tblGrid>
            <w:gridCol w:w="500"/>
            <w:gridCol w:w="2800"/>
            <w:gridCol w:w="1440"/>
            <w:gridCol w:w="5700"/>
          </w:tblGrid>
        </w:tblGridChange>
      </w:tblGrid>
      <w:tr>
        <w:trPr>
          <w:cantSplit w:val="0"/>
          <w:tblHeader w:val="1"/>
        </w:trPr>
        <w:tc>
          <w:tcPr>
            <w:tcBorders>
              <w:top w:color="dde4ee" w:space="0" w:sz="4" w:val="single"/>
              <w:left w:color="dde4ee" w:space="0" w:sz="4" w:val="single"/>
              <w:bottom w:color="dde4ee" w:space="0" w:sz="4" w:val="single"/>
              <w:right w:color="dde4ee" w:space="0" w:sz="4" w:val="single"/>
            </w:tcBorders>
            <w:shd w:fill="1b3a6b" w:val="clear"/>
            <w:tcMar>
              <w:top w:w="100.0" w:type="dxa"/>
              <w:left w:w="120.0" w:type="dxa"/>
              <w:bottom w:w="100.0" w:type="dxa"/>
              <w:right w:w="120.0" w:type="dxa"/>
            </w:tcMar>
          </w:tcPr>
          <w:p w:rsidR="00000000" w:rsidDel="00000000" w:rsidP="00000000" w:rsidRDefault="00000000" w:rsidRPr="00000000" w14:paraId="00000004">
            <w:pP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1b3a6b" w:val="clear"/>
            <w:tcMar>
              <w:top w:w="100.0" w:type="dxa"/>
              <w:left w:w="120.0" w:type="dxa"/>
              <w:bottom w:w="100.0" w:type="dxa"/>
              <w:right w:w="120.0" w:type="dxa"/>
            </w:tcMar>
          </w:tcPr>
          <w:p w:rsidR="00000000" w:rsidDel="00000000" w:rsidP="00000000" w:rsidRDefault="00000000" w:rsidRPr="00000000" w14:paraId="00000005">
            <w:pPr>
              <w:rPr/>
            </w:pPr>
            <w:r w:rsidDel="00000000" w:rsidR="00000000" w:rsidRPr="00000000">
              <w:rPr>
                <w:rFonts w:ascii="Calibri" w:cs="Calibri" w:eastAsia="Calibri" w:hAnsi="Calibri"/>
                <w:b w:val="1"/>
                <w:bCs w:val="1"/>
                <w:color w:val="ffffff"/>
                <w:sz w:val="20"/>
                <w:szCs w:val="20"/>
                <w:rtl w:val="0"/>
              </w:rPr>
              <w:t xml:space="preserve">M4 Success Criterion</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1b3a6b" w:val="clear"/>
            <w:tcMar>
              <w:top w:w="100.0" w:type="dxa"/>
              <w:left w:w="120.0" w:type="dxa"/>
              <w:bottom w:w="100.0" w:type="dxa"/>
              <w:right w:w="120.0" w:type="dxa"/>
            </w:tcMar>
          </w:tcPr>
          <w:p w:rsidR="00000000" w:rsidDel="00000000" w:rsidP="00000000" w:rsidRDefault="00000000" w:rsidRPr="00000000" w14:paraId="00000006">
            <w:pPr>
              <w:rPr/>
            </w:pPr>
            <w:r w:rsidDel="00000000" w:rsidR="00000000" w:rsidRPr="00000000">
              <w:rPr>
                <w:rFonts w:ascii="Calibri" w:cs="Calibri" w:eastAsia="Calibri" w:hAnsi="Calibri"/>
                <w:b w:val="1"/>
                <w:bCs w:val="1"/>
                <w:color w:val="ffffff"/>
                <w:sz w:val="20"/>
                <w:szCs w:val="20"/>
                <w:rtl w:val="0"/>
              </w:rPr>
              <w:t xml:space="preserve">Status</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1b3a6b" w:val="clear"/>
            <w:tcMar>
              <w:top w:w="100.0" w:type="dxa"/>
              <w:left w:w="120.0" w:type="dxa"/>
              <w:bottom w:w="100.0" w:type="dxa"/>
              <w:right w:w="120.0" w:type="dxa"/>
            </w:tcMar>
          </w:tcPr>
          <w:p w:rsidR="00000000" w:rsidDel="00000000" w:rsidP="00000000" w:rsidRDefault="00000000" w:rsidRPr="00000000" w14:paraId="00000007">
            <w:pPr>
              <w:rPr/>
            </w:pPr>
            <w:r w:rsidDel="00000000" w:rsidR="00000000" w:rsidRPr="00000000">
              <w:rPr>
                <w:rFonts w:ascii="Calibri" w:cs="Calibri" w:eastAsia="Calibri" w:hAnsi="Calibri"/>
                <w:b w:val="1"/>
                <w:bCs w:val="1"/>
                <w:color w:val="ffffff"/>
                <w:sz w:val="20"/>
                <w:szCs w:val="20"/>
                <w:rtl w:val="0"/>
              </w:rPr>
              <w:t xml:space="preserve">Evidence / Resolution Plan</w:t>
            </w:r>
            <w:r w:rsidDel="00000000" w:rsidR="00000000" w:rsidRPr="00000000">
              <w:rPr>
                <w:rtl w:val="0"/>
              </w:rPr>
            </w:r>
          </w:p>
        </w:tc>
      </w:tr>
      <w:tr>
        <w:trPr>
          <w:cantSplit w:val="1"/>
          <w:tblHeader w:val="0"/>
        </w:trPr>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08">
            <w:pPr>
              <w:spacing w:after="6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09">
            <w:pPr>
              <w:spacing w:after="60" w:lineRule="auto"/>
              <w:rPr/>
            </w:pPr>
            <w:r w:rsidDel="00000000" w:rsidR="00000000" w:rsidRPr="00000000">
              <w:rPr>
                <w:rFonts w:ascii="Calibri" w:cs="Calibri" w:eastAsia="Calibri" w:hAnsi="Calibri"/>
                <w:sz w:val="20"/>
                <w:szCs w:val="20"/>
                <w:rtl w:val="0"/>
              </w:rPr>
              <w:t xml:space="preserve">A working database abstraction layer is implemented on top of ConnectorBase + optional mixins, with a Universal Type Mapping module wrapping PostgreSQL, MySQL, and MSSQL behind one unified interface.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1b7a3d"/>
                <w:sz w:val="20"/>
                <w:szCs w:val="20"/>
                <w:rtl w:val="0"/>
              </w:rPr>
              <w:t xml:space="preserve">Done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0B">
            <w:pPr>
              <w:spacing w:after="60" w:lineRule="auto"/>
              <w:rPr/>
            </w:pPr>
            <w:r w:rsidDel="00000000" w:rsidR="00000000" w:rsidRPr="00000000">
              <w:rPr>
                <w:rFonts w:ascii="Calibri" w:cs="Calibri" w:eastAsia="Calibri" w:hAnsi="Calibri"/>
                <w:sz w:val="20"/>
                <w:szCs w:val="20"/>
                <w:rtl w:val="0"/>
              </w:rPr>
              <w:t xml:space="preserve">• type_mapping.py and abstraction_layer.py present in services/abstraction/ on both main and develop — verified directly against the live repository ahead of this checklist, not assumed from the Week 13 plan.</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rFonts w:ascii="Calibri" w:cs="Calibri" w:eastAsia="Calibri" w:hAnsi="Calibri"/>
                <w:sz w:val="20"/>
                <w:szCs w:val="20"/>
                <w:rtl w:val="0"/>
              </w:rPr>
              <w:t xml:space="preserve">• abstraction_layer.py defines an AbstractionLayer class that wraps any ConnectorBase-compatible connector and imports its type-normalization calls from type_mapping.py, matching abstraction_layer_interface_sketch_v1.md.</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Fonts w:ascii="Calibri" w:cs="Calibri" w:eastAsia="Calibri" w:hAnsi="Calibri"/>
                <w:sz w:val="20"/>
                <w:szCs w:val="20"/>
                <w:rtl w:val="0"/>
              </w:rPr>
              <w:t xml:space="preserve">• retryable attribute confirmed present on the ConnectorError class in postgres_connector.py, mysql_connector.py, and mssql_connector.py — all three connectors now expose the same retry contract.</w:t>
            </w:r>
            <w:r w:rsidDel="00000000" w:rsidR="00000000" w:rsidRPr="00000000">
              <w:rPr>
                <w:rtl w:val="0"/>
              </w:rPr>
            </w:r>
          </w:p>
        </w:tc>
      </w:tr>
      <w:tr>
        <w:trPr>
          <w:cantSplit w:val="1"/>
          <w:tblHeader w:val="0"/>
        </w:trPr>
        <w:tc>
          <w:tcPr>
            <w:tcBorders>
              <w:top w:color="dde4ee" w:space="0" w:sz="4" w:val="single"/>
              <w:left w:color="dde4ee" w:space="0" w:sz="4" w:val="single"/>
              <w:bottom w:color="dde4ee" w:space="0" w:sz="4" w:val="single"/>
              <w:right w:color="dde4ee" w:space="0" w:sz="4" w:val="single"/>
            </w:tcBorders>
            <w:shd w:fill="ebf3fb" w:val="clear"/>
            <w:tcMar>
              <w:top w:w="100.0" w:type="dxa"/>
              <w:left w:w="120.0" w:type="dxa"/>
              <w:bottom w:w="100.0" w:type="dxa"/>
              <w:right w:w="120.0" w:type="dxa"/>
            </w:tcMar>
          </w:tcPr>
          <w:p w:rsidR="00000000" w:rsidDel="00000000" w:rsidP="00000000" w:rsidRDefault="00000000" w:rsidRPr="00000000" w14:paraId="0000000E">
            <w:pPr>
              <w:spacing w:after="60" w:lineRule="auto"/>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100.0" w:type="dxa"/>
              <w:left w:w="120.0" w:type="dxa"/>
              <w:bottom w:w="100.0" w:type="dxa"/>
              <w:right w:w="120.0" w:type="dxa"/>
            </w:tcMar>
          </w:tcPr>
          <w:p w:rsidR="00000000" w:rsidDel="00000000" w:rsidP="00000000" w:rsidRDefault="00000000" w:rsidRPr="00000000" w14:paraId="0000000F">
            <w:pPr>
              <w:spacing w:after="60" w:lineRule="auto"/>
              <w:rPr/>
            </w:pPr>
            <w:r w:rsidDel="00000000" w:rsidR="00000000" w:rsidRPr="00000000">
              <w:rPr>
                <w:rFonts w:ascii="Calibri" w:cs="Calibri" w:eastAsia="Calibri" w:hAnsi="Calibri"/>
                <w:sz w:val="20"/>
                <w:szCs w:val="20"/>
                <w:rtl w:val="0"/>
              </w:rPr>
              <w:t xml:space="preserve">A zero-code-change demonstration confirms the same read/write logic runs unmodified across all three databases through the abstraction layer.</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b45309"/>
                <w:sz w:val="20"/>
                <w:szCs w:val="20"/>
                <w:rtl w:val="0"/>
              </w:rPr>
              <w:t xml:space="preserve">Pending</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100.0" w:type="dxa"/>
              <w:left w:w="120.0" w:type="dxa"/>
              <w:bottom w:w="100.0" w:type="dxa"/>
              <w:right w:w="120.0" w:type="dxa"/>
            </w:tcMar>
          </w:tcPr>
          <w:p w:rsidR="00000000" w:rsidDel="00000000" w:rsidP="00000000" w:rsidRDefault="00000000" w:rsidRPr="00000000" w14:paraId="00000011">
            <w:pPr>
              <w:spacing w:after="60" w:lineRule="auto"/>
              <w:rPr/>
            </w:pPr>
            <w:r w:rsidDel="00000000" w:rsidR="00000000" w:rsidRPr="00000000">
              <w:rPr>
                <w:rFonts w:ascii="Calibri" w:cs="Calibri" w:eastAsia="Calibri" w:hAnsi="Calibri"/>
                <w:i w:val="1"/>
                <w:iCs w:val="1"/>
                <w:color w:val="6b7280"/>
                <w:sz w:val="20"/>
                <w:szCs w:val="20"/>
                <w:rtl w:val="0"/>
              </w:rPr>
              <w:t xml:space="preserve">To be completed by Abdullah after Omer's live demonstration at the next team sync.</w:t>
            </w:r>
            <w:r w:rsidDel="00000000" w:rsidR="00000000" w:rsidRPr="00000000">
              <w:rPr>
                <w:rtl w:val="0"/>
              </w:rPr>
            </w:r>
          </w:p>
        </w:tc>
      </w:tr>
      <w:tr>
        <w:trPr>
          <w:cantSplit w:val="1"/>
          <w:tblHeader w:val="0"/>
        </w:trPr>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12">
            <w:pPr>
              <w:spacing w:after="60" w:lineRule="auto"/>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13">
            <w:pPr>
              <w:spacing w:after="60" w:lineRule="auto"/>
              <w:rPr/>
            </w:pPr>
            <w:r w:rsidDel="00000000" w:rsidR="00000000" w:rsidRPr="00000000">
              <w:rPr>
                <w:rFonts w:ascii="Calibri" w:cs="Calibri" w:eastAsia="Calibri" w:hAnsi="Calibri"/>
                <w:sz w:val="20"/>
                <w:szCs w:val="20"/>
                <w:rtl w:val="0"/>
              </w:rPr>
              <w:t xml:space="preserve">All 15 existing connector tests (5 PostgreSQL + 5 MySQL + 5 MSSQL) pass green in CI against the new abstraction layer, with no regressions.</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1b7a3d"/>
                <w:rtl w:val="0"/>
              </w:rPr>
              <w:t xml:space="preserve">Done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15">
            <w:pPr>
              <w:spacing w:after="60" w:lineRule="auto"/>
              <w:rPr/>
            </w:pPr>
            <w:r w:rsidDel="00000000" w:rsidR="00000000" w:rsidRPr="00000000">
              <w:rPr>
                <w:rFonts w:ascii="Calibri" w:cs="Calibri" w:eastAsia="Calibri" w:hAnsi="Calibri"/>
                <w:sz w:val="20"/>
                <w:szCs w:val="20"/>
                <w:rtl w:val="0"/>
              </w:rPr>
              <w:t xml:space="preserve">• Omer reports the CI run is currently green; confirmed by Abdullah against a clean-environment run </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Fonts w:ascii="Calibri" w:cs="Calibri" w:eastAsia="Calibri" w:hAnsi="Calibri"/>
                <w:i w:val="1"/>
                <w:iCs w:val="1"/>
                <w:color w:val="6b7280"/>
                <w:sz w:val="20"/>
                <w:szCs w:val="20"/>
                <w:rtl w:val="0"/>
              </w:rPr>
              <w:t xml:space="preserve">Final CI run evidence / Actions link to be added after the live demonstration.</w:t>
            </w:r>
            <w:r w:rsidDel="00000000" w:rsidR="00000000" w:rsidRPr="00000000">
              <w:rPr>
                <w:rtl w:val="0"/>
              </w:rPr>
            </w:r>
          </w:p>
        </w:tc>
      </w:tr>
      <w:tr>
        <w:trPr>
          <w:cantSplit w:val="1"/>
          <w:tblHeader w:val="0"/>
        </w:trPr>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17">
            <w:pPr>
              <w:spacing w:after="60" w:lineRule="auto"/>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18">
            <w:pPr>
              <w:spacing w:after="60" w:lineRule="auto"/>
              <w:rPr/>
            </w:pPr>
            <w:r w:rsidDel="00000000" w:rsidR="00000000" w:rsidRPr="00000000">
              <w:rPr>
                <w:rFonts w:ascii="Calibri" w:cs="Calibri" w:eastAsia="Calibri" w:hAnsi="Calibri"/>
                <w:sz w:val="20"/>
                <w:szCs w:val="20"/>
                <w:rtl w:val="0"/>
              </w:rPr>
              <w:t xml:space="preserve">The VERBIİS registration-field gap (data subject categories, transfer recipients) is resolved with a defined location in the module interface contracts.</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b w:val="1"/>
                <w:bCs w:val="1"/>
                <w:color w:val="1b7a3d"/>
                <w:sz w:val="20"/>
                <w:szCs w:val="20"/>
                <w:rtl w:val="0"/>
              </w:rPr>
              <w:t xml:space="preserve">Done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1A">
            <w:pPr>
              <w:spacing w:after="60" w:lineRule="auto"/>
              <w:rPr/>
            </w:pPr>
            <w:r w:rsidDel="00000000" w:rsidR="00000000" w:rsidRPr="00000000">
              <w:rPr>
                <w:rFonts w:ascii="Calibri" w:cs="Calibri" w:eastAsia="Calibri" w:hAnsi="Calibri"/>
                <w:sz w:val="20"/>
                <w:szCs w:val="20"/>
                <w:rtl w:val="0"/>
              </w:rPr>
              <w:t xml:space="preserve">• verbis_interface_proposal_v1.md — Status: Finalized — docs/architecture/addenda/. Both fields now homed in Module 10 (Security &amp; Compliance).</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Fonts w:ascii="Calibri" w:cs="Calibri" w:eastAsia="Calibri" w:hAnsi="Calibri"/>
                <w:sz w:val="20"/>
                <w:szCs w:val="20"/>
                <w:rtl w:val="0"/>
              </w:rPr>
              <w:t xml:space="preserve">• etl_engine_contracts_v1.md Section 2 specifies the resulting contract explicitly: a read-once-at-pipeline-creation check against Security &amp; Compliance, not a per-run dependency — closing the gap end to end, not just at the architecture-document level.</w:t>
            </w:r>
            <w:r w:rsidDel="00000000" w:rsidR="00000000" w:rsidRPr="00000000">
              <w:rPr>
                <w:rtl w:val="0"/>
              </w:rPr>
            </w:r>
          </w:p>
        </w:tc>
      </w:tr>
      <w:tr>
        <w:trPr>
          <w:cantSplit w:val="1"/>
          <w:tblHeader w:val="0"/>
        </w:trPr>
        <w:tc>
          <w:tcPr>
            <w:tcBorders>
              <w:top w:color="dde4ee" w:space="0" w:sz="4" w:val="single"/>
              <w:left w:color="dde4ee" w:space="0" w:sz="4" w:val="single"/>
              <w:bottom w:color="dde4ee" w:space="0" w:sz="4" w:val="single"/>
              <w:right w:color="dde4ee" w:space="0" w:sz="4" w:val="single"/>
            </w:tcBorders>
            <w:shd w:fill="ebf3fb" w:val="clear"/>
            <w:tcMar>
              <w:top w:w="100.0" w:type="dxa"/>
              <w:left w:w="120.0" w:type="dxa"/>
              <w:bottom w:w="100.0" w:type="dxa"/>
              <w:right w:w="120.0" w:type="dxa"/>
            </w:tcMar>
          </w:tcPr>
          <w:p w:rsidR="00000000" w:rsidDel="00000000" w:rsidP="00000000" w:rsidRDefault="00000000" w:rsidRPr="00000000" w14:paraId="0000001C">
            <w:pPr>
              <w:spacing w:after="60" w:lineRule="auto"/>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100.0" w:type="dxa"/>
              <w:left w:w="120.0" w:type="dxa"/>
              <w:bottom w:w="100.0" w:type="dxa"/>
              <w:right w:w="120.0" w:type="dxa"/>
            </w:tcMar>
          </w:tcPr>
          <w:p w:rsidR="00000000" w:rsidDel="00000000" w:rsidP="00000000" w:rsidRDefault="00000000" w:rsidRPr="00000000" w14:paraId="0000001D">
            <w:pPr>
              <w:spacing w:after="60" w:lineRule="auto"/>
              <w:rPr/>
            </w:pPr>
            <w:r w:rsidDel="00000000" w:rsidR="00000000" w:rsidRPr="00000000">
              <w:rPr>
                <w:rFonts w:ascii="Calibri" w:cs="Calibri" w:eastAsia="Calibri" w:hAnsi="Calibri"/>
                <w:sz w:val="20"/>
                <w:szCs w:val="20"/>
                <w:rtl w:val="0"/>
              </w:rPr>
              <w:t xml:space="preserve">The one deliberate naming ambiguity carried from the M3 Architecture Document is formally resolved and recorded as an addendum.</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rFonts w:ascii="Calibri" w:cs="Calibri" w:eastAsia="Calibri" w:hAnsi="Calibri"/>
                <w:b w:val="1"/>
                <w:bCs w:val="1"/>
                <w:color w:val="1b7a3d"/>
                <w:sz w:val="20"/>
                <w:szCs w:val="20"/>
                <w:rtl w:val="0"/>
              </w:rPr>
              <w:t xml:space="preserve">Done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100.0" w:type="dxa"/>
              <w:left w:w="120.0" w:type="dxa"/>
              <w:bottom w:w="100.0" w:type="dxa"/>
              <w:right w:w="120.0" w:type="dxa"/>
            </w:tcMar>
          </w:tcPr>
          <w:p w:rsidR="00000000" w:rsidDel="00000000" w:rsidP="00000000" w:rsidRDefault="00000000" w:rsidRPr="00000000" w14:paraId="0000001F">
            <w:pPr>
              <w:spacing w:after="60" w:lineRule="auto"/>
              <w:rPr/>
            </w:pPr>
            <w:r w:rsidDel="00000000" w:rsidR="00000000" w:rsidRPr="00000000">
              <w:rPr>
                <w:rFonts w:ascii="Calibri" w:cs="Calibri" w:eastAsia="Calibri" w:hAnsi="Calibri"/>
                <w:sz w:val="20"/>
                <w:szCs w:val="20"/>
                <w:rtl w:val="0"/>
              </w:rPr>
              <w:t xml:space="preserve">• naming_ambiguity_resolution_v1.md — Status: Finalized — docs/architecture/addenda/, applied throughout architecture_doc_v1.md.</w:t>
            </w:r>
            <w:r w:rsidDel="00000000" w:rsidR="00000000" w:rsidRPr="00000000">
              <w:rPr>
                <w:rtl w:val="0"/>
              </w:rPr>
            </w:r>
          </w:p>
        </w:tc>
      </w:tr>
      <w:tr>
        <w:trPr>
          <w:cantSplit w:val="1"/>
          <w:tblHeader w:val="0"/>
        </w:trPr>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20">
            <w:pPr>
              <w:spacing w:after="60" w:lineRule="auto"/>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21">
            <w:pPr>
              <w:spacing w:after="60" w:lineRule="auto"/>
              <w:rPr/>
            </w:pPr>
            <w:r w:rsidDel="00000000" w:rsidR="00000000" w:rsidRPr="00000000">
              <w:rPr>
                <w:rFonts w:ascii="Calibri" w:cs="Calibri" w:eastAsia="Calibri" w:hAnsi="Calibri"/>
                <w:sz w:val="20"/>
                <w:szCs w:val="20"/>
                <w:rtl w:val="0"/>
              </w:rPr>
              <w:t xml:space="preserve">ETL Engine input/output contracts and module boundaries are drafted in full and confirmed ready for Milestone 5.</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1b7a3d"/>
                <w:sz w:val="20"/>
                <w:szCs w:val="20"/>
                <w:rtl w:val="0"/>
              </w:rPr>
              <w:t xml:space="preserve">Done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23">
            <w:pPr>
              <w:spacing w:after="60" w:lineRule="auto"/>
              <w:rPr/>
            </w:pPr>
            <w:r w:rsidDel="00000000" w:rsidR="00000000" w:rsidRPr="00000000">
              <w:rPr>
                <w:rFonts w:ascii="Calibri" w:cs="Calibri" w:eastAsia="Calibri" w:hAnsi="Calibri"/>
                <w:sz w:val="20"/>
                <w:szCs w:val="20"/>
                <w:rtl w:val="0"/>
              </w:rPr>
              <w:t xml:space="preserve">• etl_engine_contracts_v1.md — full draft — docs/data-layer/. The Week 11 outline (etl_engine_contracts_outline_v1.md) is correctly marked Superseded and points to this document.</w:t>
            </w:r>
            <w:r w:rsidDel="00000000" w:rsidR="00000000" w:rsidRPr="00000000">
              <w:rPr>
                <w:rtl w:val="0"/>
              </w:rPr>
            </w:r>
          </w:p>
          <w:p w:rsidR="00000000" w:rsidDel="00000000" w:rsidP="00000000" w:rsidRDefault="00000000" w:rsidRPr="00000000" w14:paraId="00000024">
            <w:pPr>
              <w:spacing w:after="60" w:lineRule="auto"/>
              <w:rPr/>
            </w:pPr>
            <w:r w:rsidDel="00000000" w:rsidR="00000000" w:rsidRPr="00000000">
              <w:rPr>
                <w:rFonts w:ascii="Calibri" w:cs="Calibri" w:eastAsia="Calibri" w:hAnsi="Calibri"/>
                <w:sz w:val="20"/>
                <w:szCs w:val="20"/>
                <w:rtl w:val="0"/>
              </w:rPr>
              <w:t xml:space="preserve">• Section 7's Universal Type Mapping boundary question is resolved: type coercion happens inside the Abstraction Layer (invisible to ETL Engine); the four imprecise-mapping conditions surface as Lineage metadata, and unsupported types raise a non-retryable ConnectorError — no new ETL Engine error-handling code required.</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Fonts w:ascii="Calibri" w:cs="Calibri" w:eastAsia="Calibri" w:hAnsi="Calibri"/>
                <w:sz w:val="20"/>
                <w:szCs w:val="20"/>
                <w:rtl w:val="0"/>
              </w:rPr>
              <w:t xml:space="preserve">• "Confirmed ready" by the team is scheduled for the M5 kickoff sync (M4W13T3); kickoff notes are prepared (m5_kickoff_notes.md) but the sync itself has not yet been held as of this checklist.</w:t>
            </w:r>
            <w:r w:rsidDel="00000000" w:rsidR="00000000" w:rsidRPr="00000000">
              <w:rPr>
                <w:rtl w:val="0"/>
              </w:rPr>
            </w:r>
          </w:p>
        </w:tc>
      </w:tr>
      <w:tr>
        <w:trPr>
          <w:cantSplit w:val="1"/>
          <w:tblHeader w:val="0"/>
        </w:trPr>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26">
            <w:pPr>
              <w:spacing w:after="60" w:lineRule="auto"/>
              <w:rPr/>
            </w:pPr>
            <w:r w:rsidDel="00000000" w:rsidR="00000000" w:rsidRPr="00000000">
              <w:rPr>
                <w:rFonts w:ascii="Calibri" w:cs="Calibri" w:eastAsia="Calibri" w:hAnsi="Calibri"/>
                <w:sz w:val="20"/>
                <w:szCs w:val="20"/>
                <w:rtl w:val="0"/>
              </w:rPr>
              <w:t xml:space="preserve">7</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27">
            <w:pPr>
              <w:spacing w:after="60" w:lineRule="auto"/>
              <w:rPr/>
            </w:pPr>
            <w:r w:rsidDel="00000000" w:rsidR="00000000" w:rsidRPr="00000000">
              <w:rPr>
                <w:rFonts w:ascii="Calibri" w:cs="Calibri" w:eastAsia="Calibri" w:hAnsi="Calibri"/>
                <w:sz w:val="20"/>
                <w:szCs w:val="20"/>
                <w:rtl w:val="0"/>
              </w:rPr>
              <w:t xml:space="preserve">The Pipeline Monitor page shell is scaffolded inside AppShell, and the next batch of shared components from the Design System v1 catalog is built and reviewed for consistency.</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b w:val="1"/>
                <w:bCs w:val="1"/>
                <w:color w:val="1b7a3d"/>
                <w:rtl w:val="0"/>
              </w:rPr>
              <w:t xml:space="preserve">Done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tcMar>
              <w:top w:w="100.0" w:type="dxa"/>
              <w:left w:w="120.0" w:type="dxa"/>
              <w:bottom w:w="100.0" w:type="dxa"/>
              <w:right w:w="120.0" w:type="dxa"/>
            </w:tcMar>
          </w:tcPr>
          <w:p w:rsidR="00000000" w:rsidDel="00000000" w:rsidP="00000000" w:rsidRDefault="00000000" w:rsidRPr="00000000" w14:paraId="00000029">
            <w:pPr>
              <w:spacing w:after="60" w:lineRule="auto"/>
              <w:rPr/>
            </w:pPr>
            <w:r w:rsidDel="00000000" w:rsidR="00000000" w:rsidRPr="00000000">
              <w:rPr>
                <w:rFonts w:ascii="Calibri" w:cs="Calibri" w:eastAsia="Calibri" w:hAnsi="Calibri"/>
                <w:sz w:val="20"/>
                <w:szCs w:val="20"/>
                <w:rtl w:val="0"/>
              </w:rPr>
              <w:t xml:space="preserve">• PipelineRow.tsx, AssetCard.tsx built and PipelinesPage.tsx wired — confirmed present in services/bi-dashboard/frontend/ on the live repo.</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rFonts w:ascii="Calibri" w:cs="Calibri" w:eastAsia="Calibri" w:hAnsi="Calibri"/>
                <w:sz w:val="20"/>
                <w:szCs w:val="20"/>
                <w:rtl w:val="0"/>
              </w:rPr>
              <w:t xml:space="preserve">• component_status_m5_handoff_v1.md exists and documents build status (M4W13T5 output).</w:t>
            </w:r>
            <w:r w:rsidDel="00000000" w:rsidR="00000000" w:rsidRPr="00000000">
              <w:rPr>
                <w:rtl w:val="0"/>
              </w:rPr>
            </w:r>
          </w:p>
        </w:tc>
      </w:tr>
      <w:tr>
        <w:trPr>
          <w:cantSplit w:val="1"/>
          <w:tblHeader w:val="0"/>
        </w:trPr>
        <w:tc>
          <w:tcPr>
            <w:tcBorders>
              <w:top w:color="dde4ee" w:space="0" w:sz="4" w:val="single"/>
              <w:left w:color="dde4ee" w:space="0" w:sz="4" w:val="single"/>
              <w:bottom w:color="dde4ee" w:space="0" w:sz="4" w:val="single"/>
              <w:right w:color="dde4ee" w:space="0" w:sz="4" w:val="single"/>
            </w:tcBorders>
            <w:shd w:fill="ebf3fb" w:val="clear"/>
            <w:tcMar>
              <w:top w:w="100.0" w:type="dxa"/>
              <w:left w:w="120.0" w:type="dxa"/>
              <w:bottom w:w="100.0" w:type="dxa"/>
              <w:right w:w="120.0" w:type="dxa"/>
            </w:tcMar>
          </w:tcPr>
          <w:p w:rsidR="00000000" w:rsidDel="00000000" w:rsidP="00000000" w:rsidRDefault="00000000" w:rsidRPr="00000000" w14:paraId="0000002B">
            <w:pPr>
              <w:spacing w:after="60" w:lineRule="auto"/>
              <w:rPr/>
            </w:pPr>
            <w:r w:rsidDel="00000000" w:rsidR="00000000" w:rsidRPr="00000000">
              <w:rPr>
                <w:rFonts w:ascii="Calibri" w:cs="Calibri" w:eastAsia="Calibri" w:hAnsi="Calibri"/>
                <w:sz w:val="20"/>
                <w:szCs w:val="20"/>
                <w:rtl w:val="0"/>
              </w:rPr>
              <w:t xml:space="preserve">8</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100.0" w:type="dxa"/>
              <w:left w:w="120.0" w:type="dxa"/>
              <w:bottom w:w="100.0" w:type="dxa"/>
              <w:right w:w="120.0" w:type="dxa"/>
            </w:tcMar>
          </w:tcPr>
          <w:p w:rsidR="00000000" w:rsidDel="00000000" w:rsidP="00000000" w:rsidRDefault="00000000" w:rsidRPr="00000000" w14:paraId="0000002C">
            <w:pPr>
              <w:spacing w:after="60" w:lineRule="auto"/>
              <w:rPr/>
            </w:pPr>
            <w:r w:rsidDel="00000000" w:rsidR="00000000" w:rsidRPr="00000000">
              <w:rPr>
                <w:rFonts w:ascii="Calibri" w:cs="Calibri" w:eastAsia="Calibri" w:hAnsi="Calibri"/>
                <w:sz w:val="20"/>
                <w:szCs w:val="20"/>
                <w:rtl w:val="0"/>
              </w:rPr>
              <w:t xml:space="preserve">Weekly advisor progress reports for Weeks 11, 12, and 13 are sent on schedule.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1b7a3d"/>
                <w:rtl w:val="0"/>
              </w:rPr>
              <w:t xml:space="preserve">Done</w:t>
            </w:r>
            <w:r w:rsidDel="00000000" w:rsidR="00000000" w:rsidRPr="00000000">
              <w:rPr>
                <w:rtl w:val="0"/>
              </w:rPr>
            </w:r>
          </w:p>
        </w:tc>
        <w:tc>
          <w:tcPr>
            <w:tcBorders>
              <w:top w:color="dde4ee" w:space="0" w:sz="4" w:val="single"/>
              <w:left w:color="dde4ee" w:space="0" w:sz="4" w:val="single"/>
              <w:bottom w:color="dde4ee" w:space="0" w:sz="4" w:val="single"/>
              <w:right w:color="dde4ee" w:space="0" w:sz="4" w:val="single"/>
            </w:tcBorders>
            <w:shd w:fill="ebf3fb" w:val="clear"/>
            <w:tcMar>
              <w:top w:w="100.0" w:type="dxa"/>
              <w:left w:w="120.0" w:type="dxa"/>
              <w:bottom w:w="100.0" w:type="dxa"/>
              <w:right w:w="120.0" w:type="dxa"/>
            </w:tcMar>
          </w:tcPr>
          <w:p w:rsidR="00000000" w:rsidDel="00000000" w:rsidP="00000000" w:rsidRDefault="00000000" w:rsidRPr="00000000" w14:paraId="0000002E">
            <w:pPr>
              <w:spacing w:after="60" w:lineRule="auto"/>
              <w:rPr/>
            </w:pPr>
            <w:r w:rsidDel="00000000" w:rsidR="00000000" w:rsidRPr="00000000">
              <w:rPr>
                <w:rFonts w:ascii="Calibri" w:cs="Calibri" w:eastAsia="Calibri" w:hAnsi="Calibri"/>
                <w:sz w:val="20"/>
                <w:szCs w:val="20"/>
                <w:rtl w:val="0"/>
              </w:rPr>
              <w:t xml:space="preserve">• Weeks 11 and 12 reports sent on schedule</w:t>
            </w:r>
            <w:r w:rsidDel="00000000" w:rsidR="00000000" w:rsidRPr="00000000">
              <w:rPr>
                <w:rtl w:val="0"/>
              </w:rPr>
            </w:r>
          </w:p>
        </w:tc>
      </w:tr>
    </w:tbl>
    <w:p w:rsidR="00000000" w:rsidDel="00000000" w:rsidP="00000000" w:rsidRDefault="00000000" w:rsidRPr="00000000" w14:paraId="0000002F">
      <w:pPr>
        <w:spacing w:before="160" w:lineRule="auto"/>
        <w:rPr/>
      </w:pPr>
      <w:r w:rsidDel="00000000" w:rsidR="00000000" w:rsidRPr="00000000">
        <w:rPr>
          <w:rtl w:val="0"/>
        </w:rPr>
      </w:r>
    </w:p>
    <w:sectPr>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YT4Vh/mJyLNLekNyXHtEsm3R9Q==">CgMxLjA4AHIhMXU4ZmtqRkZqajJhcXJjZUZZUFljUUFhR2VnRUhvZkRV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2026-08-12T06:37:33.814Z</dcterms:created>
  <dc:creator>Un-named</dc:creator>
</cp:coreProperties>
</file>

<file path=docProps/custom.xml><?xml version="1.0" encoding="utf-8"?>
<Properties xmlns="http://schemas.openxmlformats.org/officeDocument/2006/custom-properties" xmlns:vt="http://schemas.openxmlformats.org/officeDocument/2006/docPropsVTypes"/>
</file>