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EBD" w14:paraId="0121508D" w14:textId="77777777">
        <w:tblPrEx>
          <w:tblCellMar>
            <w:top w:w="0" w:type="dxa"/>
            <w:bottom w:w="0" w:type="dxa"/>
          </w:tblCellMar>
        </w:tblPrEx>
        <w:tc>
          <w:tcPr>
            <w:tcW w:w="9360" w:type="dxa"/>
            <w:tcBorders>
              <w:top w:val="single" w:sz="8" w:space="0" w:color="0D2B1F"/>
              <w:left w:val="single" w:sz="8" w:space="0" w:color="0D2B1F"/>
              <w:bottom w:val="single" w:sz="8" w:space="0" w:color="0D2B1F"/>
              <w:right w:val="single" w:sz="8" w:space="0" w:color="0D2B1F"/>
            </w:tcBorders>
            <w:shd w:val="clear" w:color="auto" w:fill="1F4E79"/>
            <w:tcMar>
              <w:top w:w="180" w:type="dxa"/>
              <w:left w:w="240" w:type="dxa"/>
              <w:bottom w:w="180" w:type="dxa"/>
              <w:right w:w="240" w:type="dxa"/>
            </w:tcMar>
          </w:tcPr>
          <w:p w14:paraId="6CD6006E" w14:textId="77777777" w:rsidR="00493EBD" w:rsidRDefault="00000000">
            <w:pPr>
              <w:spacing w:after="80"/>
              <w:jc w:val="center"/>
            </w:pPr>
            <w:r>
              <w:rPr>
                <w:rFonts w:ascii="Arial" w:eastAsia="Arial" w:hAnsi="Arial" w:cs="Arial"/>
                <w:b/>
                <w:bCs/>
                <w:color w:val="FFFFFF"/>
                <w:sz w:val="34"/>
                <w:szCs w:val="34"/>
              </w:rPr>
              <w:t>SUBOP</w:t>
            </w:r>
          </w:p>
          <w:p w14:paraId="68DB6F59" w14:textId="77777777" w:rsidR="00493EBD" w:rsidRDefault="00000000">
            <w:pPr>
              <w:spacing w:after="80"/>
              <w:jc w:val="center"/>
            </w:pPr>
            <w:r>
              <w:rPr>
                <w:rFonts w:ascii="Arial" w:eastAsia="Arial" w:hAnsi="Arial" w:cs="Arial"/>
                <w:color w:val="BDD7EE"/>
              </w:rPr>
              <w:t>Software United Business Operation Platform</w:t>
            </w:r>
          </w:p>
          <w:p w14:paraId="454B9F0B" w14:textId="77777777" w:rsidR="00493EBD" w:rsidRDefault="00000000">
            <w:pPr>
              <w:jc w:val="center"/>
            </w:pPr>
            <w:r>
              <w:rPr>
                <w:rFonts w:ascii="Arial" w:eastAsia="Arial" w:hAnsi="Arial" w:cs="Arial"/>
                <w:b/>
                <w:bCs/>
                <w:color w:val="FFFFFF"/>
                <w:sz w:val="28"/>
                <w:szCs w:val="28"/>
              </w:rPr>
              <w:t>Feasibility Report — First Draft</w:t>
            </w:r>
          </w:p>
        </w:tc>
      </w:tr>
    </w:tbl>
    <w:p w14:paraId="761BE5BF" w14:textId="77777777" w:rsidR="00493EBD" w:rsidRDefault="00493EB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3EBD" w14:paraId="02D49A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749B6E4" w14:textId="77777777" w:rsidR="00493EBD" w:rsidRDefault="00000000">
            <w:r>
              <w:rPr>
                <w:rFonts w:ascii="Arial" w:eastAsia="Arial" w:hAnsi="Arial" w:cs="Arial"/>
                <w:b/>
                <w:bCs/>
                <w:color w:val="1F4E79"/>
                <w:sz w:val="18"/>
                <w:szCs w:val="18"/>
              </w:rPr>
              <w:t>Project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A1A6D" w14:textId="77777777" w:rsidR="00493EBD" w:rsidRDefault="00000000">
            <w:r>
              <w:rPr>
                <w:rFonts w:ascii="Arial" w:eastAsia="Arial" w:hAnsi="Arial" w:cs="Arial"/>
                <w:color w:val="1A1A1A"/>
                <w:sz w:val="18"/>
                <w:szCs w:val="18"/>
              </w:rPr>
              <w:t>SUBOP — Software United Business Operation Platform</w:t>
            </w:r>
          </w:p>
        </w:tc>
      </w:tr>
      <w:tr w:rsidR="00493EBD" w14:paraId="0B40F5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125842A" w14:textId="77777777" w:rsidR="00493EBD" w:rsidRDefault="00000000">
            <w:r>
              <w:rPr>
                <w:rFonts w:ascii="Arial" w:eastAsia="Arial" w:hAnsi="Arial" w:cs="Arial"/>
                <w:b/>
                <w:bCs/>
                <w:color w:val="1F4E79"/>
                <w:sz w:val="18"/>
                <w:szCs w:val="18"/>
              </w:rPr>
              <w:t>Document</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074C0AA4" w14:textId="77777777" w:rsidR="00493EBD" w:rsidRDefault="00000000">
            <w:r>
              <w:rPr>
                <w:rFonts w:ascii="Arial" w:eastAsia="Arial" w:hAnsi="Arial" w:cs="Arial"/>
                <w:color w:val="1A1A1A"/>
                <w:sz w:val="18"/>
                <w:szCs w:val="18"/>
              </w:rPr>
              <w:t>Feasibility Report — First Draft</w:t>
            </w:r>
          </w:p>
        </w:tc>
      </w:tr>
      <w:tr w:rsidR="00493EBD" w14:paraId="306FAB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61F59E7" w14:textId="77777777" w:rsidR="00493EBD" w:rsidRDefault="00000000">
            <w:r>
              <w:rPr>
                <w:rFonts w:ascii="Arial" w:eastAsia="Arial" w:hAnsi="Arial" w:cs="Arial"/>
                <w:b/>
                <w:bCs/>
                <w:color w:val="1F4E79"/>
                <w:sz w:val="18"/>
                <w:szCs w:val="18"/>
              </w:rPr>
              <w:t>Version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8C664" w14:textId="77777777" w:rsidR="00493EBD" w:rsidRDefault="00000000">
            <w:r>
              <w:rPr>
                <w:rFonts w:ascii="Arial" w:eastAsia="Arial" w:hAnsi="Arial" w:cs="Arial"/>
                <w:color w:val="1A1A1A"/>
                <w:sz w:val="18"/>
                <w:szCs w:val="18"/>
              </w:rPr>
              <w:t>v1 · Week 6 · 15 June 2026</w:t>
            </w:r>
          </w:p>
        </w:tc>
      </w:tr>
      <w:tr w:rsidR="00493EBD" w14:paraId="7F7E04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705627D" w14:textId="77777777" w:rsidR="00493EBD" w:rsidRDefault="00000000">
            <w:r>
              <w:rPr>
                <w:rFonts w:ascii="Arial" w:eastAsia="Arial" w:hAnsi="Arial" w:cs="Arial"/>
                <w:b/>
                <w:bCs/>
                <w:color w:val="1F4E79"/>
                <w:sz w:val="18"/>
                <w:szCs w:val="18"/>
              </w:rPr>
              <w:t>Owner</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34A02A28" w14:textId="77777777" w:rsidR="00493EBD" w:rsidRDefault="00000000">
            <w:r>
              <w:rPr>
                <w:rFonts w:ascii="Arial" w:eastAsia="Arial" w:hAnsi="Arial" w:cs="Arial"/>
                <w:color w:val="1A1A1A"/>
                <w:sz w:val="18"/>
                <w:szCs w:val="18"/>
              </w:rPr>
              <w:t>Abdalla</w:t>
            </w:r>
          </w:p>
        </w:tc>
      </w:tr>
      <w:tr w:rsidR="00493EBD" w14:paraId="4F674C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087C590" w14:textId="77777777" w:rsidR="00493EBD" w:rsidRDefault="00000000">
            <w:r>
              <w:rPr>
                <w:rFonts w:ascii="Arial" w:eastAsia="Arial" w:hAnsi="Arial" w:cs="Arial"/>
                <w:b/>
                <w:bCs/>
                <w:color w:val="1F4E79"/>
                <w:sz w:val="18"/>
                <w:szCs w:val="18"/>
              </w:rPr>
              <w:t>Status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2DA24" w14:textId="77777777" w:rsidR="00493EBD" w:rsidRDefault="00000000">
            <w:r>
              <w:rPr>
                <w:rFonts w:ascii="Arial" w:eastAsia="Arial" w:hAnsi="Arial" w:cs="Arial"/>
                <w:color w:val="1A1A1A"/>
                <w:sz w:val="18"/>
                <w:szCs w:val="18"/>
              </w:rPr>
              <w:t xml:space="preserve">First Draft — Sections 1 and 2 complete; Section 3 to be </w:t>
            </w:r>
            <w:proofErr w:type="spellStart"/>
            <w:r>
              <w:rPr>
                <w:rFonts w:ascii="Arial" w:eastAsia="Arial" w:hAnsi="Arial" w:cs="Arial"/>
                <w:color w:val="1A1A1A"/>
                <w:sz w:val="18"/>
                <w:szCs w:val="18"/>
              </w:rPr>
              <w:t>finalised</w:t>
            </w:r>
            <w:proofErr w:type="spellEnd"/>
            <w:r>
              <w:rPr>
                <w:rFonts w:ascii="Arial" w:eastAsia="Arial" w:hAnsi="Arial" w:cs="Arial"/>
                <w:color w:val="1A1A1A"/>
                <w:sz w:val="18"/>
                <w:szCs w:val="18"/>
              </w:rPr>
              <w:t xml:space="preserve"> in Week 7</w:t>
            </w:r>
          </w:p>
        </w:tc>
      </w:tr>
      <w:tr w:rsidR="00493EBD" w14:paraId="101FB6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8F75782" w14:textId="77777777" w:rsidR="00493EBD" w:rsidRDefault="00000000">
            <w:r>
              <w:rPr>
                <w:rFonts w:ascii="Arial" w:eastAsia="Arial" w:hAnsi="Arial" w:cs="Arial"/>
                <w:b/>
                <w:bCs/>
                <w:color w:val="1F4E79"/>
                <w:sz w:val="18"/>
                <w:szCs w:val="18"/>
              </w:rPr>
              <w:t>Final Version Due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53E4EB32" w14:textId="77777777" w:rsidR="00493EBD" w:rsidRDefault="00000000">
            <w:r>
              <w:rPr>
                <w:rFonts w:ascii="Arial" w:eastAsia="Arial" w:hAnsi="Arial" w:cs="Arial"/>
                <w:color w:val="1A1A1A"/>
                <w:sz w:val="18"/>
                <w:szCs w:val="18"/>
              </w:rPr>
              <w:t>Week 7 — 28 June 2026 (pending M2W6T9 abstraction layer recommendation from Omer)</w:t>
            </w:r>
          </w:p>
        </w:tc>
      </w:tr>
    </w:tbl>
    <w:p w14:paraId="2B9FB454" w14:textId="77777777" w:rsidR="00493EBD" w:rsidRDefault="00493EB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EBD" w14:paraId="2E9C7498" w14:textId="77777777">
        <w:tblPrEx>
          <w:tblCellMar>
            <w:top w:w="0" w:type="dxa"/>
            <w:bottom w:w="0" w:type="dxa"/>
          </w:tblCellMar>
        </w:tblPrEx>
        <w:tc>
          <w:tcPr>
            <w:tcW w:w="9360" w:type="dxa"/>
            <w:tcBorders>
              <w:top w:val="single" w:sz="6" w:space="0" w:color="7F6000"/>
              <w:left w:val="single" w:sz="6" w:space="0" w:color="7F6000"/>
              <w:bottom w:val="single" w:sz="6" w:space="0" w:color="7F6000"/>
              <w:right w:val="single" w:sz="6" w:space="0" w:color="7F6000"/>
            </w:tcBorders>
            <w:shd w:val="clear" w:color="auto" w:fill="FFF2CC"/>
            <w:tcMar>
              <w:top w:w="100" w:type="dxa"/>
              <w:left w:w="160" w:type="dxa"/>
              <w:bottom w:w="100" w:type="dxa"/>
              <w:right w:w="160" w:type="dxa"/>
            </w:tcMar>
          </w:tcPr>
          <w:p w14:paraId="28D5D6C1" w14:textId="77777777" w:rsidR="00493EBD" w:rsidRDefault="00000000">
            <w:r>
              <w:rPr>
                <w:rFonts w:ascii="Arial" w:eastAsia="Arial" w:hAnsi="Arial" w:cs="Arial"/>
                <w:b/>
                <w:bCs/>
                <w:color w:val="7F6000"/>
                <w:sz w:val="19"/>
                <w:szCs w:val="19"/>
              </w:rPr>
              <w:t xml:space="preserve">Draft Note:  </w:t>
            </w:r>
            <w:r>
              <w:rPr>
                <w:rFonts w:ascii="Arial" w:eastAsia="Arial" w:hAnsi="Arial" w:cs="Arial"/>
                <w:color w:val="7F6000"/>
                <w:sz w:val="19"/>
                <w:szCs w:val="19"/>
              </w:rPr>
              <w:t xml:space="preserve">Section 3 (Market Feasibility) is intentionally brief and will be expanded in Week 7 once competitor analysis conclusions are </w:t>
            </w:r>
            <w:proofErr w:type="spellStart"/>
            <w:r>
              <w:rPr>
                <w:rFonts w:ascii="Arial" w:eastAsia="Arial" w:hAnsi="Arial" w:cs="Arial"/>
                <w:color w:val="7F6000"/>
                <w:sz w:val="19"/>
                <w:szCs w:val="19"/>
              </w:rPr>
              <w:t>finalised</w:t>
            </w:r>
            <w:proofErr w:type="spellEnd"/>
            <w:r>
              <w:rPr>
                <w:rFonts w:ascii="Arial" w:eastAsia="Arial" w:hAnsi="Arial" w:cs="Arial"/>
                <w:color w:val="7F6000"/>
                <w:sz w:val="19"/>
                <w:szCs w:val="19"/>
              </w:rPr>
              <w:t>. Technical feasibility ratings will be reviewed after M2W6T9 abstraction layer recommendation is committed.</w:t>
            </w:r>
          </w:p>
        </w:tc>
      </w:tr>
    </w:tbl>
    <w:p w14:paraId="4331B3D3" w14:textId="77777777" w:rsidR="00493EBD" w:rsidRDefault="00493EBD">
      <w:pPr>
        <w:spacing w:after="200"/>
      </w:pPr>
    </w:p>
    <w:p w14:paraId="64CC7FDD" w14:textId="77777777" w:rsidR="00493EBD" w:rsidRDefault="00000000">
      <w:pPr>
        <w:spacing w:before="240" w:after="140"/>
      </w:pPr>
      <w:r>
        <w:rPr>
          <w:rFonts w:ascii="Arial" w:eastAsia="Arial" w:hAnsi="Arial" w:cs="Arial"/>
          <w:b/>
          <w:bCs/>
          <w:color w:val="1F4E79"/>
          <w:sz w:val="28"/>
          <w:szCs w:val="28"/>
        </w:rPr>
        <w:t>1.  Technical Feasibility</w:t>
      </w:r>
    </w:p>
    <w:p w14:paraId="145235CD" w14:textId="77777777" w:rsidR="00493EBD" w:rsidRDefault="00000000">
      <w:pPr>
        <w:spacing w:after="160"/>
      </w:pPr>
      <w:r>
        <w:rPr>
          <w:rFonts w:ascii="Arial" w:eastAsia="Arial" w:hAnsi="Arial" w:cs="Arial"/>
          <w:color w:val="444444"/>
          <w:sz w:val="19"/>
          <w:szCs w:val="19"/>
        </w:rPr>
        <w:t xml:space="preserve">Each of the nine SUBOP platform modules is assessed against three ratings: </w:t>
      </w:r>
      <w:r>
        <w:rPr>
          <w:rFonts w:ascii="Arial" w:eastAsia="Arial" w:hAnsi="Arial" w:cs="Arial"/>
          <w:b/>
          <w:bCs/>
          <w:color w:val="375623"/>
          <w:sz w:val="19"/>
          <w:szCs w:val="19"/>
        </w:rPr>
        <w:t>Confirmed Feasible</w:t>
      </w:r>
      <w:r>
        <w:rPr>
          <w:rFonts w:ascii="Arial" w:eastAsia="Arial" w:hAnsi="Arial" w:cs="Arial"/>
          <w:color w:val="444444"/>
          <w:sz w:val="19"/>
          <w:szCs w:val="19"/>
        </w:rPr>
        <w:t xml:space="preserve"> (technology proven, team capable, no significant unknowns); </w:t>
      </w:r>
      <w:r>
        <w:rPr>
          <w:rFonts w:ascii="Arial" w:eastAsia="Arial" w:hAnsi="Arial" w:cs="Arial"/>
          <w:b/>
          <w:bCs/>
          <w:color w:val="7F6000"/>
          <w:sz w:val="19"/>
          <w:szCs w:val="19"/>
        </w:rPr>
        <w:t>Feasible with Risk</w:t>
      </w:r>
      <w:r>
        <w:rPr>
          <w:rFonts w:ascii="Arial" w:eastAsia="Arial" w:hAnsi="Arial" w:cs="Arial"/>
          <w:color w:val="444444"/>
          <w:sz w:val="19"/>
          <w:szCs w:val="19"/>
        </w:rPr>
        <w:t xml:space="preserve"> (achievable but carrying design complexity, skill gap, or timeline risk requiring active mitigation); </w:t>
      </w:r>
      <w:r>
        <w:rPr>
          <w:rFonts w:ascii="Arial" w:eastAsia="Arial" w:hAnsi="Arial" w:cs="Arial"/>
          <w:b/>
          <w:bCs/>
          <w:color w:val="843C0C"/>
          <w:sz w:val="19"/>
          <w:szCs w:val="19"/>
        </w:rPr>
        <w:t>Uncertain</w:t>
      </w:r>
      <w:r>
        <w:rPr>
          <w:rFonts w:ascii="Arial" w:eastAsia="Arial" w:hAnsi="Arial" w:cs="Arial"/>
          <w:color w:val="444444"/>
          <w:sz w:val="19"/>
          <w:szCs w:val="19"/>
        </w:rPr>
        <w:t xml:space="preserve"> (significant unknowns that may require scope adjustment). Module codes reference Goal definitions in the Final Goal Statement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6BF1D32F"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30E6BE42" w14:textId="77777777" w:rsidR="00493EBD" w:rsidRDefault="00000000">
            <w:pPr>
              <w:spacing w:after="80"/>
            </w:pPr>
            <w:r>
              <w:rPr>
                <w:rFonts w:ascii="Arial" w:eastAsia="Arial" w:hAnsi="Arial" w:cs="Arial"/>
                <w:b/>
                <w:bCs/>
                <w:color w:val="1F4E79"/>
                <w:sz w:val="21"/>
                <w:szCs w:val="21"/>
              </w:rPr>
              <w:t xml:space="preserve">G1 — </w:t>
            </w:r>
            <w:r>
              <w:rPr>
                <w:rFonts w:ascii="Arial" w:eastAsia="Arial" w:hAnsi="Arial" w:cs="Arial"/>
                <w:b/>
                <w:bCs/>
                <w:color w:val="1A1A1A"/>
                <w:sz w:val="21"/>
                <w:szCs w:val="21"/>
              </w:rPr>
              <w:t>Database-Agnostic Abstraction Layer</w:t>
            </w:r>
          </w:p>
        </w:tc>
        <w:tc>
          <w:tcPr>
            <w:tcW w:w="2160" w:type="dxa"/>
            <w:tcBorders>
              <w:top w:val="single" w:sz="6" w:space="0" w:color="0D2B1F"/>
              <w:left w:val="single" w:sz="6" w:space="0" w:color="0D2B1F"/>
              <w:bottom w:val="single" w:sz="6" w:space="0" w:color="0D2B1F"/>
              <w:right w:val="single" w:sz="6" w:space="0" w:color="0D2B1F"/>
            </w:tcBorders>
            <w:shd w:val="clear" w:color="auto" w:fill="FFF2CC"/>
            <w:tcMar>
              <w:top w:w="100" w:type="dxa"/>
              <w:left w:w="100" w:type="dxa"/>
              <w:bottom w:w="100" w:type="dxa"/>
              <w:right w:w="100" w:type="dxa"/>
            </w:tcMar>
            <w:vAlign w:val="center"/>
          </w:tcPr>
          <w:p w14:paraId="1F1DBA14" w14:textId="77777777" w:rsidR="00493EBD" w:rsidRDefault="00000000">
            <w:pPr>
              <w:spacing w:after="80"/>
              <w:jc w:val="center"/>
            </w:pPr>
            <w:r>
              <w:rPr>
                <w:rFonts w:ascii="Arial" w:eastAsia="Arial" w:hAnsi="Arial" w:cs="Arial"/>
                <w:b/>
                <w:bCs/>
                <w:color w:val="7F6000"/>
                <w:sz w:val="18"/>
                <w:szCs w:val="18"/>
              </w:rPr>
              <w:t>Feasible with Risk</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52784B69" w14:textId="77777777" w:rsidR="00493EBD" w:rsidRDefault="00000000">
            <w:pPr>
              <w:spacing w:after="80"/>
              <w:jc w:val="center"/>
            </w:pPr>
            <w:r>
              <w:rPr>
                <w:rFonts w:ascii="Arial" w:eastAsia="Arial" w:hAnsi="Arial" w:cs="Arial"/>
                <w:b/>
                <w:bCs/>
                <w:color w:val="1F4E79"/>
                <w:sz w:val="18"/>
                <w:szCs w:val="18"/>
              </w:rPr>
              <w:t>M4</w:t>
            </w:r>
          </w:p>
        </w:tc>
      </w:tr>
      <w:tr w:rsidR="00493EBD" w14:paraId="1E5CE582"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3F9C53"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The Adapter Pattern combined with </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 xml:space="preserve"> Core is the confirmed implementation approach per M2W6T9 abstraction layer research. </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 xml:space="preserve"> Core handles dialect differences for PostgreSQL, MySQL, and MSSQL automatically; </w:t>
            </w:r>
            <w:proofErr w:type="spellStart"/>
            <w:r>
              <w:rPr>
                <w:rFonts w:ascii="Arial" w:eastAsia="Arial" w:hAnsi="Arial" w:cs="Arial"/>
                <w:color w:val="444444"/>
                <w:sz w:val="19"/>
                <w:szCs w:val="19"/>
              </w:rPr>
              <w:t>cx_Oracle</w:t>
            </w:r>
            <w:proofErr w:type="spellEnd"/>
            <w:r>
              <w:rPr>
                <w:rFonts w:ascii="Arial" w:eastAsia="Arial" w:hAnsi="Arial" w:cs="Arial"/>
                <w:color w:val="444444"/>
                <w:sz w:val="19"/>
                <w:szCs w:val="19"/>
              </w:rPr>
              <w:t xml:space="preserve"> covers Oracle. The technical approach is well-documented and the required technology stack is mature.</w:t>
            </w:r>
          </w:p>
        </w:tc>
      </w:tr>
      <w:tr w:rsidR="00493EBD" w14:paraId="086D375D"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6CDD7F65"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 xml:space="preserve">This is the architecturally most critical module in the project. An under-designed abstraction interface propagates technical debt into every downstream module — ETL Engine, CDC, DW, Quality, and Lineage. Omer has no prior experience designing abstraction layers. The M3 architecture document must specify the </w:t>
            </w:r>
            <w:proofErr w:type="spellStart"/>
            <w:r>
              <w:rPr>
                <w:rFonts w:ascii="Arial" w:eastAsia="Arial" w:hAnsi="Arial" w:cs="Arial"/>
                <w:color w:val="7F6000"/>
                <w:sz w:val="19"/>
                <w:szCs w:val="19"/>
              </w:rPr>
              <w:t>BaseConnector</w:t>
            </w:r>
            <w:proofErr w:type="spellEnd"/>
            <w:r>
              <w:rPr>
                <w:rFonts w:ascii="Arial" w:eastAsia="Arial" w:hAnsi="Arial" w:cs="Arial"/>
                <w:color w:val="7F6000"/>
                <w:sz w:val="19"/>
                <w:szCs w:val="19"/>
              </w:rPr>
              <w:t xml:space="preserve"> interface precisely — including error handling contract and dialect override points — before M4 coding begins.</w:t>
            </w:r>
          </w:p>
        </w:tc>
      </w:tr>
    </w:tbl>
    <w:p w14:paraId="60F18D07"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39A1F987"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2DBC1FC2" w14:textId="77777777" w:rsidR="00493EBD" w:rsidRDefault="00000000">
            <w:pPr>
              <w:spacing w:after="80"/>
            </w:pPr>
            <w:r>
              <w:rPr>
                <w:rFonts w:ascii="Arial" w:eastAsia="Arial" w:hAnsi="Arial" w:cs="Arial"/>
                <w:b/>
                <w:bCs/>
                <w:color w:val="1F4E79"/>
                <w:sz w:val="21"/>
                <w:szCs w:val="21"/>
              </w:rPr>
              <w:t xml:space="preserve">G2 — </w:t>
            </w:r>
            <w:r>
              <w:rPr>
                <w:rFonts w:ascii="Arial" w:eastAsia="Arial" w:hAnsi="Arial" w:cs="Arial"/>
                <w:b/>
                <w:bCs/>
                <w:color w:val="1A1A1A"/>
                <w:sz w:val="21"/>
                <w:szCs w:val="21"/>
              </w:rPr>
              <w:t>Connector Framework</w:t>
            </w:r>
          </w:p>
        </w:tc>
        <w:tc>
          <w:tcPr>
            <w:tcW w:w="2160" w:type="dxa"/>
            <w:tcBorders>
              <w:top w:val="single" w:sz="6" w:space="0" w:color="0D2B1F"/>
              <w:left w:val="single" w:sz="6" w:space="0" w:color="0D2B1F"/>
              <w:bottom w:val="single" w:sz="6" w:space="0" w:color="0D2B1F"/>
              <w:right w:val="single" w:sz="6" w:space="0" w:color="0D2B1F"/>
            </w:tcBorders>
            <w:shd w:val="clear" w:color="auto" w:fill="E2EFDA"/>
            <w:tcMar>
              <w:top w:w="100" w:type="dxa"/>
              <w:left w:w="100" w:type="dxa"/>
              <w:bottom w:w="100" w:type="dxa"/>
              <w:right w:w="100" w:type="dxa"/>
            </w:tcMar>
            <w:vAlign w:val="center"/>
          </w:tcPr>
          <w:p w14:paraId="251B23A1" w14:textId="77777777" w:rsidR="00493EBD" w:rsidRDefault="00000000">
            <w:pPr>
              <w:spacing w:after="80"/>
              <w:jc w:val="center"/>
            </w:pPr>
            <w:r>
              <w:rPr>
                <w:rFonts w:ascii="Arial" w:eastAsia="Arial" w:hAnsi="Arial" w:cs="Arial"/>
                <w:b/>
                <w:bCs/>
                <w:color w:val="375623"/>
                <w:sz w:val="18"/>
                <w:szCs w:val="18"/>
              </w:rPr>
              <w:t>Confirmed Feasible</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1D329C46" w14:textId="77777777" w:rsidR="00493EBD" w:rsidRDefault="00000000">
            <w:pPr>
              <w:spacing w:after="80"/>
              <w:jc w:val="center"/>
            </w:pPr>
            <w:r>
              <w:rPr>
                <w:rFonts w:ascii="Arial" w:eastAsia="Arial" w:hAnsi="Arial" w:cs="Arial"/>
                <w:b/>
                <w:bCs/>
                <w:color w:val="1F4E79"/>
                <w:sz w:val="18"/>
                <w:szCs w:val="18"/>
              </w:rPr>
              <w:t>M4 / M6</w:t>
            </w:r>
          </w:p>
        </w:tc>
      </w:tr>
      <w:tr w:rsidR="00493EBD" w14:paraId="7C2C4943"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EE908E"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Omer has built and </w:t>
            </w:r>
            <w:proofErr w:type="spellStart"/>
            <w:r>
              <w:rPr>
                <w:rFonts w:ascii="Arial" w:eastAsia="Arial" w:hAnsi="Arial" w:cs="Arial"/>
                <w:color w:val="444444"/>
                <w:sz w:val="19"/>
                <w:szCs w:val="19"/>
              </w:rPr>
              <w:t>pytest</w:t>
            </w:r>
            <w:proofErr w:type="spellEnd"/>
            <w:r>
              <w:rPr>
                <w:rFonts w:ascii="Arial" w:eastAsia="Arial" w:hAnsi="Arial" w:cs="Arial"/>
                <w:color w:val="444444"/>
                <w:sz w:val="19"/>
                <w:szCs w:val="19"/>
              </w:rPr>
              <w:t xml:space="preserve">-validated working PostgreSQL and MySQL connectors with 10 passing tests as of M2 Week 6. The connector interface — </w:t>
            </w:r>
            <w:proofErr w:type="spellStart"/>
            <w:r>
              <w:rPr>
                <w:rFonts w:ascii="Arial" w:eastAsia="Arial" w:hAnsi="Arial" w:cs="Arial"/>
                <w:color w:val="444444"/>
                <w:sz w:val="19"/>
                <w:szCs w:val="19"/>
              </w:rPr>
              <w:t>ConnectionConfig</w:t>
            </w:r>
            <w:proofErr w:type="spellEnd"/>
            <w:r>
              <w:rPr>
                <w:rFonts w:ascii="Arial" w:eastAsia="Arial" w:hAnsi="Arial" w:cs="Arial"/>
                <w:color w:val="444444"/>
                <w:sz w:val="19"/>
                <w:szCs w:val="19"/>
              </w:rPr>
              <w:t xml:space="preserve">, connect(), </w:t>
            </w:r>
            <w:proofErr w:type="spellStart"/>
            <w:r>
              <w:rPr>
                <w:rFonts w:ascii="Arial" w:eastAsia="Arial" w:hAnsi="Arial" w:cs="Arial"/>
                <w:color w:val="444444"/>
                <w:sz w:val="19"/>
                <w:szCs w:val="19"/>
              </w:rPr>
              <w:t>execute_query</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execute_write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health_check</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ConnectorError</w:t>
            </w:r>
            <w:proofErr w:type="spellEnd"/>
            <w:r>
              <w:rPr>
                <w:rFonts w:ascii="Arial" w:eastAsia="Arial" w:hAnsi="Arial" w:cs="Arial"/>
                <w:color w:val="444444"/>
                <w:sz w:val="19"/>
                <w:szCs w:val="19"/>
              </w:rPr>
              <w:t xml:space="preserve"> — is tested and stable. Each additional connector follows the same pattern; implementation effort scales linearly.</w:t>
            </w:r>
          </w:p>
        </w:tc>
      </w:tr>
      <w:tr w:rsidR="00493EBD" w14:paraId="025C5F37"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4A037996"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Connector complexity escalates for Oracle (</w:t>
            </w:r>
            <w:proofErr w:type="spellStart"/>
            <w:r>
              <w:rPr>
                <w:rFonts w:ascii="Arial" w:eastAsia="Arial" w:hAnsi="Arial" w:cs="Arial"/>
                <w:color w:val="7F6000"/>
                <w:sz w:val="19"/>
                <w:szCs w:val="19"/>
              </w:rPr>
              <w:t>cx_Oracle</w:t>
            </w:r>
            <w:proofErr w:type="spellEnd"/>
            <w:r>
              <w:rPr>
                <w:rFonts w:ascii="Arial" w:eastAsia="Arial" w:hAnsi="Arial" w:cs="Arial"/>
                <w:color w:val="7F6000"/>
                <w:sz w:val="19"/>
                <w:szCs w:val="19"/>
              </w:rPr>
              <w:t xml:space="preserve"> driver management and licensing overhead) and Cassandra (CQL query model differs from SQL). Simpler connectors — PostgreSQL, MySQL, REST API, CSV — must be built and validated first in M4 before high-complexity sources are attempted in M6.</w:t>
            </w:r>
          </w:p>
        </w:tc>
      </w:tr>
    </w:tbl>
    <w:p w14:paraId="2CBD6DCA"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128471AF"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7A29A9AF" w14:textId="77777777" w:rsidR="00493EBD" w:rsidRDefault="00000000">
            <w:pPr>
              <w:spacing w:after="80"/>
            </w:pPr>
            <w:r>
              <w:rPr>
                <w:rFonts w:ascii="Arial" w:eastAsia="Arial" w:hAnsi="Arial" w:cs="Arial"/>
                <w:b/>
                <w:bCs/>
                <w:color w:val="1F4E79"/>
                <w:sz w:val="21"/>
                <w:szCs w:val="21"/>
              </w:rPr>
              <w:t xml:space="preserve">G3 — </w:t>
            </w:r>
            <w:r>
              <w:rPr>
                <w:rFonts w:ascii="Arial" w:eastAsia="Arial" w:hAnsi="Arial" w:cs="Arial"/>
                <w:b/>
                <w:bCs/>
                <w:color w:val="1A1A1A"/>
                <w:sz w:val="21"/>
                <w:szCs w:val="21"/>
              </w:rPr>
              <w:t>ETL Engine</w:t>
            </w:r>
          </w:p>
        </w:tc>
        <w:tc>
          <w:tcPr>
            <w:tcW w:w="2160" w:type="dxa"/>
            <w:tcBorders>
              <w:top w:val="single" w:sz="6" w:space="0" w:color="0D2B1F"/>
              <w:left w:val="single" w:sz="6" w:space="0" w:color="0D2B1F"/>
              <w:bottom w:val="single" w:sz="6" w:space="0" w:color="0D2B1F"/>
              <w:right w:val="single" w:sz="6" w:space="0" w:color="0D2B1F"/>
            </w:tcBorders>
            <w:shd w:val="clear" w:color="auto" w:fill="E2EFDA"/>
            <w:tcMar>
              <w:top w:w="100" w:type="dxa"/>
              <w:left w:w="100" w:type="dxa"/>
              <w:bottom w:w="100" w:type="dxa"/>
              <w:right w:w="100" w:type="dxa"/>
            </w:tcMar>
            <w:vAlign w:val="center"/>
          </w:tcPr>
          <w:p w14:paraId="2B5FA479" w14:textId="77777777" w:rsidR="00493EBD" w:rsidRDefault="00000000">
            <w:pPr>
              <w:spacing w:after="80"/>
              <w:jc w:val="center"/>
            </w:pPr>
            <w:r>
              <w:rPr>
                <w:rFonts w:ascii="Arial" w:eastAsia="Arial" w:hAnsi="Arial" w:cs="Arial"/>
                <w:b/>
                <w:bCs/>
                <w:color w:val="375623"/>
                <w:sz w:val="18"/>
                <w:szCs w:val="18"/>
              </w:rPr>
              <w:t>Confirmed Feasible</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0F358037" w14:textId="77777777" w:rsidR="00493EBD" w:rsidRDefault="00000000">
            <w:pPr>
              <w:spacing w:after="80"/>
              <w:jc w:val="center"/>
            </w:pPr>
            <w:r>
              <w:rPr>
                <w:rFonts w:ascii="Arial" w:eastAsia="Arial" w:hAnsi="Arial" w:cs="Arial"/>
                <w:b/>
                <w:bCs/>
                <w:color w:val="1F4E79"/>
                <w:sz w:val="18"/>
                <w:szCs w:val="18"/>
              </w:rPr>
              <w:t>M5</w:t>
            </w:r>
          </w:p>
        </w:tc>
      </w:tr>
      <w:tr w:rsidR="00493EBD" w14:paraId="61B34068"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E0A06C9"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Python ETL at the 1 million rows per 5 minutes scale is achievable with vectorized pandas operations and a properly designed batch processing loop. The stack — psycopg2/</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 xml:space="preserve"> Core for extraction, pandas for transformation, </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 xml:space="preserve"> Core for loading — is mature and proven at this scale. Batch, incremental, and parallel execution modes are all implementable within the M5 window.</w:t>
            </w:r>
          </w:p>
        </w:tc>
      </w:tr>
      <w:tr w:rsidR="00493EBD" w14:paraId="7D1D8852"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34BACB7F"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Parallel processing requires careful concurrency design to avoid connection pool exhaustion across concurrent pipeline runs. Error recovery strategy — what happens when a batch fails mid-run and how partial state is preserved — must be specified in the M5 task plan before implementation begins.</w:t>
            </w:r>
          </w:p>
        </w:tc>
      </w:tr>
    </w:tbl>
    <w:p w14:paraId="7103B30A"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3E145253"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35F86D36" w14:textId="77777777" w:rsidR="00493EBD" w:rsidRDefault="00000000">
            <w:pPr>
              <w:spacing w:after="80"/>
            </w:pPr>
            <w:r>
              <w:rPr>
                <w:rFonts w:ascii="Arial" w:eastAsia="Arial" w:hAnsi="Arial" w:cs="Arial"/>
                <w:b/>
                <w:bCs/>
                <w:color w:val="1F4E79"/>
                <w:sz w:val="21"/>
                <w:szCs w:val="21"/>
              </w:rPr>
              <w:t xml:space="preserve">G4 — </w:t>
            </w:r>
            <w:r>
              <w:rPr>
                <w:rFonts w:ascii="Arial" w:eastAsia="Arial" w:hAnsi="Arial" w:cs="Arial"/>
                <w:b/>
                <w:bCs/>
                <w:color w:val="1A1A1A"/>
                <w:sz w:val="21"/>
                <w:szCs w:val="21"/>
              </w:rPr>
              <w:t>CDC &amp; Real-Time Streaming</w:t>
            </w:r>
          </w:p>
        </w:tc>
        <w:tc>
          <w:tcPr>
            <w:tcW w:w="2160" w:type="dxa"/>
            <w:tcBorders>
              <w:top w:val="single" w:sz="6" w:space="0" w:color="0D2B1F"/>
              <w:left w:val="single" w:sz="6" w:space="0" w:color="0D2B1F"/>
              <w:bottom w:val="single" w:sz="6" w:space="0" w:color="0D2B1F"/>
              <w:right w:val="single" w:sz="6" w:space="0" w:color="0D2B1F"/>
            </w:tcBorders>
            <w:shd w:val="clear" w:color="auto" w:fill="FFF2CC"/>
            <w:tcMar>
              <w:top w:w="100" w:type="dxa"/>
              <w:left w:w="100" w:type="dxa"/>
              <w:bottom w:w="100" w:type="dxa"/>
              <w:right w:w="100" w:type="dxa"/>
            </w:tcMar>
            <w:vAlign w:val="center"/>
          </w:tcPr>
          <w:p w14:paraId="16827DB9" w14:textId="77777777" w:rsidR="00493EBD" w:rsidRDefault="00000000">
            <w:pPr>
              <w:spacing w:after="80"/>
              <w:jc w:val="center"/>
            </w:pPr>
            <w:r>
              <w:rPr>
                <w:rFonts w:ascii="Arial" w:eastAsia="Arial" w:hAnsi="Arial" w:cs="Arial"/>
                <w:b/>
                <w:bCs/>
                <w:color w:val="7F6000"/>
                <w:sz w:val="18"/>
                <w:szCs w:val="18"/>
              </w:rPr>
              <w:t>Feasible with Risk</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271DD22A" w14:textId="77777777" w:rsidR="00493EBD" w:rsidRDefault="00000000">
            <w:pPr>
              <w:spacing w:after="80"/>
              <w:jc w:val="center"/>
            </w:pPr>
            <w:r>
              <w:rPr>
                <w:rFonts w:ascii="Arial" w:eastAsia="Arial" w:hAnsi="Arial" w:cs="Arial"/>
                <w:b/>
                <w:bCs/>
                <w:color w:val="1F4E79"/>
                <w:sz w:val="18"/>
                <w:szCs w:val="18"/>
              </w:rPr>
              <w:t>M7</w:t>
            </w:r>
          </w:p>
        </w:tc>
      </w:tr>
      <w:tr w:rsidR="00493EBD" w14:paraId="20ED667E"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CA7156B" w14:textId="77777777" w:rsidR="00493EBD" w:rsidRDefault="00000000">
            <w:pPr>
              <w:spacing w:after="80"/>
            </w:pPr>
            <w:r>
              <w:rPr>
                <w:rFonts w:ascii="Arial" w:eastAsia="Arial" w:hAnsi="Arial" w:cs="Arial"/>
                <w:b/>
                <w:bCs/>
                <w:color w:val="444444"/>
                <w:sz w:val="19"/>
                <w:szCs w:val="19"/>
              </w:rPr>
              <w:t xml:space="preserve">Assessment:  </w:t>
            </w:r>
            <w:proofErr w:type="spellStart"/>
            <w:r>
              <w:rPr>
                <w:rFonts w:ascii="Arial" w:eastAsia="Arial" w:hAnsi="Arial" w:cs="Arial"/>
                <w:color w:val="444444"/>
                <w:sz w:val="19"/>
                <w:szCs w:val="19"/>
              </w:rPr>
              <w:t>Debezium</w:t>
            </w:r>
            <w:proofErr w:type="spellEnd"/>
            <w:r>
              <w:rPr>
                <w:rFonts w:ascii="Arial" w:eastAsia="Arial" w:hAnsi="Arial" w:cs="Arial"/>
                <w:color w:val="444444"/>
                <w:sz w:val="19"/>
                <w:szCs w:val="19"/>
              </w:rPr>
              <w:t xml:space="preserve"> + Apache Kafka is the industry-standard open-source CDC stack. PostgreSQL WAL-level change capture via </w:t>
            </w:r>
            <w:proofErr w:type="spellStart"/>
            <w:r>
              <w:rPr>
                <w:rFonts w:ascii="Arial" w:eastAsia="Arial" w:hAnsi="Arial" w:cs="Arial"/>
                <w:color w:val="444444"/>
                <w:sz w:val="19"/>
                <w:szCs w:val="19"/>
              </w:rPr>
              <w:t>Debezium</w:t>
            </w:r>
            <w:proofErr w:type="spellEnd"/>
            <w:r>
              <w:rPr>
                <w:rFonts w:ascii="Arial" w:eastAsia="Arial" w:hAnsi="Arial" w:cs="Arial"/>
                <w:color w:val="444444"/>
                <w:sz w:val="19"/>
                <w:szCs w:val="19"/>
              </w:rPr>
              <w:t xml:space="preserve"> is well-documented; MySQL </w:t>
            </w:r>
            <w:proofErr w:type="spellStart"/>
            <w:r>
              <w:rPr>
                <w:rFonts w:ascii="Arial" w:eastAsia="Arial" w:hAnsi="Arial" w:cs="Arial"/>
                <w:color w:val="444444"/>
                <w:sz w:val="19"/>
                <w:szCs w:val="19"/>
              </w:rPr>
              <w:t>binlog</w:t>
            </w:r>
            <w:proofErr w:type="spellEnd"/>
            <w:r>
              <w:rPr>
                <w:rFonts w:ascii="Arial" w:eastAsia="Arial" w:hAnsi="Arial" w:cs="Arial"/>
                <w:color w:val="444444"/>
                <w:sz w:val="19"/>
                <w:szCs w:val="19"/>
              </w:rPr>
              <w:t xml:space="preserve"> CDC is also confirmed supported. The sub-30 second end-to-end latency KPI is achievable with this architecture. The Docker Compose dev environment already includes Kafka and </w:t>
            </w:r>
            <w:proofErr w:type="spellStart"/>
            <w:r>
              <w:rPr>
                <w:rFonts w:ascii="Arial" w:eastAsia="Arial" w:hAnsi="Arial" w:cs="Arial"/>
                <w:color w:val="444444"/>
                <w:sz w:val="19"/>
                <w:szCs w:val="19"/>
              </w:rPr>
              <w:t>ZooKeeper</w:t>
            </w:r>
            <w:proofErr w:type="spellEnd"/>
            <w:r>
              <w:rPr>
                <w:rFonts w:ascii="Arial" w:eastAsia="Arial" w:hAnsi="Arial" w:cs="Arial"/>
                <w:color w:val="444444"/>
                <w:sz w:val="19"/>
                <w:szCs w:val="19"/>
              </w:rPr>
              <w:t xml:space="preserve"> containers from M1 infrastructure setup.</w:t>
            </w:r>
          </w:p>
        </w:tc>
      </w:tr>
      <w:tr w:rsidR="00493EBD" w14:paraId="5E13036A"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4E81A13A"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 xml:space="preserve">HIGH: this module carries the highest learning-curve risk in the project. Omer has no prior experience with Kafka, </w:t>
            </w:r>
            <w:proofErr w:type="spellStart"/>
            <w:r>
              <w:rPr>
                <w:rFonts w:ascii="Arial" w:eastAsia="Arial" w:hAnsi="Arial" w:cs="Arial"/>
                <w:color w:val="7F6000"/>
                <w:sz w:val="19"/>
                <w:szCs w:val="19"/>
              </w:rPr>
              <w:t>ZooKeeper</w:t>
            </w:r>
            <w:proofErr w:type="spellEnd"/>
            <w:r>
              <w:rPr>
                <w:rFonts w:ascii="Arial" w:eastAsia="Arial" w:hAnsi="Arial" w:cs="Arial"/>
                <w:color w:val="7F6000"/>
                <w:sz w:val="19"/>
                <w:szCs w:val="19"/>
              </w:rPr>
              <w:t xml:space="preserve">, or </w:t>
            </w:r>
            <w:proofErr w:type="spellStart"/>
            <w:r>
              <w:rPr>
                <w:rFonts w:ascii="Arial" w:eastAsia="Arial" w:hAnsi="Arial" w:cs="Arial"/>
                <w:color w:val="7F6000"/>
                <w:sz w:val="19"/>
                <w:szCs w:val="19"/>
              </w:rPr>
              <w:t>Debezium</w:t>
            </w:r>
            <w:proofErr w:type="spellEnd"/>
            <w:r>
              <w:rPr>
                <w:rFonts w:ascii="Arial" w:eastAsia="Arial" w:hAnsi="Arial" w:cs="Arial"/>
                <w:color w:val="7F6000"/>
                <w:sz w:val="19"/>
                <w:szCs w:val="19"/>
              </w:rPr>
              <w:t xml:space="preserve">. The M7 development window (5 weeks, October to November 2026) is tight for a first distributed streaming implementation. Kafka self-study must begin no later than M5 Week 14 (August 2026). Oracle CDC via </w:t>
            </w:r>
            <w:proofErr w:type="spellStart"/>
            <w:r>
              <w:rPr>
                <w:rFonts w:ascii="Arial" w:eastAsia="Arial" w:hAnsi="Arial" w:cs="Arial"/>
                <w:color w:val="7F6000"/>
                <w:sz w:val="19"/>
                <w:szCs w:val="19"/>
              </w:rPr>
              <w:t>LogMiner</w:t>
            </w:r>
            <w:proofErr w:type="spellEnd"/>
            <w:r>
              <w:rPr>
                <w:rFonts w:ascii="Arial" w:eastAsia="Arial" w:hAnsi="Arial" w:cs="Arial"/>
                <w:color w:val="7F6000"/>
                <w:sz w:val="19"/>
                <w:szCs w:val="19"/>
              </w:rPr>
              <w:t xml:space="preserve"> is formally classified as Uncertain and scoped as a stretch goal: </w:t>
            </w:r>
            <w:proofErr w:type="spellStart"/>
            <w:r>
              <w:rPr>
                <w:rFonts w:ascii="Arial" w:eastAsia="Arial" w:hAnsi="Arial" w:cs="Arial"/>
                <w:color w:val="7F6000"/>
                <w:sz w:val="19"/>
                <w:szCs w:val="19"/>
              </w:rPr>
              <w:t>LogMiner</w:t>
            </w:r>
            <w:proofErr w:type="spellEnd"/>
            <w:r>
              <w:rPr>
                <w:rFonts w:ascii="Arial" w:eastAsia="Arial" w:hAnsi="Arial" w:cs="Arial"/>
                <w:color w:val="7F6000"/>
                <w:sz w:val="19"/>
                <w:szCs w:val="19"/>
              </w:rPr>
              <w:t xml:space="preserve"> setup complexity, supplemental logging requirements, and the team experience gap make a production-grade Oracle CDC implementation within the project timeline unrealistic.</w:t>
            </w:r>
          </w:p>
        </w:tc>
      </w:tr>
    </w:tbl>
    <w:p w14:paraId="1A76CF14"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002FB554"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5AF2F660" w14:textId="77777777" w:rsidR="00493EBD" w:rsidRDefault="00000000">
            <w:pPr>
              <w:spacing w:after="80"/>
            </w:pPr>
            <w:r>
              <w:rPr>
                <w:rFonts w:ascii="Arial" w:eastAsia="Arial" w:hAnsi="Arial" w:cs="Arial"/>
                <w:b/>
                <w:bCs/>
                <w:color w:val="1F4E79"/>
                <w:sz w:val="21"/>
                <w:szCs w:val="21"/>
              </w:rPr>
              <w:t xml:space="preserve">G5 — </w:t>
            </w:r>
            <w:r>
              <w:rPr>
                <w:rFonts w:ascii="Arial" w:eastAsia="Arial" w:hAnsi="Arial" w:cs="Arial"/>
                <w:b/>
                <w:bCs/>
                <w:color w:val="1A1A1A"/>
                <w:sz w:val="21"/>
                <w:szCs w:val="21"/>
              </w:rPr>
              <w:t>Metadata-Driven Data Warehouse</w:t>
            </w:r>
          </w:p>
        </w:tc>
        <w:tc>
          <w:tcPr>
            <w:tcW w:w="2160" w:type="dxa"/>
            <w:tcBorders>
              <w:top w:val="single" w:sz="6" w:space="0" w:color="0D2B1F"/>
              <w:left w:val="single" w:sz="6" w:space="0" w:color="0D2B1F"/>
              <w:bottom w:val="single" w:sz="6" w:space="0" w:color="0D2B1F"/>
              <w:right w:val="single" w:sz="6" w:space="0" w:color="0D2B1F"/>
            </w:tcBorders>
            <w:shd w:val="clear" w:color="auto" w:fill="FFF2CC"/>
            <w:tcMar>
              <w:top w:w="100" w:type="dxa"/>
              <w:left w:w="100" w:type="dxa"/>
              <w:bottom w:w="100" w:type="dxa"/>
              <w:right w:w="100" w:type="dxa"/>
            </w:tcMar>
            <w:vAlign w:val="center"/>
          </w:tcPr>
          <w:p w14:paraId="35E29EFC" w14:textId="77777777" w:rsidR="00493EBD" w:rsidRDefault="00000000">
            <w:pPr>
              <w:spacing w:after="80"/>
              <w:jc w:val="center"/>
            </w:pPr>
            <w:r>
              <w:rPr>
                <w:rFonts w:ascii="Arial" w:eastAsia="Arial" w:hAnsi="Arial" w:cs="Arial"/>
                <w:b/>
                <w:bCs/>
                <w:color w:val="7F6000"/>
                <w:sz w:val="18"/>
                <w:szCs w:val="18"/>
              </w:rPr>
              <w:t>Feasible with Risk</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51FA08C8" w14:textId="77777777" w:rsidR="00493EBD" w:rsidRDefault="00000000">
            <w:pPr>
              <w:spacing w:after="80"/>
              <w:jc w:val="center"/>
            </w:pPr>
            <w:r>
              <w:rPr>
                <w:rFonts w:ascii="Arial" w:eastAsia="Arial" w:hAnsi="Arial" w:cs="Arial"/>
                <w:b/>
                <w:bCs/>
                <w:color w:val="1F4E79"/>
                <w:sz w:val="18"/>
                <w:szCs w:val="18"/>
              </w:rPr>
              <w:t>M8</w:t>
            </w:r>
          </w:p>
        </w:tc>
      </w:tr>
      <w:tr w:rsidR="00493EBD" w14:paraId="1EC43323"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4C14BB"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Auto-generating CREATE TABLE statements, SCD Type 2 merge logic, and schema versioning from a metadata specification is implementable using </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 xml:space="preserve"> DDL expression language. The 80% faster than manual schema creation KPI is achievable because automation eliminates repetitive manual SQL writing for standard star and snowflake patterns.</w:t>
            </w:r>
          </w:p>
        </w:tc>
      </w:tr>
      <w:tr w:rsidR="00493EBD" w14:paraId="2B828417"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67EA8879"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The metadata DSL — the specification format that drives schema auto-generation — must be carefully designed during M3 before M8 begins. If too rigid it fails for non-standard schemas; if too flexible, the generation logic becomes unimplementable in M8. The metadata schema design is the second most important M3 architecture decision after the connector interface, and must be resolved before M4 so that earlier modules emit compatible metadata from the start.</w:t>
            </w:r>
          </w:p>
        </w:tc>
      </w:tr>
    </w:tbl>
    <w:p w14:paraId="4912430B"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6B2ECDB0"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5CA2CAEC" w14:textId="77777777" w:rsidR="00493EBD" w:rsidRDefault="00000000">
            <w:pPr>
              <w:spacing w:after="80"/>
            </w:pPr>
            <w:r>
              <w:rPr>
                <w:rFonts w:ascii="Arial" w:eastAsia="Arial" w:hAnsi="Arial" w:cs="Arial"/>
                <w:b/>
                <w:bCs/>
                <w:color w:val="1F4E79"/>
                <w:sz w:val="21"/>
                <w:szCs w:val="21"/>
              </w:rPr>
              <w:t xml:space="preserve">G6 — </w:t>
            </w:r>
            <w:r>
              <w:rPr>
                <w:rFonts w:ascii="Arial" w:eastAsia="Arial" w:hAnsi="Arial" w:cs="Arial"/>
                <w:b/>
                <w:bCs/>
                <w:color w:val="1A1A1A"/>
                <w:sz w:val="21"/>
                <w:szCs w:val="21"/>
              </w:rPr>
              <w:t>BI Dashboard &amp; OLAP Layer</w:t>
            </w:r>
          </w:p>
        </w:tc>
        <w:tc>
          <w:tcPr>
            <w:tcW w:w="2160" w:type="dxa"/>
            <w:tcBorders>
              <w:top w:val="single" w:sz="6" w:space="0" w:color="0D2B1F"/>
              <w:left w:val="single" w:sz="6" w:space="0" w:color="0D2B1F"/>
              <w:bottom w:val="single" w:sz="6" w:space="0" w:color="0D2B1F"/>
              <w:right w:val="single" w:sz="6" w:space="0" w:color="0D2B1F"/>
            </w:tcBorders>
            <w:shd w:val="clear" w:color="auto" w:fill="E2EFDA"/>
            <w:tcMar>
              <w:top w:w="100" w:type="dxa"/>
              <w:left w:w="100" w:type="dxa"/>
              <w:bottom w:w="100" w:type="dxa"/>
              <w:right w:w="100" w:type="dxa"/>
            </w:tcMar>
            <w:vAlign w:val="center"/>
          </w:tcPr>
          <w:p w14:paraId="6C4F95F9" w14:textId="77777777" w:rsidR="00493EBD" w:rsidRDefault="00000000">
            <w:pPr>
              <w:spacing w:after="80"/>
              <w:jc w:val="center"/>
            </w:pPr>
            <w:r>
              <w:rPr>
                <w:rFonts w:ascii="Arial" w:eastAsia="Arial" w:hAnsi="Arial" w:cs="Arial"/>
                <w:b/>
                <w:bCs/>
                <w:color w:val="375623"/>
                <w:sz w:val="18"/>
                <w:szCs w:val="18"/>
              </w:rPr>
              <w:t>Confirmed Feasible</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44397448" w14:textId="77777777" w:rsidR="00493EBD" w:rsidRDefault="00000000">
            <w:pPr>
              <w:spacing w:after="80"/>
              <w:jc w:val="center"/>
            </w:pPr>
            <w:r>
              <w:rPr>
                <w:rFonts w:ascii="Arial" w:eastAsia="Arial" w:hAnsi="Arial" w:cs="Arial"/>
                <w:b/>
                <w:bCs/>
                <w:color w:val="1F4E79"/>
                <w:sz w:val="18"/>
                <w:szCs w:val="18"/>
              </w:rPr>
              <w:t>M9</w:t>
            </w:r>
          </w:p>
        </w:tc>
      </w:tr>
      <w:tr w:rsidR="00493EBD" w14:paraId="765F46ED"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D95C97A"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Beyza completed the full SUBOP design system, component pattern library, UI shell architecture plan, and responsive layout specification in M2. Shell builds are planned across M5 through M8, meaning M9 is data wiring and final integration rather than from-scratch development. The data access path — Dashboard to </w:t>
            </w:r>
            <w:proofErr w:type="spellStart"/>
            <w:r>
              <w:rPr>
                <w:rFonts w:ascii="Arial" w:eastAsia="Arial" w:hAnsi="Arial" w:cs="Arial"/>
                <w:color w:val="444444"/>
                <w:sz w:val="19"/>
                <w:szCs w:val="19"/>
              </w:rPr>
              <w:t>FastAPI</w:t>
            </w:r>
            <w:proofErr w:type="spellEnd"/>
            <w:r>
              <w:rPr>
                <w:rFonts w:ascii="Arial" w:eastAsia="Arial" w:hAnsi="Arial" w:cs="Arial"/>
                <w:color w:val="444444"/>
                <w:sz w:val="19"/>
                <w:szCs w:val="19"/>
              </w:rPr>
              <w:t xml:space="preserve"> REST API to PostgreSQL warehouse query to JSON response — is a standard, well-documented architecture with no significant implementation unknowns.</w:t>
            </w:r>
          </w:p>
        </w:tc>
      </w:tr>
      <w:tr w:rsidR="00493EBD" w14:paraId="2FACD2A7"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4030EACF"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The 15-minute dashboard creation KPI is the most UX-dependent metric in the project. Its achievement depends on the quality of the drag-and-drop builder UX, not just functional correctness. Beyza must include timed user testing in M9 against this benchmark before the M12 pilot begins.</w:t>
            </w:r>
          </w:p>
        </w:tc>
      </w:tr>
    </w:tbl>
    <w:p w14:paraId="141A2723"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27C5753A"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4A5C34B8" w14:textId="77777777" w:rsidR="00493EBD" w:rsidRDefault="00000000">
            <w:pPr>
              <w:spacing w:after="80"/>
            </w:pPr>
            <w:r>
              <w:rPr>
                <w:rFonts w:ascii="Arial" w:eastAsia="Arial" w:hAnsi="Arial" w:cs="Arial"/>
                <w:b/>
                <w:bCs/>
                <w:color w:val="1F4E79"/>
                <w:sz w:val="21"/>
                <w:szCs w:val="21"/>
              </w:rPr>
              <w:lastRenderedPageBreak/>
              <w:t xml:space="preserve">G7 — </w:t>
            </w:r>
            <w:r>
              <w:rPr>
                <w:rFonts w:ascii="Arial" w:eastAsia="Arial" w:hAnsi="Arial" w:cs="Arial"/>
                <w:b/>
                <w:bCs/>
                <w:color w:val="1A1A1A"/>
                <w:sz w:val="21"/>
                <w:szCs w:val="21"/>
              </w:rPr>
              <w:t>Data Quality &amp; Profiling</w:t>
            </w:r>
          </w:p>
        </w:tc>
        <w:tc>
          <w:tcPr>
            <w:tcW w:w="2160" w:type="dxa"/>
            <w:tcBorders>
              <w:top w:val="single" w:sz="6" w:space="0" w:color="0D2B1F"/>
              <w:left w:val="single" w:sz="6" w:space="0" w:color="0D2B1F"/>
              <w:bottom w:val="single" w:sz="6" w:space="0" w:color="0D2B1F"/>
              <w:right w:val="single" w:sz="6" w:space="0" w:color="0D2B1F"/>
            </w:tcBorders>
            <w:shd w:val="clear" w:color="auto" w:fill="E2EFDA"/>
            <w:tcMar>
              <w:top w:w="100" w:type="dxa"/>
              <w:left w:w="100" w:type="dxa"/>
              <w:bottom w:w="100" w:type="dxa"/>
              <w:right w:w="100" w:type="dxa"/>
            </w:tcMar>
            <w:vAlign w:val="center"/>
          </w:tcPr>
          <w:p w14:paraId="4E5F49DD" w14:textId="77777777" w:rsidR="00493EBD" w:rsidRDefault="00000000">
            <w:pPr>
              <w:spacing w:after="80"/>
              <w:jc w:val="center"/>
            </w:pPr>
            <w:r>
              <w:rPr>
                <w:rFonts w:ascii="Arial" w:eastAsia="Arial" w:hAnsi="Arial" w:cs="Arial"/>
                <w:b/>
                <w:bCs/>
                <w:color w:val="375623"/>
                <w:sz w:val="18"/>
                <w:szCs w:val="18"/>
              </w:rPr>
              <w:t>Confirmed Feasible</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38A18704" w14:textId="77777777" w:rsidR="00493EBD" w:rsidRDefault="00000000">
            <w:pPr>
              <w:spacing w:after="80"/>
              <w:jc w:val="center"/>
            </w:pPr>
            <w:r>
              <w:rPr>
                <w:rFonts w:ascii="Arial" w:eastAsia="Arial" w:hAnsi="Arial" w:cs="Arial"/>
                <w:b/>
                <w:bCs/>
                <w:color w:val="1F4E79"/>
                <w:sz w:val="18"/>
                <w:szCs w:val="18"/>
              </w:rPr>
              <w:t>M10</w:t>
            </w:r>
          </w:p>
        </w:tc>
      </w:tr>
      <w:tr w:rsidR="00493EBD" w14:paraId="6FCF07FD"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2F0491"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The five quality rule types — null checks, duplicate detection, format validation, range boundary checking, and ML-based anomaly detection — are implementable as a class-based rule engine in Python. Quality scoring as a weighted pass rate per dataset is straightforward aggregation. The anomaly detection prototype uses scikit-learn </w:t>
            </w:r>
            <w:proofErr w:type="spellStart"/>
            <w:r>
              <w:rPr>
                <w:rFonts w:ascii="Arial" w:eastAsia="Arial" w:hAnsi="Arial" w:cs="Arial"/>
                <w:color w:val="444444"/>
                <w:sz w:val="19"/>
                <w:szCs w:val="19"/>
              </w:rPr>
              <w:t>IsolationForest</w:t>
            </w:r>
            <w:proofErr w:type="spellEnd"/>
            <w:r>
              <w:rPr>
                <w:rFonts w:ascii="Arial" w:eastAsia="Arial" w:hAnsi="Arial" w:cs="Arial"/>
                <w:color w:val="444444"/>
                <w:sz w:val="19"/>
                <w:szCs w:val="19"/>
              </w:rPr>
              <w:t>, a well-documented algorithm.</w:t>
            </w:r>
          </w:p>
        </w:tc>
      </w:tr>
      <w:tr w:rsidR="00493EBD" w14:paraId="633ACB5A"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74726287"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The rule engine must be architected for extensibility. A hard-coded implementation per rule type will become brittle as new rule types are added. M10 must use a registry-based or plugin-based rule engine design pattern. This is a moderate architectural design risk, not a technical feasibility uncertainty.</w:t>
            </w:r>
          </w:p>
        </w:tc>
      </w:tr>
    </w:tbl>
    <w:p w14:paraId="619834B4"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1125FC0D"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272AC4A5" w14:textId="77777777" w:rsidR="00493EBD" w:rsidRDefault="00000000">
            <w:pPr>
              <w:spacing w:after="80"/>
            </w:pPr>
            <w:r>
              <w:rPr>
                <w:rFonts w:ascii="Arial" w:eastAsia="Arial" w:hAnsi="Arial" w:cs="Arial"/>
                <w:b/>
                <w:bCs/>
                <w:color w:val="1F4E79"/>
                <w:sz w:val="21"/>
                <w:szCs w:val="21"/>
              </w:rPr>
              <w:t xml:space="preserve">G8 — </w:t>
            </w:r>
            <w:r>
              <w:rPr>
                <w:rFonts w:ascii="Arial" w:eastAsia="Arial" w:hAnsi="Arial" w:cs="Arial"/>
                <w:b/>
                <w:bCs/>
                <w:color w:val="1A1A1A"/>
                <w:sz w:val="21"/>
                <w:szCs w:val="21"/>
              </w:rPr>
              <w:t>Data Lineage &amp; Catalog</w:t>
            </w:r>
          </w:p>
        </w:tc>
        <w:tc>
          <w:tcPr>
            <w:tcW w:w="2160" w:type="dxa"/>
            <w:tcBorders>
              <w:top w:val="single" w:sz="6" w:space="0" w:color="0D2B1F"/>
              <w:left w:val="single" w:sz="6" w:space="0" w:color="0D2B1F"/>
              <w:bottom w:val="single" w:sz="6" w:space="0" w:color="0D2B1F"/>
              <w:right w:val="single" w:sz="6" w:space="0" w:color="0D2B1F"/>
            </w:tcBorders>
            <w:shd w:val="clear" w:color="auto" w:fill="FFF2CC"/>
            <w:tcMar>
              <w:top w:w="100" w:type="dxa"/>
              <w:left w:w="100" w:type="dxa"/>
              <w:bottom w:w="100" w:type="dxa"/>
              <w:right w:w="100" w:type="dxa"/>
            </w:tcMar>
            <w:vAlign w:val="center"/>
          </w:tcPr>
          <w:p w14:paraId="2EC6ACF5" w14:textId="77777777" w:rsidR="00493EBD" w:rsidRDefault="00000000">
            <w:pPr>
              <w:spacing w:after="80"/>
              <w:jc w:val="center"/>
            </w:pPr>
            <w:r>
              <w:rPr>
                <w:rFonts w:ascii="Arial" w:eastAsia="Arial" w:hAnsi="Arial" w:cs="Arial"/>
                <w:b/>
                <w:bCs/>
                <w:color w:val="7F6000"/>
                <w:sz w:val="18"/>
                <w:szCs w:val="18"/>
              </w:rPr>
              <w:t>Feasible with Risk</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16E603A1" w14:textId="77777777" w:rsidR="00493EBD" w:rsidRDefault="00000000">
            <w:pPr>
              <w:spacing w:after="80"/>
              <w:jc w:val="center"/>
            </w:pPr>
            <w:r>
              <w:rPr>
                <w:rFonts w:ascii="Arial" w:eastAsia="Arial" w:hAnsi="Arial" w:cs="Arial"/>
                <w:b/>
                <w:bCs/>
                <w:color w:val="1F4E79"/>
                <w:sz w:val="18"/>
                <w:szCs w:val="18"/>
              </w:rPr>
              <w:t>M10</w:t>
            </w:r>
          </w:p>
        </w:tc>
      </w:tr>
      <w:tr w:rsidR="00493EBD" w14:paraId="2311B2E1"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94339EA"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Lineage tracking as a directed graph stored in PostgreSQL (adjacency list: </w:t>
            </w:r>
            <w:proofErr w:type="spellStart"/>
            <w:r>
              <w:rPr>
                <w:rFonts w:ascii="Arial" w:eastAsia="Arial" w:hAnsi="Arial" w:cs="Arial"/>
                <w:color w:val="444444"/>
                <w:sz w:val="19"/>
                <w:szCs w:val="19"/>
              </w:rPr>
              <w:t>source_node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target_node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edge_type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pipeline_id</w:t>
            </w:r>
            <w:proofErr w:type="spellEnd"/>
            <w:r>
              <w:rPr>
                <w:rFonts w:ascii="Arial" w:eastAsia="Arial" w:hAnsi="Arial" w:cs="Arial"/>
                <w:color w:val="444444"/>
                <w:sz w:val="19"/>
                <w:szCs w:val="19"/>
              </w:rPr>
              <w:t xml:space="preserve">) is a proven pattern. Graph traversal uses </w:t>
            </w:r>
            <w:proofErr w:type="spellStart"/>
            <w:r>
              <w:rPr>
                <w:rFonts w:ascii="Arial" w:eastAsia="Arial" w:hAnsi="Arial" w:cs="Arial"/>
                <w:color w:val="444444"/>
                <w:sz w:val="19"/>
                <w:szCs w:val="19"/>
              </w:rPr>
              <w:t>NetworkX</w:t>
            </w:r>
            <w:proofErr w:type="spellEnd"/>
            <w:r>
              <w:rPr>
                <w:rFonts w:ascii="Arial" w:eastAsia="Arial" w:hAnsi="Arial" w:cs="Arial"/>
                <w:color w:val="444444"/>
                <w:sz w:val="19"/>
                <w:szCs w:val="19"/>
              </w:rPr>
              <w:t xml:space="preserve"> in Python. The catalog — searchable inventory of data assets — is implementable as a PostgreSQL table with full-text search indexes and a </w:t>
            </w:r>
            <w:proofErr w:type="spellStart"/>
            <w:r>
              <w:rPr>
                <w:rFonts w:ascii="Arial" w:eastAsia="Arial" w:hAnsi="Arial" w:cs="Arial"/>
                <w:color w:val="444444"/>
                <w:sz w:val="19"/>
                <w:szCs w:val="19"/>
              </w:rPr>
              <w:t>FastAPI</w:t>
            </w:r>
            <w:proofErr w:type="spellEnd"/>
            <w:r>
              <w:rPr>
                <w:rFonts w:ascii="Arial" w:eastAsia="Arial" w:hAnsi="Arial" w:cs="Arial"/>
                <w:color w:val="444444"/>
                <w:sz w:val="19"/>
                <w:szCs w:val="19"/>
              </w:rPr>
              <w:t xml:space="preserve"> query endpoint.</w:t>
            </w:r>
          </w:p>
        </w:tc>
      </w:tr>
      <w:tr w:rsidR="00493EBD" w14:paraId="4B75335A"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790838BA"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Full source-to-dashboard lineage traceability has a critical upstream dependency: every module from M4 onwards must emit consistent lineage metadata at each processing stage — connector to ETL job to warehouse table to BI field. If earlier modules are built without lineage instrumentation, M10 cannot reconstruct the graph retroactively. The lineage metadata schema must be defined in the M3 architecture document before M4 development begins.</w:t>
            </w:r>
          </w:p>
        </w:tc>
      </w:tr>
    </w:tbl>
    <w:p w14:paraId="6A3FE03B" w14:textId="77777777" w:rsidR="00493EBD" w:rsidRDefault="00493EB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160"/>
        <w:gridCol w:w="1500"/>
      </w:tblGrid>
      <w:tr w:rsidR="00493EBD" w14:paraId="4CD893D4" w14:textId="77777777">
        <w:tblPrEx>
          <w:tblCellMar>
            <w:top w:w="0" w:type="dxa"/>
            <w:bottom w:w="0" w:type="dxa"/>
          </w:tblCellMar>
        </w:tblPrEx>
        <w:tc>
          <w:tcPr>
            <w:tcW w:w="5700" w:type="dxa"/>
            <w:tcBorders>
              <w:top w:val="single" w:sz="6" w:space="0" w:color="0D2B1F"/>
              <w:left w:val="single" w:sz="6" w:space="0" w:color="0D2B1F"/>
              <w:bottom w:val="single" w:sz="6" w:space="0" w:color="0D2B1F"/>
              <w:right w:val="single" w:sz="6" w:space="0" w:color="0D2B1F"/>
            </w:tcBorders>
            <w:shd w:val="clear" w:color="auto" w:fill="DEEAF1"/>
            <w:tcMar>
              <w:top w:w="100" w:type="dxa"/>
              <w:left w:w="140" w:type="dxa"/>
              <w:bottom w:w="100" w:type="dxa"/>
              <w:right w:w="140" w:type="dxa"/>
            </w:tcMar>
            <w:vAlign w:val="center"/>
          </w:tcPr>
          <w:p w14:paraId="2F8A1DC9" w14:textId="77777777" w:rsidR="00493EBD" w:rsidRDefault="00000000">
            <w:pPr>
              <w:spacing w:after="80"/>
            </w:pPr>
            <w:r>
              <w:rPr>
                <w:rFonts w:ascii="Arial" w:eastAsia="Arial" w:hAnsi="Arial" w:cs="Arial"/>
                <w:b/>
                <w:bCs/>
                <w:color w:val="1F4E79"/>
                <w:sz w:val="21"/>
                <w:szCs w:val="21"/>
              </w:rPr>
              <w:t xml:space="preserve">G9 — </w:t>
            </w:r>
            <w:r>
              <w:rPr>
                <w:rFonts w:ascii="Arial" w:eastAsia="Arial" w:hAnsi="Arial" w:cs="Arial"/>
                <w:b/>
                <w:bCs/>
                <w:color w:val="1A1A1A"/>
                <w:sz w:val="21"/>
                <w:szCs w:val="21"/>
              </w:rPr>
              <w:t>Security &amp; Compliance</w:t>
            </w:r>
          </w:p>
        </w:tc>
        <w:tc>
          <w:tcPr>
            <w:tcW w:w="2160" w:type="dxa"/>
            <w:tcBorders>
              <w:top w:val="single" w:sz="6" w:space="0" w:color="0D2B1F"/>
              <w:left w:val="single" w:sz="6" w:space="0" w:color="0D2B1F"/>
              <w:bottom w:val="single" w:sz="6" w:space="0" w:color="0D2B1F"/>
              <w:right w:val="single" w:sz="6" w:space="0" w:color="0D2B1F"/>
            </w:tcBorders>
            <w:shd w:val="clear" w:color="auto" w:fill="FFF2CC"/>
            <w:tcMar>
              <w:top w:w="100" w:type="dxa"/>
              <w:left w:w="100" w:type="dxa"/>
              <w:bottom w:w="100" w:type="dxa"/>
              <w:right w:w="100" w:type="dxa"/>
            </w:tcMar>
            <w:vAlign w:val="center"/>
          </w:tcPr>
          <w:p w14:paraId="60A58681" w14:textId="77777777" w:rsidR="00493EBD" w:rsidRDefault="00000000">
            <w:pPr>
              <w:spacing w:after="80"/>
              <w:jc w:val="center"/>
            </w:pPr>
            <w:r>
              <w:rPr>
                <w:rFonts w:ascii="Arial" w:eastAsia="Arial" w:hAnsi="Arial" w:cs="Arial"/>
                <w:b/>
                <w:bCs/>
                <w:color w:val="7F6000"/>
                <w:sz w:val="18"/>
                <w:szCs w:val="18"/>
              </w:rPr>
              <w:t>Feasible with Risk</w:t>
            </w:r>
          </w:p>
        </w:tc>
        <w:tc>
          <w:tcPr>
            <w:tcW w:w="1500" w:type="dxa"/>
            <w:tcBorders>
              <w:top w:val="single" w:sz="6" w:space="0" w:color="0D2B1F"/>
              <w:left w:val="single" w:sz="6" w:space="0" w:color="0D2B1F"/>
              <w:bottom w:val="single" w:sz="6" w:space="0" w:color="0D2B1F"/>
              <w:right w:val="single" w:sz="6" w:space="0" w:color="0D2B1F"/>
            </w:tcBorders>
            <w:shd w:val="clear" w:color="auto" w:fill="F4F7FA"/>
            <w:tcMar>
              <w:top w:w="100" w:type="dxa"/>
              <w:left w:w="100" w:type="dxa"/>
              <w:bottom w:w="100" w:type="dxa"/>
              <w:right w:w="100" w:type="dxa"/>
            </w:tcMar>
            <w:vAlign w:val="center"/>
          </w:tcPr>
          <w:p w14:paraId="4925DE93" w14:textId="77777777" w:rsidR="00493EBD" w:rsidRDefault="00000000">
            <w:pPr>
              <w:spacing w:after="80"/>
              <w:jc w:val="center"/>
            </w:pPr>
            <w:r>
              <w:rPr>
                <w:rFonts w:ascii="Arial" w:eastAsia="Arial" w:hAnsi="Arial" w:cs="Arial"/>
                <w:b/>
                <w:bCs/>
                <w:color w:val="1F4E79"/>
                <w:sz w:val="18"/>
                <w:szCs w:val="18"/>
              </w:rPr>
              <w:t>M11</w:t>
            </w:r>
          </w:p>
        </w:tc>
      </w:tr>
      <w:tr w:rsidR="00493EBD" w14:paraId="03270030"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BAC1178" w14:textId="77777777" w:rsidR="00493EBD" w:rsidRDefault="00000000">
            <w:pPr>
              <w:spacing w:after="80"/>
            </w:pPr>
            <w:r>
              <w:rPr>
                <w:rFonts w:ascii="Arial" w:eastAsia="Arial" w:hAnsi="Arial" w:cs="Arial"/>
                <w:b/>
                <w:bCs/>
                <w:color w:val="444444"/>
                <w:sz w:val="19"/>
                <w:szCs w:val="19"/>
              </w:rPr>
              <w:t xml:space="preserve">Assessment:  </w:t>
            </w:r>
            <w:r>
              <w:rPr>
                <w:rFonts w:ascii="Arial" w:eastAsia="Arial" w:hAnsi="Arial" w:cs="Arial"/>
                <w:color w:val="444444"/>
                <w:sz w:val="19"/>
                <w:szCs w:val="19"/>
              </w:rPr>
              <w:t xml:space="preserve">JWT-based authentication, </w:t>
            </w:r>
            <w:proofErr w:type="spellStart"/>
            <w:r>
              <w:rPr>
                <w:rFonts w:ascii="Arial" w:eastAsia="Arial" w:hAnsi="Arial" w:cs="Arial"/>
                <w:color w:val="444444"/>
                <w:sz w:val="19"/>
                <w:szCs w:val="19"/>
              </w:rPr>
              <w:t>FastAPI</w:t>
            </w:r>
            <w:proofErr w:type="spellEnd"/>
            <w:r>
              <w:rPr>
                <w:rFonts w:ascii="Arial" w:eastAsia="Arial" w:hAnsi="Arial" w:cs="Arial"/>
                <w:color w:val="444444"/>
                <w:sz w:val="19"/>
                <w:szCs w:val="19"/>
              </w:rPr>
              <w:t xml:space="preserve"> dependency injection for RBAC, and </w:t>
            </w:r>
            <w:proofErr w:type="spellStart"/>
            <w:r>
              <w:rPr>
                <w:rFonts w:ascii="Arial" w:eastAsia="Arial" w:hAnsi="Arial" w:cs="Arial"/>
                <w:color w:val="444444"/>
                <w:sz w:val="19"/>
                <w:szCs w:val="19"/>
              </w:rPr>
              <w:t>SQLAlchemy</w:t>
            </w:r>
            <w:proofErr w:type="spellEnd"/>
            <w:r>
              <w:rPr>
                <w:rFonts w:ascii="Arial" w:eastAsia="Arial" w:hAnsi="Arial" w:cs="Arial"/>
                <w:color w:val="444444"/>
                <w:sz w:val="19"/>
                <w:szCs w:val="19"/>
              </w:rPr>
              <w:t>-level column masking are mature, well-documented patterns. The KVKK/GDPR compliance API surface — ten checklist items C01 through C10 from the M2W6T2 compliance research — is formally specified with endpoint definitions, module assignments, and implementation notes.</w:t>
            </w:r>
          </w:p>
        </w:tc>
      </w:tr>
      <w:tr w:rsidR="00493EBD" w14:paraId="2BD2004F" w14:textId="77777777">
        <w:tblPrEx>
          <w:tblCellMar>
            <w:top w:w="0" w:type="dxa"/>
            <w:bottom w:w="0" w:type="dxa"/>
          </w:tblCellMar>
        </w:tblPrEx>
        <w:tc>
          <w:tcPr>
            <w:tcW w:w="9360" w:type="dxa"/>
            <w:gridSpan w:val="3"/>
            <w:tcBorders>
              <w:top w:val="single" w:sz="4" w:space="0" w:color="CCCCCC"/>
              <w:left w:val="single" w:sz="4" w:space="0" w:color="CCCCCC"/>
              <w:bottom w:val="single" w:sz="4" w:space="0" w:color="CCCCCC"/>
              <w:right w:val="single" w:sz="4" w:space="0" w:color="CCCCCC"/>
            </w:tcBorders>
            <w:shd w:val="clear" w:color="auto" w:fill="FFF2CC"/>
            <w:tcMar>
              <w:top w:w="80" w:type="dxa"/>
              <w:left w:w="160" w:type="dxa"/>
              <w:bottom w:w="80" w:type="dxa"/>
              <w:right w:w="160" w:type="dxa"/>
            </w:tcMar>
          </w:tcPr>
          <w:p w14:paraId="0A3EF1E1" w14:textId="77777777" w:rsidR="00493EBD" w:rsidRDefault="00000000">
            <w:pPr>
              <w:spacing w:after="80"/>
            </w:pPr>
            <w:r>
              <w:rPr>
                <w:rFonts w:ascii="Arial" w:eastAsia="Arial" w:hAnsi="Arial" w:cs="Arial"/>
                <w:b/>
                <w:bCs/>
                <w:color w:val="7F6000"/>
                <w:sz w:val="19"/>
                <w:szCs w:val="19"/>
              </w:rPr>
              <w:t xml:space="preserve">Risk:  </w:t>
            </w:r>
            <w:r>
              <w:rPr>
                <w:rFonts w:ascii="Arial" w:eastAsia="Arial" w:hAnsi="Arial" w:cs="Arial"/>
                <w:color w:val="7F6000"/>
                <w:sz w:val="19"/>
                <w:szCs w:val="19"/>
              </w:rPr>
              <w:t xml:space="preserve">The compliance surface is broad: 10 checklist items spanning four modules — Connector Framework, ETL Engine, Metadata-Driven DW, and Security. Any item missed in M11 creates regulatory risk for pilot </w:t>
            </w:r>
            <w:proofErr w:type="spellStart"/>
            <w:r>
              <w:rPr>
                <w:rFonts w:ascii="Arial" w:eastAsia="Arial" w:hAnsi="Arial" w:cs="Arial"/>
                <w:color w:val="7F6000"/>
                <w:sz w:val="19"/>
                <w:szCs w:val="19"/>
              </w:rPr>
              <w:t>organisations</w:t>
            </w:r>
            <w:proofErr w:type="spellEnd"/>
            <w:r>
              <w:rPr>
                <w:rFonts w:ascii="Arial" w:eastAsia="Arial" w:hAnsi="Arial" w:cs="Arial"/>
                <w:color w:val="7F6000"/>
                <w:sz w:val="19"/>
                <w:szCs w:val="19"/>
              </w:rPr>
              <w:t>. M11 implementation must treat the C01 through C10 checklist as a formal acceptance criterion. Audit logging performance overhead must be validated under load testing in M11 to confirm the 99.5% uptime KPI is unaffected.</w:t>
            </w:r>
          </w:p>
        </w:tc>
      </w:tr>
    </w:tbl>
    <w:p w14:paraId="3262B0AE" w14:textId="77777777" w:rsidR="00493EBD" w:rsidRDefault="00493EBD">
      <w:pPr>
        <w:spacing w:after="120"/>
      </w:pPr>
    </w:p>
    <w:p w14:paraId="0F20D393" w14:textId="77777777" w:rsidR="00493EBD" w:rsidRDefault="00493EBD">
      <w:pPr>
        <w:spacing w:after="80"/>
      </w:pPr>
    </w:p>
    <w:p w14:paraId="79616DC0" w14:textId="77777777" w:rsidR="00493EBD" w:rsidRDefault="00000000">
      <w:pPr>
        <w:spacing w:before="180" w:after="100"/>
      </w:pPr>
      <w:r>
        <w:rPr>
          <w:rFonts w:ascii="Arial" w:eastAsia="Arial" w:hAnsi="Arial" w:cs="Arial"/>
          <w:b/>
          <w:bCs/>
          <w:color w:val="C55A11"/>
          <w:sz w:val="22"/>
          <w:szCs w:val="22"/>
        </w:rPr>
        <w:t>Technical Feasibility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760"/>
        <w:gridCol w:w="3200"/>
      </w:tblGrid>
      <w:tr w:rsidR="00493EBD" w14:paraId="0095B349" w14:textId="77777777">
        <w:tblPrEx>
          <w:tblCellMar>
            <w:top w:w="0" w:type="dxa"/>
            <w:bottom w:w="0" w:type="dxa"/>
          </w:tblCellMar>
        </w:tblPrEx>
        <w:tc>
          <w:tcPr>
            <w:tcW w:w="35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29BC61EA" w14:textId="77777777" w:rsidR="00493EBD" w:rsidRDefault="00000000">
            <w:r>
              <w:rPr>
                <w:rFonts w:ascii="Arial" w:eastAsia="Arial" w:hAnsi="Arial" w:cs="Arial"/>
                <w:b/>
                <w:bCs/>
                <w:color w:val="FFFFFF"/>
                <w:sz w:val="18"/>
                <w:szCs w:val="18"/>
              </w:rPr>
              <w:t>Module</w:t>
            </w:r>
          </w:p>
        </w:tc>
        <w:tc>
          <w:tcPr>
            <w:tcW w:w="19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3B051351" w14:textId="77777777" w:rsidR="00493EBD" w:rsidRDefault="00000000">
            <w:r>
              <w:rPr>
                <w:rFonts w:ascii="Arial" w:eastAsia="Arial" w:hAnsi="Arial" w:cs="Arial"/>
                <w:b/>
                <w:bCs/>
                <w:color w:val="FFFFFF"/>
                <w:sz w:val="18"/>
                <w:szCs w:val="18"/>
              </w:rPr>
              <w:t>Rating</w:t>
            </w:r>
          </w:p>
        </w:tc>
        <w:tc>
          <w:tcPr>
            <w:tcW w:w="76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4CC2E4F0" w14:textId="77777777" w:rsidR="00493EBD" w:rsidRDefault="00000000">
            <w:r>
              <w:rPr>
                <w:rFonts w:ascii="Arial" w:eastAsia="Arial" w:hAnsi="Arial" w:cs="Arial"/>
                <w:b/>
                <w:bCs/>
                <w:color w:val="FFFFFF"/>
                <w:sz w:val="18"/>
                <w:szCs w:val="18"/>
              </w:rPr>
              <w:t>MS</w:t>
            </w:r>
          </w:p>
        </w:tc>
        <w:tc>
          <w:tcPr>
            <w:tcW w:w="32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6BD5B535" w14:textId="77777777" w:rsidR="00493EBD" w:rsidRDefault="00000000">
            <w:r>
              <w:rPr>
                <w:rFonts w:ascii="Arial" w:eastAsia="Arial" w:hAnsi="Arial" w:cs="Arial"/>
                <w:b/>
                <w:bCs/>
                <w:color w:val="FFFFFF"/>
                <w:sz w:val="18"/>
                <w:szCs w:val="18"/>
              </w:rPr>
              <w:t>Primary Risk Note</w:t>
            </w:r>
          </w:p>
        </w:tc>
      </w:tr>
      <w:tr w:rsidR="00493EBD" w14:paraId="2069740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A0BA2E8" w14:textId="77777777" w:rsidR="00493EBD" w:rsidRDefault="00000000">
            <w:r>
              <w:rPr>
                <w:rFonts w:ascii="Arial" w:eastAsia="Arial" w:hAnsi="Arial" w:cs="Arial"/>
                <w:color w:val="1A1A1A"/>
                <w:sz w:val="18"/>
                <w:szCs w:val="18"/>
              </w:rPr>
              <w:t>G1 — Database-Agnostic Abstraction Layer</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7B755846" w14:textId="77777777" w:rsidR="00493EBD" w:rsidRDefault="00000000">
            <w:pPr>
              <w:jc w:val="center"/>
            </w:pPr>
            <w:r>
              <w:rPr>
                <w:rFonts w:ascii="Arial" w:eastAsia="Arial" w:hAnsi="Arial" w:cs="Arial"/>
                <w:b/>
                <w:bCs/>
                <w:color w:val="7F6000"/>
                <w:sz w:val="17"/>
                <w:szCs w:val="17"/>
              </w:rPr>
              <w:t>Feasible with Risk</w:t>
            </w:r>
          </w:p>
        </w:tc>
        <w:tc>
          <w:tcPr>
            <w:tcW w:w="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5FC87166" w14:textId="77777777" w:rsidR="00493EBD" w:rsidRDefault="00000000">
            <w:pPr>
              <w:jc w:val="center"/>
            </w:pPr>
            <w:r>
              <w:rPr>
                <w:rFonts w:ascii="Arial" w:eastAsia="Arial" w:hAnsi="Arial" w:cs="Arial"/>
                <w:color w:val="1F4E79"/>
                <w:sz w:val="18"/>
                <w:szCs w:val="18"/>
              </w:rPr>
              <w:t>M4</w:t>
            </w:r>
          </w:p>
        </w:tc>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B330F2" w14:textId="77777777" w:rsidR="00493EBD" w:rsidRDefault="00000000">
            <w:r>
              <w:rPr>
                <w:rFonts w:ascii="Arial" w:eastAsia="Arial" w:hAnsi="Arial" w:cs="Arial"/>
                <w:color w:val="1A1A1A"/>
                <w:sz w:val="18"/>
                <w:szCs w:val="18"/>
              </w:rPr>
              <w:t>This is the architecturally most critical module in the project.</w:t>
            </w:r>
          </w:p>
        </w:tc>
      </w:tr>
      <w:tr w:rsidR="00493EBD" w14:paraId="3C5B27A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60326" w14:textId="77777777" w:rsidR="00493EBD" w:rsidRDefault="00000000">
            <w:r>
              <w:rPr>
                <w:rFonts w:ascii="Arial" w:eastAsia="Arial" w:hAnsi="Arial" w:cs="Arial"/>
                <w:color w:val="1A1A1A"/>
                <w:sz w:val="18"/>
                <w:szCs w:val="18"/>
              </w:rPr>
              <w:t>G2 — Connector Framework</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7E0375E8" w14:textId="77777777" w:rsidR="00493EBD" w:rsidRDefault="00000000">
            <w:pPr>
              <w:jc w:val="center"/>
            </w:pPr>
            <w:r>
              <w:rPr>
                <w:rFonts w:ascii="Arial" w:eastAsia="Arial" w:hAnsi="Arial" w:cs="Arial"/>
                <w:b/>
                <w:bCs/>
                <w:color w:val="375623"/>
                <w:sz w:val="17"/>
                <w:szCs w:val="17"/>
              </w:rPr>
              <w:t>Confirmed Feasible</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F52D2" w14:textId="77777777" w:rsidR="00493EBD" w:rsidRDefault="00000000">
            <w:pPr>
              <w:jc w:val="center"/>
            </w:pPr>
            <w:r>
              <w:rPr>
                <w:rFonts w:ascii="Arial" w:eastAsia="Arial" w:hAnsi="Arial" w:cs="Arial"/>
                <w:color w:val="1F4E79"/>
                <w:sz w:val="18"/>
                <w:szCs w:val="18"/>
              </w:rPr>
              <w:t>M4 / M6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920C6" w14:textId="77777777" w:rsidR="00493EBD" w:rsidRDefault="00000000">
            <w:r>
              <w:rPr>
                <w:rFonts w:ascii="Arial" w:eastAsia="Arial" w:hAnsi="Arial" w:cs="Arial"/>
                <w:color w:val="1A1A1A"/>
                <w:sz w:val="18"/>
                <w:szCs w:val="18"/>
              </w:rPr>
              <w:t>Connector complexity escalates for Oracle (</w:t>
            </w:r>
            <w:proofErr w:type="spellStart"/>
            <w:r>
              <w:rPr>
                <w:rFonts w:ascii="Arial" w:eastAsia="Arial" w:hAnsi="Arial" w:cs="Arial"/>
                <w:color w:val="1A1A1A"/>
                <w:sz w:val="18"/>
                <w:szCs w:val="18"/>
              </w:rPr>
              <w:t>cx_Oracle</w:t>
            </w:r>
            <w:proofErr w:type="spellEnd"/>
            <w:r>
              <w:rPr>
                <w:rFonts w:ascii="Arial" w:eastAsia="Arial" w:hAnsi="Arial" w:cs="Arial"/>
                <w:color w:val="1A1A1A"/>
                <w:sz w:val="18"/>
                <w:szCs w:val="18"/>
              </w:rPr>
              <w:t xml:space="preserve"> driver management and licensing overhead) and Cassandra (CQL query model differs from SQL).</w:t>
            </w:r>
          </w:p>
        </w:tc>
      </w:tr>
      <w:tr w:rsidR="00493EBD" w14:paraId="705D210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00CA502" w14:textId="77777777" w:rsidR="00493EBD" w:rsidRDefault="00000000">
            <w:r>
              <w:rPr>
                <w:rFonts w:ascii="Arial" w:eastAsia="Arial" w:hAnsi="Arial" w:cs="Arial"/>
                <w:color w:val="1A1A1A"/>
                <w:sz w:val="18"/>
                <w:szCs w:val="18"/>
              </w:rPr>
              <w:t>G3 — ETL Engine</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5022FCD1" w14:textId="77777777" w:rsidR="00493EBD" w:rsidRDefault="00000000">
            <w:pPr>
              <w:jc w:val="center"/>
            </w:pPr>
            <w:r>
              <w:rPr>
                <w:rFonts w:ascii="Arial" w:eastAsia="Arial" w:hAnsi="Arial" w:cs="Arial"/>
                <w:b/>
                <w:bCs/>
                <w:color w:val="375623"/>
                <w:sz w:val="17"/>
                <w:szCs w:val="17"/>
              </w:rPr>
              <w:t>Confirmed Feasible</w:t>
            </w:r>
          </w:p>
        </w:tc>
        <w:tc>
          <w:tcPr>
            <w:tcW w:w="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6949B584" w14:textId="77777777" w:rsidR="00493EBD" w:rsidRDefault="00000000">
            <w:pPr>
              <w:jc w:val="center"/>
            </w:pPr>
            <w:r>
              <w:rPr>
                <w:rFonts w:ascii="Arial" w:eastAsia="Arial" w:hAnsi="Arial" w:cs="Arial"/>
                <w:color w:val="1F4E79"/>
                <w:sz w:val="18"/>
                <w:szCs w:val="18"/>
              </w:rPr>
              <w:t>M5</w:t>
            </w:r>
          </w:p>
        </w:tc>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4BC56FC1" w14:textId="77777777" w:rsidR="00493EBD" w:rsidRDefault="00000000">
            <w:r>
              <w:rPr>
                <w:rFonts w:ascii="Arial" w:eastAsia="Arial" w:hAnsi="Arial" w:cs="Arial"/>
                <w:color w:val="1A1A1A"/>
                <w:sz w:val="18"/>
                <w:szCs w:val="18"/>
              </w:rPr>
              <w:t xml:space="preserve">Parallel processing requires careful concurrency design to avoid </w:t>
            </w:r>
            <w:r>
              <w:rPr>
                <w:rFonts w:ascii="Arial" w:eastAsia="Arial" w:hAnsi="Arial" w:cs="Arial"/>
                <w:color w:val="1A1A1A"/>
                <w:sz w:val="18"/>
                <w:szCs w:val="18"/>
              </w:rPr>
              <w:lastRenderedPageBreak/>
              <w:t>connection pool exhaustion across concurrent pipeline runs.</w:t>
            </w:r>
          </w:p>
        </w:tc>
      </w:tr>
      <w:tr w:rsidR="00493EBD" w14:paraId="3D74193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98C58" w14:textId="77777777" w:rsidR="00493EBD" w:rsidRDefault="00000000">
            <w:r>
              <w:rPr>
                <w:rFonts w:ascii="Arial" w:eastAsia="Arial" w:hAnsi="Arial" w:cs="Arial"/>
                <w:color w:val="1A1A1A"/>
                <w:sz w:val="18"/>
                <w:szCs w:val="18"/>
              </w:rPr>
              <w:lastRenderedPageBreak/>
              <w:t>G4 — CDC &amp; Real-Time Streaming</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3219F4CB" w14:textId="77777777" w:rsidR="00493EBD" w:rsidRDefault="00000000">
            <w:pPr>
              <w:jc w:val="center"/>
            </w:pPr>
            <w:r>
              <w:rPr>
                <w:rFonts w:ascii="Arial" w:eastAsia="Arial" w:hAnsi="Arial" w:cs="Arial"/>
                <w:b/>
                <w:bCs/>
                <w:color w:val="7F6000"/>
                <w:sz w:val="17"/>
                <w:szCs w:val="17"/>
              </w:rPr>
              <w:t>Feasible with Risk</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0EE02" w14:textId="77777777" w:rsidR="00493EBD" w:rsidRDefault="00000000">
            <w:pPr>
              <w:jc w:val="center"/>
            </w:pPr>
            <w:r>
              <w:rPr>
                <w:rFonts w:ascii="Arial" w:eastAsia="Arial" w:hAnsi="Arial" w:cs="Arial"/>
                <w:color w:val="1F4E79"/>
                <w:sz w:val="18"/>
                <w:szCs w:val="18"/>
              </w:rPr>
              <w:t>M7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78988" w14:textId="77777777" w:rsidR="00493EBD" w:rsidRDefault="00000000">
            <w:r>
              <w:rPr>
                <w:rFonts w:ascii="Arial" w:eastAsia="Arial" w:hAnsi="Arial" w:cs="Arial"/>
                <w:color w:val="1A1A1A"/>
                <w:sz w:val="18"/>
                <w:szCs w:val="18"/>
              </w:rPr>
              <w:t>HIGH: this module carries the highest learning-curve risk in the project.</w:t>
            </w:r>
          </w:p>
        </w:tc>
      </w:tr>
      <w:tr w:rsidR="00493EBD" w14:paraId="48C57B2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9F7777F" w14:textId="77777777" w:rsidR="00493EBD" w:rsidRDefault="00000000">
            <w:r>
              <w:rPr>
                <w:rFonts w:ascii="Arial" w:eastAsia="Arial" w:hAnsi="Arial" w:cs="Arial"/>
                <w:color w:val="1A1A1A"/>
                <w:sz w:val="18"/>
                <w:szCs w:val="18"/>
              </w:rPr>
              <w:t>G5 — Metadata-Driven Data Warehouse</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15AFFEEF" w14:textId="77777777" w:rsidR="00493EBD" w:rsidRDefault="00000000">
            <w:pPr>
              <w:jc w:val="center"/>
            </w:pPr>
            <w:r>
              <w:rPr>
                <w:rFonts w:ascii="Arial" w:eastAsia="Arial" w:hAnsi="Arial" w:cs="Arial"/>
                <w:b/>
                <w:bCs/>
                <w:color w:val="7F6000"/>
                <w:sz w:val="17"/>
                <w:szCs w:val="17"/>
              </w:rPr>
              <w:t>Feasible with Risk</w:t>
            </w:r>
          </w:p>
        </w:tc>
        <w:tc>
          <w:tcPr>
            <w:tcW w:w="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BD3C85B" w14:textId="77777777" w:rsidR="00493EBD" w:rsidRDefault="00000000">
            <w:pPr>
              <w:jc w:val="center"/>
            </w:pPr>
            <w:r>
              <w:rPr>
                <w:rFonts w:ascii="Arial" w:eastAsia="Arial" w:hAnsi="Arial" w:cs="Arial"/>
                <w:color w:val="1F4E79"/>
                <w:sz w:val="18"/>
                <w:szCs w:val="18"/>
              </w:rPr>
              <w:t>M8</w:t>
            </w:r>
          </w:p>
        </w:tc>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6BA0102" w14:textId="77777777" w:rsidR="00493EBD" w:rsidRDefault="00000000">
            <w:r>
              <w:rPr>
                <w:rFonts w:ascii="Arial" w:eastAsia="Arial" w:hAnsi="Arial" w:cs="Arial"/>
                <w:color w:val="1A1A1A"/>
                <w:sz w:val="18"/>
                <w:szCs w:val="18"/>
              </w:rPr>
              <w:t>The metadata DSL — the specification format that drives schema auto-generation — must be carefully designed during M3 before M8 begins.</w:t>
            </w:r>
          </w:p>
        </w:tc>
      </w:tr>
      <w:tr w:rsidR="00493EBD" w14:paraId="59A5F8B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331D5" w14:textId="77777777" w:rsidR="00493EBD" w:rsidRDefault="00000000">
            <w:r>
              <w:rPr>
                <w:rFonts w:ascii="Arial" w:eastAsia="Arial" w:hAnsi="Arial" w:cs="Arial"/>
                <w:color w:val="1A1A1A"/>
                <w:sz w:val="18"/>
                <w:szCs w:val="18"/>
              </w:rPr>
              <w:t>G6 — BI Dashboard &amp; OLAP Layer</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0A6B92F9" w14:textId="77777777" w:rsidR="00493EBD" w:rsidRDefault="00000000">
            <w:pPr>
              <w:jc w:val="center"/>
            </w:pPr>
            <w:r>
              <w:rPr>
                <w:rFonts w:ascii="Arial" w:eastAsia="Arial" w:hAnsi="Arial" w:cs="Arial"/>
                <w:b/>
                <w:bCs/>
                <w:color w:val="375623"/>
                <w:sz w:val="17"/>
                <w:szCs w:val="17"/>
              </w:rPr>
              <w:t>Confirmed Feasible</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1FEB9" w14:textId="77777777" w:rsidR="00493EBD" w:rsidRDefault="00000000">
            <w:pPr>
              <w:jc w:val="center"/>
            </w:pPr>
            <w:r>
              <w:rPr>
                <w:rFonts w:ascii="Arial" w:eastAsia="Arial" w:hAnsi="Arial" w:cs="Arial"/>
                <w:color w:val="1F4E79"/>
                <w:sz w:val="18"/>
                <w:szCs w:val="18"/>
              </w:rPr>
              <w:t>M9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5D5BF" w14:textId="77777777" w:rsidR="00493EBD" w:rsidRDefault="00000000">
            <w:r>
              <w:rPr>
                <w:rFonts w:ascii="Arial" w:eastAsia="Arial" w:hAnsi="Arial" w:cs="Arial"/>
                <w:color w:val="1A1A1A"/>
                <w:sz w:val="18"/>
                <w:szCs w:val="18"/>
              </w:rPr>
              <w:t>The 15-minute dashboard creation KPI is the most UX-dependent metric in the project.</w:t>
            </w:r>
          </w:p>
        </w:tc>
      </w:tr>
      <w:tr w:rsidR="00493EBD" w14:paraId="5D6E823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4F43A041" w14:textId="77777777" w:rsidR="00493EBD" w:rsidRDefault="00000000">
            <w:r>
              <w:rPr>
                <w:rFonts w:ascii="Arial" w:eastAsia="Arial" w:hAnsi="Arial" w:cs="Arial"/>
                <w:color w:val="1A1A1A"/>
                <w:sz w:val="18"/>
                <w:szCs w:val="18"/>
              </w:rPr>
              <w:t>G7 — Data Quality &amp; Profiling</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7067CFA7" w14:textId="77777777" w:rsidR="00493EBD" w:rsidRDefault="00000000">
            <w:pPr>
              <w:jc w:val="center"/>
            </w:pPr>
            <w:r>
              <w:rPr>
                <w:rFonts w:ascii="Arial" w:eastAsia="Arial" w:hAnsi="Arial" w:cs="Arial"/>
                <w:b/>
                <w:bCs/>
                <w:color w:val="375623"/>
                <w:sz w:val="17"/>
                <w:szCs w:val="17"/>
              </w:rPr>
              <w:t>Confirmed Feasible</w:t>
            </w:r>
          </w:p>
        </w:tc>
        <w:tc>
          <w:tcPr>
            <w:tcW w:w="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5996250A" w14:textId="77777777" w:rsidR="00493EBD" w:rsidRDefault="00000000">
            <w:pPr>
              <w:jc w:val="center"/>
            </w:pPr>
            <w:r>
              <w:rPr>
                <w:rFonts w:ascii="Arial" w:eastAsia="Arial" w:hAnsi="Arial" w:cs="Arial"/>
                <w:color w:val="1F4E79"/>
                <w:sz w:val="18"/>
                <w:szCs w:val="18"/>
              </w:rPr>
              <w:t>M10</w:t>
            </w:r>
          </w:p>
        </w:tc>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7017D5B5" w14:textId="77777777" w:rsidR="00493EBD" w:rsidRDefault="00000000">
            <w:r>
              <w:rPr>
                <w:rFonts w:ascii="Arial" w:eastAsia="Arial" w:hAnsi="Arial" w:cs="Arial"/>
                <w:color w:val="1A1A1A"/>
                <w:sz w:val="18"/>
                <w:szCs w:val="18"/>
              </w:rPr>
              <w:t>The rule engine must be architected for extensibility.</w:t>
            </w:r>
          </w:p>
        </w:tc>
      </w:tr>
      <w:tr w:rsidR="00493EBD" w14:paraId="0A3A892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6E679" w14:textId="77777777" w:rsidR="00493EBD" w:rsidRDefault="00000000">
            <w:r>
              <w:rPr>
                <w:rFonts w:ascii="Arial" w:eastAsia="Arial" w:hAnsi="Arial" w:cs="Arial"/>
                <w:color w:val="1A1A1A"/>
                <w:sz w:val="18"/>
                <w:szCs w:val="18"/>
              </w:rPr>
              <w:t>G8 — Data Lineage &amp; Catalog</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1944B662" w14:textId="77777777" w:rsidR="00493EBD" w:rsidRDefault="00000000">
            <w:pPr>
              <w:jc w:val="center"/>
            </w:pPr>
            <w:r>
              <w:rPr>
                <w:rFonts w:ascii="Arial" w:eastAsia="Arial" w:hAnsi="Arial" w:cs="Arial"/>
                <w:b/>
                <w:bCs/>
                <w:color w:val="7F6000"/>
                <w:sz w:val="17"/>
                <w:szCs w:val="17"/>
              </w:rPr>
              <w:t>Feasible with Risk</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57BFB" w14:textId="77777777" w:rsidR="00493EBD" w:rsidRDefault="00000000">
            <w:pPr>
              <w:jc w:val="center"/>
            </w:pPr>
            <w:r>
              <w:rPr>
                <w:rFonts w:ascii="Arial" w:eastAsia="Arial" w:hAnsi="Arial" w:cs="Arial"/>
                <w:color w:val="1F4E79"/>
                <w:sz w:val="18"/>
                <w:szCs w:val="18"/>
              </w:rPr>
              <w:t>M10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236BB" w14:textId="77777777" w:rsidR="00493EBD" w:rsidRDefault="00000000">
            <w:r>
              <w:rPr>
                <w:rFonts w:ascii="Arial" w:eastAsia="Arial" w:hAnsi="Arial" w:cs="Arial"/>
                <w:color w:val="1A1A1A"/>
                <w:sz w:val="18"/>
                <w:szCs w:val="18"/>
              </w:rPr>
              <w:t>Full source-to-dashboard lineage traceability has a critical upstream dependency: every module from M4 onwards must emit consistent lineage metadata at each processing stage — connector to ETL job to warehouse table to BI field.</w:t>
            </w:r>
          </w:p>
        </w:tc>
      </w:tr>
      <w:tr w:rsidR="00493EBD" w14:paraId="0C9DFF6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2ACD2F3" w14:textId="77777777" w:rsidR="00493EBD" w:rsidRDefault="00000000">
            <w:r>
              <w:rPr>
                <w:rFonts w:ascii="Arial" w:eastAsia="Arial" w:hAnsi="Arial" w:cs="Arial"/>
                <w:color w:val="1A1A1A"/>
                <w:sz w:val="18"/>
                <w:szCs w:val="18"/>
              </w:rPr>
              <w:t>G9 — Security &amp; Compliance</w:t>
            </w:r>
          </w:p>
        </w:tc>
        <w:tc>
          <w:tcPr>
            <w:tcW w:w="1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3B255AB7" w14:textId="77777777" w:rsidR="00493EBD" w:rsidRDefault="00000000">
            <w:pPr>
              <w:jc w:val="center"/>
            </w:pPr>
            <w:r>
              <w:rPr>
                <w:rFonts w:ascii="Arial" w:eastAsia="Arial" w:hAnsi="Arial" w:cs="Arial"/>
                <w:b/>
                <w:bCs/>
                <w:color w:val="7F6000"/>
                <w:sz w:val="17"/>
                <w:szCs w:val="17"/>
              </w:rPr>
              <w:t>Feasible with Risk</w:t>
            </w:r>
          </w:p>
        </w:tc>
        <w:tc>
          <w:tcPr>
            <w:tcW w:w="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315FF4B" w14:textId="77777777" w:rsidR="00493EBD" w:rsidRDefault="00000000">
            <w:pPr>
              <w:jc w:val="center"/>
            </w:pPr>
            <w:r>
              <w:rPr>
                <w:rFonts w:ascii="Arial" w:eastAsia="Arial" w:hAnsi="Arial" w:cs="Arial"/>
                <w:color w:val="1F4E79"/>
                <w:sz w:val="18"/>
                <w:szCs w:val="18"/>
              </w:rPr>
              <w:t>M11</w:t>
            </w:r>
          </w:p>
        </w:tc>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DEF9E70" w14:textId="77777777" w:rsidR="00493EBD" w:rsidRDefault="00000000">
            <w:r>
              <w:rPr>
                <w:rFonts w:ascii="Arial" w:eastAsia="Arial" w:hAnsi="Arial" w:cs="Arial"/>
                <w:color w:val="1A1A1A"/>
                <w:sz w:val="18"/>
                <w:szCs w:val="18"/>
              </w:rPr>
              <w:t>The compliance surface is broad: 10 checklist items spanning four modules — Connector Framework, ETL Engine, Metadata-Driven DW, and Security.</w:t>
            </w:r>
          </w:p>
        </w:tc>
      </w:tr>
    </w:tbl>
    <w:p w14:paraId="245B447F" w14:textId="77777777" w:rsidR="00493EBD" w:rsidRDefault="00000000">
      <w:r>
        <w:br w:type="page"/>
      </w:r>
    </w:p>
    <w:p w14:paraId="5C5F7335" w14:textId="77777777" w:rsidR="00493EBD" w:rsidRDefault="00000000">
      <w:pPr>
        <w:spacing w:before="240" w:after="140"/>
      </w:pPr>
      <w:r>
        <w:rPr>
          <w:rFonts w:ascii="Arial" w:eastAsia="Arial" w:hAnsi="Arial" w:cs="Arial"/>
          <w:b/>
          <w:bCs/>
          <w:color w:val="1F4E79"/>
          <w:sz w:val="28"/>
          <w:szCs w:val="28"/>
        </w:rPr>
        <w:lastRenderedPageBreak/>
        <w:t>2.  Resource Feasibility</w:t>
      </w:r>
    </w:p>
    <w:p w14:paraId="54D3A580" w14:textId="77777777" w:rsidR="00493EBD" w:rsidRDefault="00000000">
      <w:pPr>
        <w:spacing w:after="160"/>
      </w:pPr>
      <w:r>
        <w:rPr>
          <w:rFonts w:ascii="Arial" w:eastAsia="Arial" w:hAnsi="Arial" w:cs="Arial"/>
          <w:color w:val="444444"/>
          <w:sz w:val="19"/>
          <w:szCs w:val="19"/>
        </w:rPr>
        <w:t>The SUBOP team comprises three members with differentiated responsibilities. Abdalla leads project management, ETL architecture, data quality, and documentation (40%). Beyza owns BI, UI/UX, and frontend delivery (40%). Omer handles backend connectors, infrastructure, and security implementation with workload intentionally capped at 20% to reflect first-year student constraints. This section documents current skill gaps per high-risk module, the milestone window in which each gap must be closed, and the structured study plan for Omer on the two highest-risk skill areas — Kafka/</w:t>
      </w:r>
      <w:proofErr w:type="spellStart"/>
      <w:r>
        <w:rPr>
          <w:rFonts w:ascii="Arial" w:eastAsia="Arial" w:hAnsi="Arial" w:cs="Arial"/>
          <w:color w:val="444444"/>
          <w:sz w:val="19"/>
          <w:szCs w:val="19"/>
        </w:rPr>
        <w:t>Debezium</w:t>
      </w:r>
      <w:proofErr w:type="spellEnd"/>
      <w:r>
        <w:rPr>
          <w:rFonts w:ascii="Arial" w:eastAsia="Arial" w:hAnsi="Arial" w:cs="Arial"/>
          <w:color w:val="444444"/>
          <w:sz w:val="19"/>
          <w:szCs w:val="19"/>
        </w:rPr>
        <w:t xml:space="preserve"> and abstraction layer design. References to formally documented risks draw from risk_assumptions_final_v1.docx produced in Milestone 1.</w:t>
      </w:r>
    </w:p>
    <w:p w14:paraId="5680F2E5" w14:textId="77777777" w:rsidR="00493EBD" w:rsidRDefault="00000000">
      <w:pPr>
        <w:spacing w:before="180" w:after="100"/>
      </w:pPr>
      <w:r>
        <w:rPr>
          <w:rFonts w:ascii="Arial" w:eastAsia="Arial" w:hAnsi="Arial" w:cs="Arial"/>
          <w:b/>
          <w:bCs/>
          <w:color w:val="C55A11"/>
          <w:sz w:val="22"/>
          <w:szCs w:val="22"/>
        </w:rPr>
        <w:t>2.1  Skill 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785"/>
        <w:gridCol w:w="945"/>
        <w:gridCol w:w="1988"/>
        <w:gridCol w:w="1453"/>
      </w:tblGrid>
      <w:tr w:rsidR="00493EBD" w14:paraId="6E3C8475" w14:textId="77777777">
        <w:tblPrEx>
          <w:tblCellMar>
            <w:top w:w="0" w:type="dxa"/>
            <w:bottom w:w="0" w:type="dxa"/>
          </w:tblCellMar>
        </w:tblPrEx>
        <w:tc>
          <w:tcPr>
            <w:tcW w:w="22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2BF31B67" w14:textId="77777777" w:rsidR="00493EBD" w:rsidRDefault="00000000">
            <w:r>
              <w:rPr>
                <w:rFonts w:ascii="Arial" w:eastAsia="Arial" w:hAnsi="Arial" w:cs="Arial"/>
                <w:b/>
                <w:bCs/>
                <w:color w:val="FFFFFF"/>
                <w:sz w:val="18"/>
                <w:szCs w:val="18"/>
              </w:rPr>
              <w:t>Module</w:t>
            </w:r>
          </w:p>
        </w:tc>
        <w:tc>
          <w:tcPr>
            <w:tcW w:w="28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286EFA96" w14:textId="77777777" w:rsidR="00493EBD" w:rsidRDefault="00000000">
            <w:r>
              <w:rPr>
                <w:rFonts w:ascii="Arial" w:eastAsia="Arial" w:hAnsi="Arial" w:cs="Arial"/>
                <w:b/>
                <w:bCs/>
                <w:color w:val="FFFFFF"/>
                <w:sz w:val="18"/>
                <w:szCs w:val="18"/>
              </w:rPr>
              <w:t>Skill Gap</w:t>
            </w:r>
          </w:p>
        </w:tc>
        <w:tc>
          <w:tcPr>
            <w:tcW w:w="9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449020DD" w14:textId="77777777" w:rsidR="00493EBD" w:rsidRDefault="00000000">
            <w:r>
              <w:rPr>
                <w:rFonts w:ascii="Arial" w:eastAsia="Arial" w:hAnsi="Arial" w:cs="Arial"/>
                <w:b/>
                <w:bCs/>
                <w:color w:val="FFFFFF"/>
                <w:sz w:val="18"/>
                <w:szCs w:val="18"/>
              </w:rPr>
              <w:t>Level</w:t>
            </w:r>
          </w:p>
        </w:tc>
        <w:tc>
          <w:tcPr>
            <w:tcW w:w="20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684985FD" w14:textId="77777777" w:rsidR="00493EBD" w:rsidRDefault="00000000">
            <w:r>
              <w:rPr>
                <w:rFonts w:ascii="Arial" w:eastAsia="Arial" w:hAnsi="Arial" w:cs="Arial"/>
                <w:b/>
                <w:bCs/>
                <w:color w:val="FFFFFF"/>
                <w:sz w:val="18"/>
                <w:szCs w:val="18"/>
              </w:rPr>
              <w:t>Study Window</w:t>
            </w:r>
          </w:p>
        </w:tc>
        <w:tc>
          <w:tcPr>
            <w:tcW w:w="146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67A63497" w14:textId="77777777" w:rsidR="00493EBD" w:rsidRDefault="00000000">
            <w:r>
              <w:rPr>
                <w:rFonts w:ascii="Arial" w:eastAsia="Arial" w:hAnsi="Arial" w:cs="Arial"/>
                <w:b/>
                <w:bCs/>
                <w:color w:val="FFFFFF"/>
                <w:sz w:val="18"/>
                <w:szCs w:val="18"/>
              </w:rPr>
              <w:t>Owner</w:t>
            </w:r>
          </w:p>
        </w:tc>
      </w:tr>
      <w:tr w:rsidR="00493EBD" w14:paraId="653EE4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2B26328" w14:textId="77777777" w:rsidR="00493EBD" w:rsidRDefault="00000000">
            <w:r>
              <w:rPr>
                <w:rFonts w:ascii="Arial" w:eastAsia="Arial" w:hAnsi="Arial" w:cs="Arial"/>
                <w:b/>
                <w:bCs/>
                <w:color w:val="1F4E79"/>
                <w:sz w:val="18"/>
                <w:szCs w:val="18"/>
              </w:rPr>
              <w:t>G1 — DB Abstraction</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3092C9AD" w14:textId="77777777" w:rsidR="00493EBD" w:rsidRDefault="00000000">
            <w:r>
              <w:rPr>
                <w:rFonts w:ascii="Arial" w:eastAsia="Arial" w:hAnsi="Arial" w:cs="Arial"/>
                <w:color w:val="1A1A1A"/>
                <w:sz w:val="18"/>
                <w:szCs w:val="18"/>
              </w:rPr>
              <w:t xml:space="preserve">Adapter Pattern design; </w:t>
            </w:r>
            <w:proofErr w:type="spellStart"/>
            <w:r>
              <w:rPr>
                <w:rFonts w:ascii="Arial" w:eastAsia="Arial" w:hAnsi="Arial" w:cs="Arial"/>
                <w:color w:val="1A1A1A"/>
                <w:sz w:val="18"/>
                <w:szCs w:val="18"/>
              </w:rPr>
              <w:t>SQLAlchemy</w:t>
            </w:r>
            <w:proofErr w:type="spellEnd"/>
            <w:r>
              <w:rPr>
                <w:rFonts w:ascii="Arial" w:eastAsia="Arial" w:hAnsi="Arial" w:cs="Arial"/>
                <w:color w:val="1A1A1A"/>
                <w:sz w:val="18"/>
                <w:szCs w:val="18"/>
              </w:rPr>
              <w:t xml:space="preserve"> Core dialect system; abstraction layer architecture</w:t>
            </w:r>
          </w:p>
        </w:tc>
        <w:tc>
          <w:tcPr>
            <w:tcW w:w="9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80" w:type="dxa"/>
              <w:bottom w:w="80" w:type="dxa"/>
              <w:right w:w="80" w:type="dxa"/>
            </w:tcMar>
          </w:tcPr>
          <w:p w14:paraId="0A4FCB04" w14:textId="77777777" w:rsidR="00493EBD" w:rsidRDefault="00000000">
            <w:pPr>
              <w:jc w:val="center"/>
            </w:pPr>
            <w:r>
              <w:rPr>
                <w:rFonts w:ascii="Arial" w:eastAsia="Arial" w:hAnsi="Arial" w:cs="Arial"/>
                <w:b/>
                <w:bCs/>
                <w:color w:val="843C0C"/>
                <w:sz w:val="17"/>
                <w:szCs w:val="17"/>
              </w:rPr>
              <w:t>High</w:t>
            </w:r>
          </w:p>
        </w:tc>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322C11C6" w14:textId="77777777" w:rsidR="00493EBD" w:rsidRDefault="00000000">
            <w:r>
              <w:rPr>
                <w:rFonts w:ascii="Arial" w:eastAsia="Arial" w:hAnsi="Arial" w:cs="Arial"/>
                <w:color w:val="1A1A1A"/>
                <w:sz w:val="18"/>
                <w:szCs w:val="18"/>
              </w:rPr>
              <w:t>M3 — July 2026</w:t>
            </w:r>
          </w:p>
        </w:tc>
        <w:tc>
          <w:tcPr>
            <w:tcW w:w="14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5FB2B10B" w14:textId="77777777" w:rsidR="00493EBD" w:rsidRDefault="00000000">
            <w:pPr>
              <w:jc w:val="center"/>
            </w:pPr>
            <w:r>
              <w:rPr>
                <w:rFonts w:ascii="Arial" w:eastAsia="Arial" w:hAnsi="Arial" w:cs="Arial"/>
                <w:color w:val="1F4E79"/>
                <w:sz w:val="18"/>
                <w:szCs w:val="18"/>
              </w:rPr>
              <w:t>Omer</w:t>
            </w:r>
          </w:p>
        </w:tc>
      </w:tr>
      <w:tr w:rsidR="00493EBD" w14:paraId="09DB19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5D711" w14:textId="77777777" w:rsidR="00493EBD" w:rsidRDefault="00000000">
            <w:r>
              <w:rPr>
                <w:rFonts w:ascii="Arial" w:eastAsia="Arial" w:hAnsi="Arial" w:cs="Arial"/>
                <w:b/>
                <w:bCs/>
                <w:color w:val="1F4E79"/>
                <w:sz w:val="18"/>
                <w:szCs w:val="18"/>
              </w:rPr>
              <w:t>G4 — CDC / Kafka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86CC9" w14:textId="77777777" w:rsidR="00493EBD" w:rsidRDefault="00000000">
            <w:r>
              <w:rPr>
                <w:rFonts w:ascii="Arial" w:eastAsia="Arial" w:hAnsi="Arial" w:cs="Arial"/>
                <w:color w:val="1A1A1A"/>
                <w:sz w:val="18"/>
                <w:szCs w:val="18"/>
              </w:rPr>
              <w:t xml:space="preserve">Apache Kafka architecture, </w:t>
            </w:r>
            <w:proofErr w:type="spellStart"/>
            <w:r>
              <w:rPr>
                <w:rFonts w:ascii="Arial" w:eastAsia="Arial" w:hAnsi="Arial" w:cs="Arial"/>
                <w:color w:val="1A1A1A"/>
                <w:sz w:val="18"/>
                <w:szCs w:val="18"/>
              </w:rPr>
              <w:t>ZooKeeper</w:t>
            </w:r>
            <w:proofErr w:type="spellEnd"/>
            <w:r>
              <w:rPr>
                <w:rFonts w:ascii="Arial" w:eastAsia="Arial" w:hAnsi="Arial" w:cs="Arial"/>
                <w:color w:val="1A1A1A"/>
                <w:sz w:val="18"/>
                <w:szCs w:val="18"/>
              </w:rPr>
              <w:t xml:space="preserve"> coordination, </w:t>
            </w:r>
            <w:proofErr w:type="spellStart"/>
            <w:r>
              <w:rPr>
                <w:rFonts w:ascii="Arial" w:eastAsia="Arial" w:hAnsi="Arial" w:cs="Arial"/>
                <w:color w:val="1A1A1A"/>
                <w:sz w:val="18"/>
                <w:szCs w:val="18"/>
              </w:rPr>
              <w:t>Debezium</w:t>
            </w:r>
            <w:proofErr w:type="spellEnd"/>
            <w:r>
              <w:rPr>
                <w:rFonts w:ascii="Arial" w:eastAsia="Arial" w:hAnsi="Arial" w:cs="Arial"/>
                <w:color w:val="1A1A1A"/>
                <w:sz w:val="18"/>
                <w:szCs w:val="18"/>
              </w:rPr>
              <w:t xml:space="preserve"> deployment and configuration</w:t>
            </w:r>
          </w:p>
        </w:tc>
        <w:tc>
          <w:tcPr>
            <w:tcW w:w="9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80" w:type="dxa"/>
              <w:bottom w:w="80" w:type="dxa"/>
              <w:right w:w="80" w:type="dxa"/>
            </w:tcMar>
          </w:tcPr>
          <w:p w14:paraId="41D22B0B" w14:textId="77777777" w:rsidR="00493EBD" w:rsidRDefault="00000000">
            <w:pPr>
              <w:jc w:val="center"/>
            </w:pPr>
            <w:r>
              <w:rPr>
                <w:rFonts w:ascii="Arial" w:eastAsia="Arial" w:hAnsi="Arial" w:cs="Arial"/>
                <w:b/>
                <w:bCs/>
                <w:color w:val="843C0C"/>
                <w:sz w:val="17"/>
                <w:szCs w:val="17"/>
              </w:rPr>
              <w:t>High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A1E89" w14:textId="77777777" w:rsidR="00493EBD" w:rsidRDefault="00000000">
            <w:r>
              <w:rPr>
                <w:rFonts w:ascii="Arial" w:eastAsia="Arial" w:hAnsi="Arial" w:cs="Arial"/>
                <w:color w:val="1A1A1A"/>
                <w:sz w:val="18"/>
                <w:szCs w:val="18"/>
              </w:rPr>
              <w:t>M5–M6 — Aug–Sep 2026</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249EF" w14:textId="77777777" w:rsidR="00493EBD" w:rsidRDefault="00000000">
            <w:pPr>
              <w:jc w:val="center"/>
            </w:pPr>
            <w:r>
              <w:rPr>
                <w:rFonts w:ascii="Arial" w:eastAsia="Arial" w:hAnsi="Arial" w:cs="Arial"/>
                <w:color w:val="1F4E79"/>
                <w:sz w:val="18"/>
                <w:szCs w:val="18"/>
              </w:rPr>
              <w:t>Omer</w:t>
            </w:r>
          </w:p>
        </w:tc>
      </w:tr>
      <w:tr w:rsidR="00493EBD" w14:paraId="4EF0AF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3567C4F9" w14:textId="77777777" w:rsidR="00493EBD" w:rsidRDefault="00000000">
            <w:r>
              <w:rPr>
                <w:rFonts w:ascii="Arial" w:eastAsia="Arial" w:hAnsi="Arial" w:cs="Arial"/>
                <w:b/>
                <w:bCs/>
                <w:color w:val="1F4E79"/>
                <w:sz w:val="18"/>
                <w:szCs w:val="18"/>
              </w:rPr>
              <w:t>G4 — Oracle CDC</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68FC4EED" w14:textId="77777777" w:rsidR="00493EBD" w:rsidRDefault="00000000">
            <w:r>
              <w:rPr>
                <w:rFonts w:ascii="Arial" w:eastAsia="Arial" w:hAnsi="Arial" w:cs="Arial"/>
                <w:color w:val="1A1A1A"/>
                <w:sz w:val="18"/>
                <w:szCs w:val="18"/>
              </w:rPr>
              <w:t xml:space="preserve">Oracle </w:t>
            </w:r>
            <w:proofErr w:type="spellStart"/>
            <w:r>
              <w:rPr>
                <w:rFonts w:ascii="Arial" w:eastAsia="Arial" w:hAnsi="Arial" w:cs="Arial"/>
                <w:color w:val="1A1A1A"/>
                <w:sz w:val="18"/>
                <w:szCs w:val="18"/>
              </w:rPr>
              <w:t>LogMiner</w:t>
            </w:r>
            <w:proofErr w:type="spellEnd"/>
            <w:r>
              <w:rPr>
                <w:rFonts w:ascii="Arial" w:eastAsia="Arial" w:hAnsi="Arial" w:cs="Arial"/>
                <w:color w:val="1A1A1A"/>
                <w:sz w:val="18"/>
                <w:szCs w:val="18"/>
              </w:rPr>
              <w:t xml:space="preserve">, supplemental logging, </w:t>
            </w:r>
            <w:proofErr w:type="spellStart"/>
            <w:r>
              <w:rPr>
                <w:rFonts w:ascii="Arial" w:eastAsia="Arial" w:hAnsi="Arial" w:cs="Arial"/>
                <w:color w:val="1A1A1A"/>
                <w:sz w:val="18"/>
                <w:szCs w:val="18"/>
              </w:rPr>
              <w:t>cx_Oracle</w:t>
            </w:r>
            <w:proofErr w:type="spellEnd"/>
            <w:r>
              <w:rPr>
                <w:rFonts w:ascii="Arial" w:eastAsia="Arial" w:hAnsi="Arial" w:cs="Arial"/>
                <w:color w:val="1A1A1A"/>
                <w:sz w:val="18"/>
                <w:szCs w:val="18"/>
              </w:rPr>
              <w:t xml:space="preserve"> advanced configuration</w:t>
            </w:r>
          </w:p>
        </w:tc>
        <w:tc>
          <w:tcPr>
            <w:tcW w:w="9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80" w:type="dxa"/>
              <w:bottom w:w="80" w:type="dxa"/>
              <w:right w:w="80" w:type="dxa"/>
            </w:tcMar>
          </w:tcPr>
          <w:p w14:paraId="326CB9C8" w14:textId="77777777" w:rsidR="00493EBD" w:rsidRDefault="00000000">
            <w:pPr>
              <w:jc w:val="center"/>
            </w:pPr>
            <w:r>
              <w:rPr>
                <w:rFonts w:ascii="Arial" w:eastAsia="Arial" w:hAnsi="Arial" w:cs="Arial"/>
                <w:b/>
                <w:bCs/>
                <w:color w:val="843C0C"/>
                <w:sz w:val="17"/>
                <w:szCs w:val="17"/>
              </w:rPr>
              <w:t>Uncertain</w:t>
            </w:r>
          </w:p>
        </w:tc>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02005C6" w14:textId="77777777" w:rsidR="00493EBD" w:rsidRDefault="00000000">
            <w:r>
              <w:rPr>
                <w:rFonts w:ascii="Arial" w:eastAsia="Arial" w:hAnsi="Arial" w:cs="Arial"/>
                <w:color w:val="1A1A1A"/>
                <w:sz w:val="18"/>
                <w:szCs w:val="18"/>
              </w:rPr>
              <w:t>N/A — stretch goal only</w:t>
            </w:r>
          </w:p>
        </w:tc>
        <w:tc>
          <w:tcPr>
            <w:tcW w:w="14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378A47C9" w14:textId="77777777" w:rsidR="00493EBD" w:rsidRDefault="00000000">
            <w:pPr>
              <w:jc w:val="center"/>
            </w:pPr>
            <w:r>
              <w:rPr>
                <w:rFonts w:ascii="Arial" w:eastAsia="Arial" w:hAnsi="Arial" w:cs="Arial"/>
                <w:color w:val="1F4E79"/>
                <w:sz w:val="18"/>
                <w:szCs w:val="18"/>
              </w:rPr>
              <w:t>Omer</w:t>
            </w:r>
          </w:p>
        </w:tc>
      </w:tr>
      <w:tr w:rsidR="00493EBD" w14:paraId="22C1FA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A646C" w14:textId="77777777" w:rsidR="00493EBD" w:rsidRDefault="00000000">
            <w:r>
              <w:rPr>
                <w:rFonts w:ascii="Arial" w:eastAsia="Arial" w:hAnsi="Arial" w:cs="Arial"/>
                <w:b/>
                <w:bCs/>
                <w:color w:val="1F4E79"/>
                <w:sz w:val="18"/>
                <w:szCs w:val="18"/>
              </w:rPr>
              <w:t>G6 — BI Dashboard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B2CE5" w14:textId="77777777" w:rsidR="00493EBD" w:rsidRDefault="00000000">
            <w:r>
              <w:rPr>
                <w:rFonts w:ascii="Arial" w:eastAsia="Arial" w:hAnsi="Arial" w:cs="Arial"/>
                <w:color w:val="1A1A1A"/>
                <w:sz w:val="18"/>
                <w:szCs w:val="18"/>
              </w:rPr>
              <w:t>Production React component development; state management; drag-and-drop builder UX</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26A626BC" w14:textId="77777777" w:rsidR="00493EBD" w:rsidRDefault="00000000">
            <w:pPr>
              <w:jc w:val="center"/>
            </w:pPr>
            <w:r>
              <w:rPr>
                <w:rFonts w:ascii="Arial" w:eastAsia="Arial" w:hAnsi="Arial" w:cs="Arial"/>
                <w:b/>
                <w:bCs/>
                <w:color w:val="7F6000"/>
                <w:sz w:val="17"/>
                <w:szCs w:val="17"/>
              </w:rPr>
              <w:t>Medium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8C719" w14:textId="77777777" w:rsidR="00493EBD" w:rsidRDefault="00000000">
            <w:r>
              <w:rPr>
                <w:rFonts w:ascii="Arial" w:eastAsia="Arial" w:hAnsi="Arial" w:cs="Arial"/>
                <w:color w:val="1A1A1A"/>
                <w:sz w:val="18"/>
                <w:szCs w:val="18"/>
              </w:rPr>
              <w:t>M5–M8 shell builds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AEAE3" w14:textId="77777777" w:rsidR="00493EBD" w:rsidRDefault="00000000">
            <w:pPr>
              <w:jc w:val="center"/>
            </w:pPr>
            <w:r>
              <w:rPr>
                <w:rFonts w:ascii="Arial" w:eastAsia="Arial" w:hAnsi="Arial" w:cs="Arial"/>
                <w:color w:val="1F4E79"/>
                <w:sz w:val="18"/>
                <w:szCs w:val="18"/>
              </w:rPr>
              <w:t>Beyza</w:t>
            </w:r>
          </w:p>
        </w:tc>
      </w:tr>
      <w:tr w:rsidR="00493EBD" w14:paraId="17BF65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6AF3502" w14:textId="77777777" w:rsidR="00493EBD" w:rsidRDefault="00000000">
            <w:r>
              <w:rPr>
                <w:rFonts w:ascii="Arial" w:eastAsia="Arial" w:hAnsi="Arial" w:cs="Arial"/>
                <w:b/>
                <w:bCs/>
                <w:color w:val="1F4E79"/>
                <w:sz w:val="18"/>
                <w:szCs w:val="18"/>
              </w:rPr>
              <w:t>G8 — Lineage / Catalog</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A913212" w14:textId="77777777" w:rsidR="00493EBD" w:rsidRDefault="00000000">
            <w:r>
              <w:rPr>
                <w:rFonts w:ascii="Arial" w:eastAsia="Arial" w:hAnsi="Arial" w:cs="Arial"/>
                <w:color w:val="1A1A1A"/>
                <w:sz w:val="18"/>
                <w:szCs w:val="18"/>
              </w:rPr>
              <w:t xml:space="preserve">Graph data structures; </w:t>
            </w:r>
            <w:proofErr w:type="spellStart"/>
            <w:r>
              <w:rPr>
                <w:rFonts w:ascii="Arial" w:eastAsia="Arial" w:hAnsi="Arial" w:cs="Arial"/>
                <w:color w:val="1A1A1A"/>
                <w:sz w:val="18"/>
                <w:szCs w:val="18"/>
              </w:rPr>
              <w:t>NetworkX</w:t>
            </w:r>
            <w:proofErr w:type="spellEnd"/>
            <w:r>
              <w:rPr>
                <w:rFonts w:ascii="Arial" w:eastAsia="Arial" w:hAnsi="Arial" w:cs="Arial"/>
                <w:color w:val="1A1A1A"/>
                <w:sz w:val="18"/>
                <w:szCs w:val="18"/>
              </w:rPr>
              <w:t>; PostgreSQL full-text search implementation</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7F3A93AF" w14:textId="77777777" w:rsidR="00493EBD" w:rsidRDefault="00000000">
            <w:pPr>
              <w:jc w:val="center"/>
            </w:pPr>
            <w:r>
              <w:rPr>
                <w:rFonts w:ascii="Arial" w:eastAsia="Arial" w:hAnsi="Arial" w:cs="Arial"/>
                <w:b/>
                <w:bCs/>
                <w:color w:val="7F6000"/>
                <w:sz w:val="17"/>
                <w:szCs w:val="17"/>
              </w:rPr>
              <w:t>Low–Medium</w:t>
            </w:r>
          </w:p>
        </w:tc>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54094CB" w14:textId="77777777" w:rsidR="00493EBD" w:rsidRDefault="00000000">
            <w:r>
              <w:rPr>
                <w:rFonts w:ascii="Arial" w:eastAsia="Arial" w:hAnsi="Arial" w:cs="Arial"/>
                <w:color w:val="1A1A1A"/>
                <w:sz w:val="18"/>
                <w:szCs w:val="18"/>
              </w:rPr>
              <w:t>M10 — Dec 2026–Jan 2027</w:t>
            </w:r>
          </w:p>
        </w:tc>
        <w:tc>
          <w:tcPr>
            <w:tcW w:w="14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998D8BC" w14:textId="77777777" w:rsidR="00493EBD" w:rsidRDefault="00000000">
            <w:pPr>
              <w:jc w:val="center"/>
            </w:pPr>
            <w:r>
              <w:rPr>
                <w:rFonts w:ascii="Arial" w:eastAsia="Arial" w:hAnsi="Arial" w:cs="Arial"/>
                <w:color w:val="1F4E79"/>
                <w:sz w:val="18"/>
                <w:szCs w:val="18"/>
              </w:rPr>
              <w:t>Abdalla + Omer</w:t>
            </w:r>
          </w:p>
        </w:tc>
      </w:tr>
      <w:tr w:rsidR="00493EBD" w14:paraId="40CD40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520F0" w14:textId="77777777" w:rsidR="00493EBD" w:rsidRDefault="00000000">
            <w:r>
              <w:rPr>
                <w:rFonts w:ascii="Arial" w:eastAsia="Arial" w:hAnsi="Arial" w:cs="Arial"/>
                <w:b/>
                <w:bCs/>
                <w:color w:val="1F4E79"/>
                <w:sz w:val="18"/>
                <w:szCs w:val="18"/>
              </w:rPr>
              <w:t>G9 — Security / KVKK</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D5753" w14:textId="77777777" w:rsidR="00493EBD" w:rsidRDefault="00000000">
            <w:proofErr w:type="spellStart"/>
            <w:r>
              <w:rPr>
                <w:rFonts w:ascii="Arial" w:eastAsia="Arial" w:hAnsi="Arial" w:cs="Arial"/>
                <w:color w:val="1A1A1A"/>
                <w:sz w:val="18"/>
                <w:szCs w:val="18"/>
              </w:rPr>
              <w:t>FastAPI</w:t>
            </w:r>
            <w:proofErr w:type="spellEnd"/>
            <w:r>
              <w:rPr>
                <w:rFonts w:ascii="Arial" w:eastAsia="Arial" w:hAnsi="Arial" w:cs="Arial"/>
                <w:color w:val="1A1A1A"/>
                <w:sz w:val="18"/>
                <w:szCs w:val="18"/>
              </w:rPr>
              <w:t xml:space="preserve"> RBAC dependency injection; JWT; KVKK/GDPR C01–C10 compliance API design</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80" w:type="dxa"/>
              <w:bottom w:w="80" w:type="dxa"/>
              <w:right w:w="80" w:type="dxa"/>
            </w:tcMar>
          </w:tcPr>
          <w:p w14:paraId="453BF793" w14:textId="77777777" w:rsidR="00493EBD" w:rsidRDefault="00000000">
            <w:pPr>
              <w:jc w:val="center"/>
            </w:pPr>
            <w:r>
              <w:rPr>
                <w:rFonts w:ascii="Arial" w:eastAsia="Arial" w:hAnsi="Arial" w:cs="Arial"/>
                <w:b/>
                <w:bCs/>
                <w:color w:val="7F6000"/>
                <w:sz w:val="17"/>
                <w:szCs w:val="17"/>
              </w:rPr>
              <w:t>Medium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595F3" w14:textId="77777777" w:rsidR="00493EBD" w:rsidRDefault="00000000">
            <w:r>
              <w:rPr>
                <w:rFonts w:ascii="Arial" w:eastAsia="Arial" w:hAnsi="Arial" w:cs="Arial"/>
                <w:color w:val="1A1A1A"/>
                <w:sz w:val="18"/>
                <w:szCs w:val="18"/>
              </w:rPr>
              <w:t>M10 — Nov–Dec 2026</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65310" w14:textId="77777777" w:rsidR="00493EBD" w:rsidRDefault="00000000">
            <w:pPr>
              <w:jc w:val="center"/>
            </w:pPr>
            <w:r>
              <w:rPr>
                <w:rFonts w:ascii="Arial" w:eastAsia="Arial" w:hAnsi="Arial" w:cs="Arial"/>
                <w:color w:val="1F4E79"/>
                <w:sz w:val="18"/>
                <w:szCs w:val="18"/>
              </w:rPr>
              <w:t>Omer + Abdalla</w:t>
            </w:r>
          </w:p>
        </w:tc>
      </w:tr>
    </w:tbl>
    <w:p w14:paraId="1D3967C8" w14:textId="77777777" w:rsidR="00493EBD" w:rsidRDefault="00493EBD">
      <w:pPr>
        <w:spacing w:after="200"/>
      </w:pPr>
    </w:p>
    <w:p w14:paraId="3E4F2452" w14:textId="77777777" w:rsidR="00493EBD" w:rsidRDefault="00000000">
      <w:pPr>
        <w:spacing w:before="180" w:after="100"/>
      </w:pPr>
      <w:r>
        <w:rPr>
          <w:rFonts w:ascii="Arial" w:eastAsia="Arial" w:hAnsi="Arial" w:cs="Arial"/>
          <w:b/>
          <w:bCs/>
          <w:color w:val="C55A11"/>
          <w:sz w:val="22"/>
          <w:szCs w:val="22"/>
        </w:rPr>
        <w:t xml:space="preserve">2.2  Structured Self-Study Plan — Kafka / </w:t>
      </w:r>
      <w:proofErr w:type="spellStart"/>
      <w:r>
        <w:rPr>
          <w:rFonts w:ascii="Arial" w:eastAsia="Arial" w:hAnsi="Arial" w:cs="Arial"/>
          <w:b/>
          <w:bCs/>
          <w:color w:val="C55A11"/>
          <w:sz w:val="22"/>
          <w:szCs w:val="22"/>
        </w:rPr>
        <w:t>Debezium</w:t>
      </w:r>
      <w:proofErr w:type="spellEnd"/>
      <w:r>
        <w:rPr>
          <w:rFonts w:ascii="Arial" w:eastAsia="Arial" w:hAnsi="Arial" w:cs="Arial"/>
          <w:b/>
          <w:bCs/>
          <w:color w:val="C55A11"/>
          <w:sz w:val="22"/>
          <w:szCs w:val="22"/>
        </w:rPr>
        <w:t xml:space="preserve"> (Omer)</w:t>
      </w:r>
    </w:p>
    <w:p w14:paraId="7D312E42" w14:textId="77777777" w:rsidR="00493EBD" w:rsidRDefault="00000000">
      <w:pPr>
        <w:spacing w:after="120"/>
      </w:pPr>
      <w:r>
        <w:rPr>
          <w:rFonts w:ascii="Arial" w:eastAsia="Arial" w:hAnsi="Arial" w:cs="Arial"/>
          <w:color w:val="444444"/>
          <w:sz w:val="19"/>
          <w:szCs w:val="19"/>
        </w:rPr>
        <w:t>The CDC module (G4, M7) carries the highest learning-curve risk in the project. Study is not additional overhead — it replaces lower-priority connector tasks in M5–M6 if time pressure mounts.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6260"/>
      </w:tblGrid>
      <w:tr w:rsidR="00493EBD" w14:paraId="429255F4" w14:textId="77777777">
        <w:tblPrEx>
          <w:tblCellMar>
            <w:top w:w="0" w:type="dxa"/>
            <w:bottom w:w="0" w:type="dxa"/>
          </w:tblCellMar>
        </w:tblPrEx>
        <w:tc>
          <w:tcPr>
            <w:tcW w:w="7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62C89D53" w14:textId="77777777" w:rsidR="00493EBD" w:rsidRDefault="00000000">
            <w:r>
              <w:rPr>
                <w:rFonts w:ascii="Arial" w:eastAsia="Arial" w:hAnsi="Arial" w:cs="Arial"/>
                <w:b/>
                <w:bCs/>
                <w:color w:val="FFFFFF"/>
                <w:sz w:val="18"/>
                <w:szCs w:val="18"/>
              </w:rPr>
              <w:t>MS</w:t>
            </w:r>
          </w:p>
        </w:tc>
        <w:tc>
          <w:tcPr>
            <w:tcW w:w="15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45486307" w14:textId="77777777" w:rsidR="00493EBD" w:rsidRDefault="00000000">
            <w:r>
              <w:rPr>
                <w:rFonts w:ascii="Arial" w:eastAsia="Arial" w:hAnsi="Arial" w:cs="Arial"/>
                <w:b/>
                <w:bCs/>
                <w:color w:val="FFFFFF"/>
                <w:sz w:val="18"/>
                <w:szCs w:val="18"/>
              </w:rPr>
              <w:t>Window</w:t>
            </w:r>
          </w:p>
        </w:tc>
        <w:tc>
          <w:tcPr>
            <w:tcW w:w="90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050BD046" w14:textId="77777777" w:rsidR="00493EBD" w:rsidRDefault="00000000">
            <w:r>
              <w:rPr>
                <w:rFonts w:ascii="Arial" w:eastAsia="Arial" w:hAnsi="Arial" w:cs="Arial"/>
                <w:b/>
                <w:bCs/>
                <w:color w:val="FFFFFF"/>
                <w:sz w:val="18"/>
                <w:szCs w:val="18"/>
              </w:rPr>
              <w:t>Owner</w:t>
            </w:r>
          </w:p>
        </w:tc>
        <w:tc>
          <w:tcPr>
            <w:tcW w:w="6260" w:type="dxa"/>
            <w:tcBorders>
              <w:top w:val="single" w:sz="6" w:space="0" w:color="0D2B1F"/>
              <w:left w:val="single" w:sz="6" w:space="0" w:color="0D2B1F"/>
              <w:bottom w:val="single" w:sz="6" w:space="0" w:color="0D2B1F"/>
              <w:right w:val="single" w:sz="6" w:space="0" w:color="0D2B1F"/>
            </w:tcBorders>
            <w:shd w:val="clear" w:color="auto" w:fill="1F4E79"/>
            <w:tcMar>
              <w:top w:w="80" w:type="dxa"/>
              <w:left w:w="120" w:type="dxa"/>
              <w:bottom w:w="80" w:type="dxa"/>
              <w:right w:w="120" w:type="dxa"/>
            </w:tcMar>
          </w:tcPr>
          <w:p w14:paraId="3141C0E8" w14:textId="77777777" w:rsidR="00493EBD" w:rsidRDefault="00000000">
            <w:r>
              <w:rPr>
                <w:rFonts w:ascii="Arial" w:eastAsia="Arial" w:hAnsi="Arial" w:cs="Arial"/>
                <w:b/>
                <w:bCs/>
                <w:color w:val="FFFFFF"/>
                <w:sz w:val="18"/>
                <w:szCs w:val="18"/>
              </w:rPr>
              <w:t>Required Action and Expected Output</w:t>
            </w:r>
          </w:p>
        </w:tc>
      </w:tr>
      <w:tr w:rsidR="00493EBD" w14:paraId="03F57B3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2F84B09" w14:textId="77777777" w:rsidR="00493EBD" w:rsidRDefault="00000000">
            <w:pPr>
              <w:jc w:val="center"/>
            </w:pPr>
            <w:r>
              <w:rPr>
                <w:rFonts w:ascii="Arial" w:eastAsia="Arial" w:hAnsi="Arial" w:cs="Arial"/>
                <w:b/>
                <w:bCs/>
                <w:color w:val="1F4E79"/>
                <w:sz w:val="18"/>
                <w:szCs w:val="18"/>
              </w:rPr>
              <w:t>M3</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0A634023" w14:textId="77777777" w:rsidR="00493EBD" w:rsidRDefault="00000000">
            <w:r>
              <w:rPr>
                <w:rFonts w:ascii="Arial" w:eastAsia="Arial" w:hAnsi="Arial" w:cs="Arial"/>
                <w:color w:val="1A1A1A"/>
                <w:sz w:val="18"/>
                <w:szCs w:val="18"/>
              </w:rPr>
              <w:t>Jul 2026</w:t>
            </w:r>
          </w:p>
        </w:tc>
        <w:tc>
          <w:tcPr>
            <w:tcW w:w="9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CA0241C" w14:textId="77777777" w:rsidR="00493EBD" w:rsidRDefault="00000000">
            <w:pPr>
              <w:jc w:val="center"/>
            </w:pPr>
            <w:r>
              <w:rPr>
                <w:rFonts w:ascii="Arial" w:eastAsia="Arial" w:hAnsi="Arial" w:cs="Arial"/>
                <w:color w:val="1F4E79"/>
                <w:sz w:val="18"/>
                <w:szCs w:val="18"/>
              </w:rPr>
              <w:t>Omer</w:t>
            </w:r>
          </w:p>
        </w:tc>
        <w:tc>
          <w:tcPr>
            <w:tcW w:w="62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469602C8" w14:textId="77777777" w:rsidR="00493EBD" w:rsidRDefault="00000000">
            <w:r>
              <w:rPr>
                <w:rFonts w:ascii="Arial" w:eastAsia="Arial" w:hAnsi="Arial" w:cs="Arial"/>
                <w:color w:val="1A1A1A"/>
                <w:sz w:val="18"/>
                <w:szCs w:val="18"/>
              </w:rPr>
              <w:t xml:space="preserve">Study Adapter Pattern (Martin Fowler — Patterns of Enterprise Application Architecture, Adapter chapter). Read </w:t>
            </w:r>
            <w:proofErr w:type="spellStart"/>
            <w:r>
              <w:rPr>
                <w:rFonts w:ascii="Arial" w:eastAsia="Arial" w:hAnsi="Arial" w:cs="Arial"/>
                <w:color w:val="1A1A1A"/>
                <w:sz w:val="18"/>
                <w:szCs w:val="18"/>
              </w:rPr>
              <w:t>SQLAlchemy</w:t>
            </w:r>
            <w:proofErr w:type="spellEnd"/>
            <w:r>
              <w:rPr>
                <w:rFonts w:ascii="Arial" w:eastAsia="Arial" w:hAnsi="Arial" w:cs="Arial"/>
                <w:color w:val="1A1A1A"/>
                <w:sz w:val="18"/>
                <w:szCs w:val="18"/>
              </w:rPr>
              <w:t xml:space="preserve"> Core dialect documentation in full. Implement abstraction layer prototype as part of the M3 architecture document. Output: </w:t>
            </w:r>
            <w:proofErr w:type="spellStart"/>
            <w:r>
              <w:rPr>
                <w:rFonts w:ascii="Arial" w:eastAsia="Arial" w:hAnsi="Arial" w:cs="Arial"/>
                <w:color w:val="1A1A1A"/>
                <w:sz w:val="18"/>
                <w:szCs w:val="18"/>
              </w:rPr>
              <w:t>BaseConnector</w:t>
            </w:r>
            <w:proofErr w:type="spellEnd"/>
            <w:r>
              <w:rPr>
                <w:rFonts w:ascii="Arial" w:eastAsia="Arial" w:hAnsi="Arial" w:cs="Arial"/>
                <w:color w:val="1A1A1A"/>
                <w:sz w:val="18"/>
                <w:szCs w:val="18"/>
              </w:rPr>
              <w:t xml:space="preserve"> interface committed to GitHub before M4 begins.</w:t>
            </w:r>
          </w:p>
        </w:tc>
      </w:tr>
      <w:tr w:rsidR="00493EBD" w14:paraId="59B1E23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B8523A7" w14:textId="77777777" w:rsidR="00493EBD" w:rsidRDefault="00000000">
            <w:pPr>
              <w:jc w:val="center"/>
            </w:pPr>
            <w:r>
              <w:rPr>
                <w:rFonts w:ascii="Arial" w:eastAsia="Arial" w:hAnsi="Arial" w:cs="Arial"/>
                <w:b/>
                <w:bCs/>
                <w:color w:val="1F4E79"/>
                <w:sz w:val="18"/>
                <w:szCs w:val="18"/>
              </w:rPr>
              <w:t>M5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5B7BA" w14:textId="77777777" w:rsidR="00493EBD" w:rsidRDefault="00000000">
            <w:r>
              <w:rPr>
                <w:rFonts w:ascii="Arial" w:eastAsia="Arial" w:hAnsi="Arial" w:cs="Arial"/>
                <w:color w:val="1A1A1A"/>
                <w:sz w:val="18"/>
                <w:szCs w:val="18"/>
              </w:rPr>
              <w:t>Aug 2026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6305C" w14:textId="77777777" w:rsidR="00493EBD" w:rsidRDefault="00000000">
            <w:pPr>
              <w:jc w:val="center"/>
            </w:pPr>
            <w:r>
              <w:rPr>
                <w:rFonts w:ascii="Arial" w:eastAsia="Arial" w:hAnsi="Arial" w:cs="Arial"/>
                <w:color w:val="1F4E79"/>
                <w:sz w:val="18"/>
                <w:szCs w:val="18"/>
              </w:rPr>
              <w:t>Omer</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A38CD" w14:textId="77777777" w:rsidR="00493EBD" w:rsidRDefault="00000000">
            <w:r>
              <w:rPr>
                <w:rFonts w:ascii="Arial" w:eastAsia="Arial" w:hAnsi="Arial" w:cs="Arial"/>
                <w:color w:val="1A1A1A"/>
                <w:sz w:val="18"/>
                <w:szCs w:val="18"/>
              </w:rPr>
              <w:t>Begin Kafka structured self-study. Resources: Confluent Kafka documentation (free online); Kafka — The Definitive Guide (O'Reilly, free PDF via Confluent). Targets: producer/consumer model, topic partitioning, offset management, Kafka Connect architecture. Complete Chapters 1 through 5 before M6 begins.</w:t>
            </w:r>
          </w:p>
        </w:tc>
      </w:tr>
      <w:tr w:rsidR="00493EBD" w14:paraId="1660672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8405EB4" w14:textId="77777777" w:rsidR="00493EBD" w:rsidRDefault="00000000">
            <w:pPr>
              <w:jc w:val="center"/>
            </w:pPr>
            <w:r>
              <w:rPr>
                <w:rFonts w:ascii="Arial" w:eastAsia="Arial" w:hAnsi="Arial" w:cs="Arial"/>
                <w:b/>
                <w:bCs/>
                <w:color w:val="1F4E79"/>
                <w:sz w:val="18"/>
                <w:szCs w:val="18"/>
              </w:rPr>
              <w:t>M6</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787DE97E" w14:textId="77777777" w:rsidR="00493EBD" w:rsidRDefault="00000000">
            <w:r>
              <w:rPr>
                <w:rFonts w:ascii="Arial" w:eastAsia="Arial" w:hAnsi="Arial" w:cs="Arial"/>
                <w:color w:val="1A1A1A"/>
                <w:sz w:val="18"/>
                <w:szCs w:val="18"/>
              </w:rPr>
              <w:t>Sep 2026</w:t>
            </w:r>
          </w:p>
        </w:tc>
        <w:tc>
          <w:tcPr>
            <w:tcW w:w="9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1737944" w14:textId="77777777" w:rsidR="00493EBD" w:rsidRDefault="00000000">
            <w:pPr>
              <w:jc w:val="center"/>
            </w:pPr>
            <w:r>
              <w:rPr>
                <w:rFonts w:ascii="Arial" w:eastAsia="Arial" w:hAnsi="Arial" w:cs="Arial"/>
                <w:color w:val="1F4E79"/>
                <w:sz w:val="18"/>
                <w:szCs w:val="18"/>
              </w:rPr>
              <w:t>Omer</w:t>
            </w:r>
          </w:p>
        </w:tc>
        <w:tc>
          <w:tcPr>
            <w:tcW w:w="62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15FFEE29" w14:textId="77777777" w:rsidR="00493EBD" w:rsidRDefault="00000000">
            <w:r>
              <w:rPr>
                <w:rFonts w:ascii="Arial" w:eastAsia="Arial" w:hAnsi="Arial" w:cs="Arial"/>
                <w:color w:val="1A1A1A"/>
                <w:sz w:val="18"/>
                <w:szCs w:val="18"/>
              </w:rPr>
              <w:t xml:space="preserve">Continue Kafka study alongside M6 connector expansion work. Study </w:t>
            </w:r>
            <w:proofErr w:type="spellStart"/>
            <w:r>
              <w:rPr>
                <w:rFonts w:ascii="Arial" w:eastAsia="Arial" w:hAnsi="Arial" w:cs="Arial"/>
                <w:color w:val="1A1A1A"/>
                <w:sz w:val="18"/>
                <w:szCs w:val="18"/>
              </w:rPr>
              <w:t>Debezium</w:t>
            </w:r>
            <w:proofErr w:type="spellEnd"/>
            <w:r>
              <w:rPr>
                <w:rFonts w:ascii="Arial" w:eastAsia="Arial" w:hAnsi="Arial" w:cs="Arial"/>
                <w:color w:val="1A1A1A"/>
                <w:sz w:val="18"/>
                <w:szCs w:val="18"/>
              </w:rPr>
              <w:t xml:space="preserve"> configuration specifically for PostgreSQL (WAL replication slot) and MySQL (</w:t>
            </w:r>
            <w:proofErr w:type="spellStart"/>
            <w:r>
              <w:rPr>
                <w:rFonts w:ascii="Arial" w:eastAsia="Arial" w:hAnsi="Arial" w:cs="Arial"/>
                <w:color w:val="1A1A1A"/>
                <w:sz w:val="18"/>
                <w:szCs w:val="18"/>
              </w:rPr>
              <w:t>binlog</w:t>
            </w:r>
            <w:proofErr w:type="spellEnd"/>
            <w:r>
              <w:rPr>
                <w:rFonts w:ascii="Arial" w:eastAsia="Arial" w:hAnsi="Arial" w:cs="Arial"/>
                <w:color w:val="1A1A1A"/>
                <w:sz w:val="18"/>
                <w:szCs w:val="18"/>
              </w:rPr>
              <w:t xml:space="preserve">). Build and commit a </w:t>
            </w:r>
            <w:proofErr w:type="spellStart"/>
            <w:r>
              <w:rPr>
                <w:rFonts w:ascii="Arial" w:eastAsia="Arial" w:hAnsi="Arial" w:cs="Arial"/>
                <w:color w:val="1A1A1A"/>
                <w:sz w:val="18"/>
                <w:szCs w:val="18"/>
              </w:rPr>
              <w:t>Debezium</w:t>
            </w:r>
            <w:proofErr w:type="spellEnd"/>
            <w:r>
              <w:rPr>
                <w:rFonts w:ascii="Arial" w:eastAsia="Arial" w:hAnsi="Arial" w:cs="Arial"/>
                <w:color w:val="1A1A1A"/>
                <w:sz w:val="18"/>
                <w:szCs w:val="18"/>
              </w:rPr>
              <w:t xml:space="preserve"> plus Kafka plus </w:t>
            </w:r>
            <w:r>
              <w:rPr>
                <w:rFonts w:ascii="Arial" w:eastAsia="Arial" w:hAnsi="Arial" w:cs="Arial"/>
                <w:color w:val="1A1A1A"/>
                <w:sz w:val="18"/>
                <w:szCs w:val="18"/>
              </w:rPr>
              <w:lastRenderedPageBreak/>
              <w:t>PostgreSQL CDC proof-of-concept to GitHub. This PoC is the prerequisite gate for M7 starting on schedule.</w:t>
            </w:r>
          </w:p>
        </w:tc>
      </w:tr>
      <w:tr w:rsidR="00493EBD" w14:paraId="4DDCC8F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B62D961" w14:textId="77777777" w:rsidR="00493EBD" w:rsidRDefault="00000000">
            <w:pPr>
              <w:jc w:val="center"/>
            </w:pPr>
            <w:r>
              <w:rPr>
                <w:rFonts w:ascii="Arial" w:eastAsia="Arial" w:hAnsi="Arial" w:cs="Arial"/>
                <w:b/>
                <w:bCs/>
                <w:color w:val="1F4E79"/>
                <w:sz w:val="18"/>
                <w:szCs w:val="18"/>
              </w:rPr>
              <w:lastRenderedPageBreak/>
              <w:t>M7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A2245" w14:textId="77777777" w:rsidR="00493EBD" w:rsidRDefault="00000000">
            <w:r>
              <w:rPr>
                <w:rFonts w:ascii="Arial" w:eastAsia="Arial" w:hAnsi="Arial" w:cs="Arial"/>
                <w:color w:val="1A1A1A"/>
                <w:sz w:val="18"/>
                <w:szCs w:val="18"/>
              </w:rPr>
              <w:t>Oct–Nov 2026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1AE92" w14:textId="77777777" w:rsidR="00493EBD" w:rsidRDefault="00000000">
            <w:pPr>
              <w:jc w:val="center"/>
            </w:pPr>
            <w:r>
              <w:rPr>
                <w:rFonts w:ascii="Arial" w:eastAsia="Arial" w:hAnsi="Arial" w:cs="Arial"/>
                <w:color w:val="1F4E79"/>
                <w:sz w:val="18"/>
                <w:szCs w:val="18"/>
              </w:rPr>
              <w:t>Omer</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2FA66" w14:textId="77777777" w:rsidR="00493EBD" w:rsidRDefault="00000000">
            <w:r>
              <w:rPr>
                <w:rFonts w:ascii="Arial" w:eastAsia="Arial" w:hAnsi="Arial" w:cs="Arial"/>
                <w:color w:val="1A1A1A"/>
                <w:sz w:val="18"/>
                <w:szCs w:val="18"/>
              </w:rPr>
              <w:t xml:space="preserve">Implement the full CDC module using Kafka and </w:t>
            </w:r>
            <w:proofErr w:type="spellStart"/>
            <w:r>
              <w:rPr>
                <w:rFonts w:ascii="Arial" w:eastAsia="Arial" w:hAnsi="Arial" w:cs="Arial"/>
                <w:color w:val="1A1A1A"/>
                <w:sz w:val="18"/>
                <w:szCs w:val="18"/>
              </w:rPr>
              <w:t>Debezium</w:t>
            </w:r>
            <w:proofErr w:type="spellEnd"/>
            <w:r>
              <w:rPr>
                <w:rFonts w:ascii="Arial" w:eastAsia="Arial" w:hAnsi="Arial" w:cs="Arial"/>
                <w:color w:val="1A1A1A"/>
                <w:sz w:val="18"/>
                <w:szCs w:val="18"/>
              </w:rPr>
              <w:t xml:space="preserve"> knowledge accumulated in M5 and M6. Abdalla provides architectural guidance on event schema </w:t>
            </w:r>
            <w:proofErr w:type="spellStart"/>
            <w:r>
              <w:rPr>
                <w:rFonts w:ascii="Arial" w:eastAsia="Arial" w:hAnsi="Arial" w:cs="Arial"/>
                <w:color w:val="1A1A1A"/>
                <w:sz w:val="18"/>
                <w:szCs w:val="18"/>
              </w:rPr>
              <w:t>normalisation</w:t>
            </w:r>
            <w:proofErr w:type="spellEnd"/>
            <w:r>
              <w:rPr>
                <w:rFonts w:ascii="Arial" w:eastAsia="Arial" w:hAnsi="Arial" w:cs="Arial"/>
                <w:color w:val="1A1A1A"/>
                <w:sz w:val="18"/>
                <w:szCs w:val="18"/>
              </w:rPr>
              <w:t xml:space="preserve"> and the ETL-to-CDC pipeline handoff. Kafka must be operational knowledge at M7 start — no additional study time is available in the M7 window.</w:t>
            </w:r>
          </w:p>
        </w:tc>
      </w:tr>
    </w:tbl>
    <w:p w14:paraId="2A1752A6" w14:textId="77777777" w:rsidR="00493EBD" w:rsidRDefault="00493EBD">
      <w:pPr>
        <w:spacing w:after="200"/>
      </w:pPr>
    </w:p>
    <w:p w14:paraId="1553B1D7" w14:textId="77777777" w:rsidR="00493EBD" w:rsidRDefault="00000000">
      <w:r>
        <w:br w:type="page"/>
      </w:r>
    </w:p>
    <w:p w14:paraId="46DA3F2D" w14:textId="77777777" w:rsidR="00493EBD" w:rsidRDefault="00000000">
      <w:pPr>
        <w:spacing w:before="240" w:after="140"/>
      </w:pPr>
      <w:r>
        <w:rPr>
          <w:rFonts w:ascii="Arial" w:eastAsia="Arial" w:hAnsi="Arial" w:cs="Arial"/>
          <w:b/>
          <w:bCs/>
          <w:color w:val="1F4E79"/>
          <w:sz w:val="28"/>
          <w:szCs w:val="28"/>
        </w:rPr>
        <w:lastRenderedPageBreak/>
        <w:t xml:space="preserve">3.  Market Feasibility — Pilot </w:t>
      </w:r>
      <w:proofErr w:type="spellStart"/>
      <w:r>
        <w:rPr>
          <w:rFonts w:ascii="Arial" w:eastAsia="Arial" w:hAnsi="Arial" w:cs="Arial"/>
          <w:b/>
          <w:bCs/>
          <w:color w:val="1F4E79"/>
          <w:sz w:val="28"/>
          <w:szCs w:val="28"/>
        </w:rPr>
        <w:t>Organisation</w:t>
      </w:r>
      <w:proofErr w:type="spellEnd"/>
      <w:r>
        <w:rPr>
          <w:rFonts w:ascii="Arial" w:eastAsia="Arial" w:hAnsi="Arial" w:cs="Arial"/>
          <w:b/>
          <w:bCs/>
          <w:color w:val="1F4E79"/>
          <w:sz w:val="28"/>
          <w:szCs w:val="28"/>
        </w:rPr>
        <w:t xml:space="preserve">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EBD" w14:paraId="1B50613E" w14:textId="77777777">
        <w:tblPrEx>
          <w:tblCellMar>
            <w:top w:w="0" w:type="dxa"/>
            <w:bottom w:w="0" w:type="dxa"/>
          </w:tblCellMar>
        </w:tblPrEx>
        <w:tc>
          <w:tcPr>
            <w:tcW w:w="9360" w:type="dxa"/>
            <w:tcBorders>
              <w:top w:val="single" w:sz="6" w:space="0" w:color="7F6000"/>
              <w:left w:val="single" w:sz="6" w:space="0" w:color="7F6000"/>
              <w:bottom w:val="single" w:sz="6" w:space="0" w:color="7F6000"/>
              <w:right w:val="single" w:sz="6" w:space="0" w:color="7F6000"/>
            </w:tcBorders>
            <w:shd w:val="clear" w:color="auto" w:fill="FFF2CC"/>
            <w:tcMar>
              <w:top w:w="80" w:type="dxa"/>
              <w:left w:w="160" w:type="dxa"/>
              <w:bottom w:w="80" w:type="dxa"/>
              <w:right w:w="160" w:type="dxa"/>
            </w:tcMar>
          </w:tcPr>
          <w:p w14:paraId="3DB6726C" w14:textId="77777777" w:rsidR="00493EBD" w:rsidRDefault="00000000">
            <w:r>
              <w:rPr>
                <w:rFonts w:ascii="Arial" w:eastAsia="Arial" w:hAnsi="Arial" w:cs="Arial"/>
                <w:b/>
                <w:bCs/>
                <w:color w:val="7F6000"/>
                <w:sz w:val="19"/>
                <w:szCs w:val="19"/>
              </w:rPr>
              <w:t xml:space="preserve">Brief Draft — Week 6:  </w:t>
            </w:r>
            <w:r>
              <w:rPr>
                <w:rFonts w:ascii="Arial" w:eastAsia="Arial" w:hAnsi="Arial" w:cs="Arial"/>
                <w:color w:val="7F6000"/>
                <w:sz w:val="19"/>
                <w:szCs w:val="19"/>
              </w:rPr>
              <w:t xml:space="preserve">Three pilot </w:t>
            </w:r>
            <w:proofErr w:type="spellStart"/>
            <w:r>
              <w:rPr>
                <w:rFonts w:ascii="Arial" w:eastAsia="Arial" w:hAnsi="Arial" w:cs="Arial"/>
                <w:color w:val="7F6000"/>
                <w:sz w:val="19"/>
                <w:szCs w:val="19"/>
              </w:rPr>
              <w:t>organisation</w:t>
            </w:r>
            <w:proofErr w:type="spellEnd"/>
            <w:r>
              <w:rPr>
                <w:rFonts w:ascii="Arial" w:eastAsia="Arial" w:hAnsi="Arial" w:cs="Arial"/>
                <w:color w:val="7F6000"/>
                <w:sz w:val="19"/>
                <w:szCs w:val="19"/>
              </w:rPr>
              <w:t xml:space="preserve"> profiles are outlined below. Full market feasibility analysis — incorporating competitor analysis conclusions from M2W7T1 and market sizing data — will be added in Week 7.</w:t>
            </w:r>
          </w:p>
        </w:tc>
      </w:tr>
    </w:tbl>
    <w:p w14:paraId="75AF505A" w14:textId="77777777" w:rsidR="00493EBD" w:rsidRDefault="00493EB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160"/>
      </w:tblGrid>
      <w:tr w:rsidR="00493EBD" w14:paraId="55A98C4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C55A11"/>
            <w:tcMar>
              <w:top w:w="80" w:type="dxa"/>
              <w:left w:w="120" w:type="dxa"/>
              <w:bottom w:w="80" w:type="dxa"/>
              <w:right w:w="120" w:type="dxa"/>
            </w:tcMar>
          </w:tcPr>
          <w:p w14:paraId="61AA7BD0" w14:textId="77777777" w:rsidR="00493EBD" w:rsidRDefault="00000000">
            <w:pPr>
              <w:jc w:val="center"/>
            </w:pPr>
            <w:r>
              <w:rPr>
                <w:rFonts w:ascii="Arial" w:eastAsia="Arial" w:hAnsi="Arial" w:cs="Arial"/>
                <w:b/>
                <w:bCs/>
                <w:color w:val="FFFFFF"/>
                <w:sz w:val="18"/>
                <w:szCs w:val="18"/>
              </w:rPr>
              <w:t>PP1</w:t>
            </w:r>
          </w:p>
        </w:tc>
        <w:tc>
          <w:tcPr>
            <w:tcW w:w="866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45CC2C9" w14:textId="77777777" w:rsidR="00493EBD" w:rsidRDefault="00000000">
            <w:r>
              <w:rPr>
                <w:rFonts w:ascii="Arial" w:eastAsia="Arial" w:hAnsi="Arial" w:cs="Arial"/>
                <w:b/>
                <w:bCs/>
                <w:color w:val="FFFFFF"/>
                <w:sz w:val="18"/>
                <w:szCs w:val="18"/>
              </w:rPr>
              <w:t>University IT Department</w:t>
            </w:r>
          </w:p>
        </w:tc>
      </w:tr>
      <w:tr w:rsidR="00493EBD" w14:paraId="3D9A8EA3"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476A7C0" w14:textId="77777777" w:rsidR="00493EBD" w:rsidRDefault="00000000">
            <w:r>
              <w:rPr>
                <w:rFonts w:ascii="Arial" w:eastAsia="Arial" w:hAnsi="Arial" w:cs="Arial"/>
                <w:b/>
                <w:bCs/>
                <w:color w:val="1F4E79"/>
                <w:sz w:val="18"/>
                <w:szCs w:val="18"/>
              </w:rPr>
              <w:t>Profile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E608B" w14:textId="77777777" w:rsidR="00493EBD" w:rsidRDefault="00000000">
            <w:r>
              <w:rPr>
                <w:rFonts w:ascii="Arial" w:eastAsia="Arial" w:hAnsi="Arial" w:cs="Arial"/>
                <w:color w:val="1A1A1A"/>
                <w:sz w:val="18"/>
                <w:szCs w:val="18"/>
              </w:rPr>
              <w:t>Mid-size Turkish public or private university — 15,000 to 30,000 students.</w:t>
            </w:r>
          </w:p>
        </w:tc>
      </w:tr>
      <w:tr w:rsidR="00493EBD" w14:paraId="2F78742B"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D5ECA65" w14:textId="77777777" w:rsidR="00493EBD" w:rsidRDefault="00000000">
            <w:r>
              <w:rPr>
                <w:rFonts w:ascii="Arial" w:eastAsia="Arial" w:hAnsi="Arial" w:cs="Arial"/>
                <w:b/>
                <w:bCs/>
                <w:color w:val="1F4E79"/>
                <w:sz w:val="18"/>
                <w:szCs w:val="18"/>
              </w:rPr>
              <w:t>Infrastructure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688773F5" w14:textId="77777777" w:rsidR="00493EBD" w:rsidRDefault="00000000">
            <w:r>
              <w:rPr>
                <w:rFonts w:ascii="Arial" w:eastAsia="Arial" w:hAnsi="Arial" w:cs="Arial"/>
                <w:color w:val="1A1A1A"/>
                <w:sz w:val="18"/>
                <w:szCs w:val="18"/>
              </w:rPr>
              <w:t>PostgreSQL-based Student Information System (SIS); Excel-based HR and payroll data; isolated departmental databases (library, careers, accommodation systems).</w:t>
            </w:r>
          </w:p>
        </w:tc>
      </w:tr>
      <w:tr w:rsidR="00493EBD" w14:paraId="2DDE1F77"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B0D5A42" w14:textId="77777777" w:rsidR="00493EBD" w:rsidRDefault="00000000">
            <w:r>
              <w:rPr>
                <w:rFonts w:ascii="Arial" w:eastAsia="Arial" w:hAnsi="Arial" w:cs="Arial"/>
                <w:b/>
                <w:bCs/>
                <w:color w:val="1F4E79"/>
                <w:sz w:val="18"/>
                <w:szCs w:val="18"/>
              </w:rPr>
              <w:t>SUBOP Use Case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C5824" w14:textId="77777777" w:rsidR="00493EBD" w:rsidRDefault="00000000">
            <w:r>
              <w:rPr>
                <w:rFonts w:ascii="Arial" w:eastAsia="Arial" w:hAnsi="Arial" w:cs="Arial"/>
                <w:color w:val="1A1A1A"/>
                <w:sz w:val="18"/>
                <w:szCs w:val="18"/>
              </w:rPr>
              <w:t>Unified ETL consolidating SIS, HR, academic performance, and financial aid data into a central warehouse. BI dashboards for enrollment trends, academic performance by faculty, HR reporting, and budget monitoring.</w:t>
            </w:r>
          </w:p>
        </w:tc>
      </w:tr>
      <w:tr w:rsidR="00493EBD" w14:paraId="15CED6BA"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D69EF86" w14:textId="77777777" w:rsidR="00493EBD" w:rsidRDefault="00000000">
            <w:r>
              <w:rPr>
                <w:rFonts w:ascii="Arial" w:eastAsia="Arial" w:hAnsi="Arial" w:cs="Arial"/>
                <w:b/>
                <w:bCs/>
                <w:color w:val="1F4E79"/>
                <w:sz w:val="18"/>
                <w:szCs w:val="18"/>
              </w:rPr>
              <w:t>Compliance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416B29C" w14:textId="77777777" w:rsidR="00493EBD" w:rsidRDefault="00000000">
            <w:r>
              <w:rPr>
                <w:rFonts w:ascii="Arial" w:eastAsia="Arial" w:hAnsi="Arial" w:cs="Arial"/>
                <w:color w:val="1A1A1A"/>
                <w:sz w:val="18"/>
                <w:szCs w:val="18"/>
              </w:rPr>
              <w:t xml:space="preserve">Strong KVKK obligation: universities process student personal data including TC ID numbers, academic records, and health data for disability accommodations. Special category data handling required. </w:t>
            </w:r>
            <w:proofErr w:type="spellStart"/>
            <w:r>
              <w:rPr>
                <w:rFonts w:ascii="Arial" w:eastAsia="Arial" w:hAnsi="Arial" w:cs="Arial"/>
                <w:color w:val="1A1A1A"/>
                <w:sz w:val="18"/>
                <w:szCs w:val="18"/>
              </w:rPr>
              <w:t>VERBiS</w:t>
            </w:r>
            <w:proofErr w:type="spellEnd"/>
            <w:r>
              <w:rPr>
                <w:rFonts w:ascii="Arial" w:eastAsia="Arial" w:hAnsi="Arial" w:cs="Arial"/>
                <w:color w:val="1A1A1A"/>
                <w:sz w:val="18"/>
                <w:szCs w:val="18"/>
              </w:rPr>
              <w:t xml:space="preserve"> registration likely mandatory.</w:t>
            </w:r>
          </w:p>
        </w:tc>
      </w:tr>
      <w:tr w:rsidR="00493EBD" w14:paraId="02DD64DB"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B105F0F" w14:textId="77777777" w:rsidR="00493EBD" w:rsidRDefault="00000000">
            <w:r>
              <w:rPr>
                <w:rFonts w:ascii="Arial" w:eastAsia="Arial" w:hAnsi="Arial" w:cs="Arial"/>
                <w:b/>
                <w:bCs/>
                <w:color w:val="1F4E79"/>
                <w:sz w:val="18"/>
                <w:szCs w:val="18"/>
              </w:rPr>
              <w:t>Fit Assessment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B92D8" w14:textId="77777777" w:rsidR="00493EBD" w:rsidRDefault="00000000">
            <w:r>
              <w:rPr>
                <w:rFonts w:ascii="Arial" w:eastAsia="Arial" w:hAnsi="Arial" w:cs="Arial"/>
                <w:color w:val="1A1A1A"/>
                <w:sz w:val="18"/>
                <w:szCs w:val="18"/>
              </w:rPr>
              <w:t>Strong. PostgreSQL source aligns with Phase 1 connector targets already tested in M2. No enterprise BI licensing budget available — SUBOP open-source model directly addresses the cost constraint. KVKK compliance module directly addresses the regulatory obligation.</w:t>
            </w:r>
          </w:p>
        </w:tc>
      </w:tr>
      <w:tr w:rsidR="00493EBD" w14:paraId="0BD6C39F"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272C6C2" w14:textId="77777777" w:rsidR="00493EBD" w:rsidRDefault="00000000">
            <w:r>
              <w:rPr>
                <w:rFonts w:ascii="Arial" w:eastAsia="Arial" w:hAnsi="Arial" w:cs="Arial"/>
                <w:b/>
                <w:bCs/>
                <w:color w:val="1F4E79"/>
                <w:sz w:val="18"/>
                <w:szCs w:val="18"/>
              </w:rPr>
              <w:t>Contact Timeline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083F9F81" w14:textId="77777777" w:rsidR="00493EBD" w:rsidRDefault="00000000">
            <w:r>
              <w:rPr>
                <w:rFonts w:ascii="Arial" w:eastAsia="Arial" w:hAnsi="Arial" w:cs="Arial"/>
                <w:color w:val="1A1A1A"/>
                <w:sz w:val="18"/>
                <w:szCs w:val="18"/>
              </w:rPr>
              <w:t>Identify a specific university IT director or data engineering contact by January 2027 (M11 phase).</w:t>
            </w:r>
          </w:p>
        </w:tc>
      </w:tr>
    </w:tbl>
    <w:p w14:paraId="491B599C" w14:textId="77777777" w:rsidR="00493EBD" w:rsidRDefault="00493E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160"/>
      </w:tblGrid>
      <w:tr w:rsidR="00493EBD" w14:paraId="01F3AA4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C55A11"/>
            <w:tcMar>
              <w:top w:w="80" w:type="dxa"/>
              <w:left w:w="120" w:type="dxa"/>
              <w:bottom w:w="80" w:type="dxa"/>
              <w:right w:w="120" w:type="dxa"/>
            </w:tcMar>
          </w:tcPr>
          <w:p w14:paraId="39499BD2" w14:textId="77777777" w:rsidR="00493EBD" w:rsidRDefault="00000000">
            <w:pPr>
              <w:jc w:val="center"/>
            </w:pPr>
            <w:r>
              <w:rPr>
                <w:rFonts w:ascii="Arial" w:eastAsia="Arial" w:hAnsi="Arial" w:cs="Arial"/>
                <w:b/>
                <w:bCs/>
                <w:color w:val="FFFFFF"/>
                <w:sz w:val="18"/>
                <w:szCs w:val="18"/>
              </w:rPr>
              <w:t>PP2</w:t>
            </w:r>
          </w:p>
        </w:tc>
        <w:tc>
          <w:tcPr>
            <w:tcW w:w="866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7EB8900" w14:textId="77777777" w:rsidR="00493EBD" w:rsidRDefault="00000000">
            <w:r>
              <w:rPr>
                <w:rFonts w:ascii="Arial" w:eastAsia="Arial" w:hAnsi="Arial" w:cs="Arial"/>
                <w:b/>
                <w:bCs/>
                <w:color w:val="FFFFFF"/>
                <w:sz w:val="18"/>
                <w:szCs w:val="18"/>
              </w:rPr>
              <w:t>Regional Logistics / Supply Chain Company</w:t>
            </w:r>
          </w:p>
        </w:tc>
      </w:tr>
      <w:tr w:rsidR="00493EBD" w14:paraId="2BD853E7"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BD93BFD" w14:textId="77777777" w:rsidR="00493EBD" w:rsidRDefault="00000000">
            <w:r>
              <w:rPr>
                <w:rFonts w:ascii="Arial" w:eastAsia="Arial" w:hAnsi="Arial" w:cs="Arial"/>
                <w:b/>
                <w:bCs/>
                <w:color w:val="1F4E79"/>
                <w:sz w:val="18"/>
                <w:szCs w:val="18"/>
              </w:rPr>
              <w:t>Profile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F47F5" w14:textId="77777777" w:rsidR="00493EBD" w:rsidRDefault="00000000">
            <w:r>
              <w:rPr>
                <w:rFonts w:ascii="Arial" w:eastAsia="Arial" w:hAnsi="Arial" w:cs="Arial"/>
                <w:color w:val="1A1A1A"/>
                <w:sz w:val="18"/>
                <w:szCs w:val="18"/>
              </w:rPr>
              <w:t>SME logistics or supply chain company — 200 to 500 employees, operations across Turkey and EU trade corridors.</w:t>
            </w:r>
          </w:p>
        </w:tc>
      </w:tr>
      <w:tr w:rsidR="00493EBD" w14:paraId="2E969154"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5178CDA" w14:textId="77777777" w:rsidR="00493EBD" w:rsidRDefault="00000000">
            <w:r>
              <w:rPr>
                <w:rFonts w:ascii="Arial" w:eastAsia="Arial" w:hAnsi="Arial" w:cs="Arial"/>
                <w:b/>
                <w:bCs/>
                <w:color w:val="1F4E79"/>
                <w:sz w:val="18"/>
                <w:szCs w:val="18"/>
              </w:rPr>
              <w:t>Infrastructure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383490F" w14:textId="77777777" w:rsidR="00493EBD" w:rsidRDefault="00000000">
            <w:r>
              <w:rPr>
                <w:rFonts w:ascii="Arial" w:eastAsia="Arial" w:hAnsi="Arial" w:cs="Arial"/>
                <w:color w:val="1A1A1A"/>
                <w:sz w:val="18"/>
                <w:szCs w:val="18"/>
              </w:rPr>
              <w:t>MSSQL-based ERP for operations and fleet management; MySQL-based CRM for customer accounts; Excel-based financial consolidation; no unified data layer.</w:t>
            </w:r>
          </w:p>
        </w:tc>
      </w:tr>
      <w:tr w:rsidR="00493EBD" w14:paraId="1F33EFF8"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15204ED" w14:textId="77777777" w:rsidR="00493EBD" w:rsidRDefault="00000000">
            <w:r>
              <w:rPr>
                <w:rFonts w:ascii="Arial" w:eastAsia="Arial" w:hAnsi="Arial" w:cs="Arial"/>
                <w:b/>
                <w:bCs/>
                <w:color w:val="1F4E79"/>
                <w:sz w:val="18"/>
                <w:szCs w:val="18"/>
              </w:rPr>
              <w:t>SUBOP Use Case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3E7E5" w14:textId="77777777" w:rsidR="00493EBD" w:rsidRDefault="00000000">
            <w:r>
              <w:rPr>
                <w:rFonts w:ascii="Arial" w:eastAsia="Arial" w:hAnsi="Arial" w:cs="Arial"/>
                <w:color w:val="1A1A1A"/>
                <w:sz w:val="18"/>
                <w:szCs w:val="18"/>
              </w:rPr>
              <w:t xml:space="preserve">CDC pipelines from MSSQL ERP and MySQL CRM providing near-real-time operational dashboards: delivery KPI tracking, route performance, customer order status, fleet </w:t>
            </w:r>
            <w:proofErr w:type="spellStart"/>
            <w:r>
              <w:rPr>
                <w:rFonts w:ascii="Arial" w:eastAsia="Arial" w:hAnsi="Arial" w:cs="Arial"/>
                <w:color w:val="1A1A1A"/>
                <w:sz w:val="18"/>
                <w:szCs w:val="18"/>
              </w:rPr>
              <w:t>utilisation</w:t>
            </w:r>
            <w:proofErr w:type="spellEnd"/>
            <w:r>
              <w:rPr>
                <w:rFonts w:ascii="Arial" w:eastAsia="Arial" w:hAnsi="Arial" w:cs="Arial"/>
                <w:color w:val="1A1A1A"/>
                <w:sz w:val="18"/>
                <w:szCs w:val="18"/>
              </w:rPr>
              <w:t>. Batch ETL for financial consolidation and management reporting.</w:t>
            </w:r>
          </w:p>
        </w:tc>
      </w:tr>
      <w:tr w:rsidR="00493EBD" w14:paraId="2090C2C1"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689C447" w14:textId="77777777" w:rsidR="00493EBD" w:rsidRDefault="00000000">
            <w:r>
              <w:rPr>
                <w:rFonts w:ascii="Arial" w:eastAsia="Arial" w:hAnsi="Arial" w:cs="Arial"/>
                <w:b/>
                <w:bCs/>
                <w:color w:val="1F4E79"/>
                <w:sz w:val="18"/>
                <w:szCs w:val="18"/>
              </w:rPr>
              <w:t>Compliance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0E3BA0B4" w14:textId="77777777" w:rsidR="00493EBD" w:rsidRDefault="00000000">
            <w:r>
              <w:rPr>
                <w:rFonts w:ascii="Arial" w:eastAsia="Arial" w:hAnsi="Arial" w:cs="Arial"/>
                <w:color w:val="1A1A1A"/>
                <w:sz w:val="18"/>
                <w:szCs w:val="18"/>
              </w:rPr>
              <w:t>Dual obligation: KVKK for Turkish customer and employee data; GDPR for EU customer shipping and contact data. Cross-border data transfer provisions under both regulations are relevant to pipeline design.</w:t>
            </w:r>
          </w:p>
        </w:tc>
      </w:tr>
      <w:tr w:rsidR="00493EBD" w14:paraId="1ECA60B7"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C8C23C7" w14:textId="77777777" w:rsidR="00493EBD" w:rsidRDefault="00000000">
            <w:r>
              <w:rPr>
                <w:rFonts w:ascii="Arial" w:eastAsia="Arial" w:hAnsi="Arial" w:cs="Arial"/>
                <w:b/>
                <w:bCs/>
                <w:color w:val="1F4E79"/>
                <w:sz w:val="18"/>
                <w:szCs w:val="18"/>
              </w:rPr>
              <w:t>Fit Assessment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575F0" w14:textId="77777777" w:rsidR="00493EBD" w:rsidRDefault="00000000">
            <w:r>
              <w:rPr>
                <w:rFonts w:ascii="Arial" w:eastAsia="Arial" w:hAnsi="Arial" w:cs="Arial"/>
                <w:color w:val="1A1A1A"/>
                <w:sz w:val="18"/>
                <w:szCs w:val="18"/>
              </w:rPr>
              <w:t>Strong CDC validation target — MSSQL and MySQL multi-source CDC tests the G4 module against two database engines simultaneously. Validates the sub-30 second latency KPI in a near-real-time operational context.</w:t>
            </w:r>
          </w:p>
        </w:tc>
      </w:tr>
      <w:tr w:rsidR="00493EBD" w14:paraId="7668B57A"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4ED0EDE" w14:textId="77777777" w:rsidR="00493EBD" w:rsidRDefault="00000000">
            <w:r>
              <w:rPr>
                <w:rFonts w:ascii="Arial" w:eastAsia="Arial" w:hAnsi="Arial" w:cs="Arial"/>
                <w:b/>
                <w:bCs/>
                <w:color w:val="1F4E79"/>
                <w:sz w:val="18"/>
                <w:szCs w:val="18"/>
              </w:rPr>
              <w:t>Contact Timeline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56031F1" w14:textId="77777777" w:rsidR="00493EBD" w:rsidRDefault="00000000">
            <w:r>
              <w:rPr>
                <w:rFonts w:ascii="Arial" w:eastAsia="Arial" w:hAnsi="Arial" w:cs="Arial"/>
                <w:color w:val="1A1A1A"/>
                <w:sz w:val="18"/>
                <w:szCs w:val="18"/>
              </w:rPr>
              <w:t>Identify via Ankara or Istanbul logistics sector industry contacts or university advisor network by January 2027.</w:t>
            </w:r>
          </w:p>
        </w:tc>
      </w:tr>
    </w:tbl>
    <w:p w14:paraId="2A06FBBD" w14:textId="77777777" w:rsidR="00493EBD" w:rsidRDefault="00493E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160"/>
      </w:tblGrid>
      <w:tr w:rsidR="00493EBD" w14:paraId="589FDFC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C55A11"/>
            <w:tcMar>
              <w:top w:w="80" w:type="dxa"/>
              <w:left w:w="120" w:type="dxa"/>
              <w:bottom w:w="80" w:type="dxa"/>
              <w:right w:w="120" w:type="dxa"/>
            </w:tcMar>
          </w:tcPr>
          <w:p w14:paraId="68F44338" w14:textId="77777777" w:rsidR="00493EBD" w:rsidRDefault="00000000">
            <w:pPr>
              <w:jc w:val="center"/>
            </w:pPr>
            <w:r>
              <w:rPr>
                <w:rFonts w:ascii="Arial" w:eastAsia="Arial" w:hAnsi="Arial" w:cs="Arial"/>
                <w:b/>
                <w:bCs/>
                <w:color w:val="FFFFFF"/>
                <w:sz w:val="18"/>
                <w:szCs w:val="18"/>
              </w:rPr>
              <w:t>PP3</w:t>
            </w:r>
          </w:p>
        </w:tc>
        <w:tc>
          <w:tcPr>
            <w:tcW w:w="866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C3B912" w14:textId="77777777" w:rsidR="00493EBD" w:rsidRDefault="00000000">
            <w:r>
              <w:rPr>
                <w:rFonts w:ascii="Arial" w:eastAsia="Arial" w:hAnsi="Arial" w:cs="Arial"/>
                <w:b/>
                <w:bCs/>
                <w:color w:val="FFFFFF"/>
                <w:sz w:val="18"/>
                <w:szCs w:val="18"/>
              </w:rPr>
              <w:t xml:space="preserve">Healthcare or Finance </w:t>
            </w:r>
            <w:proofErr w:type="spellStart"/>
            <w:r>
              <w:rPr>
                <w:rFonts w:ascii="Arial" w:eastAsia="Arial" w:hAnsi="Arial" w:cs="Arial"/>
                <w:b/>
                <w:bCs/>
                <w:color w:val="FFFFFF"/>
                <w:sz w:val="18"/>
                <w:szCs w:val="18"/>
              </w:rPr>
              <w:t>Organisation</w:t>
            </w:r>
            <w:proofErr w:type="spellEnd"/>
          </w:p>
        </w:tc>
      </w:tr>
      <w:tr w:rsidR="00493EBD" w14:paraId="78A066B5"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859837C" w14:textId="77777777" w:rsidR="00493EBD" w:rsidRDefault="00000000">
            <w:r>
              <w:rPr>
                <w:rFonts w:ascii="Arial" w:eastAsia="Arial" w:hAnsi="Arial" w:cs="Arial"/>
                <w:b/>
                <w:bCs/>
                <w:color w:val="1F4E79"/>
                <w:sz w:val="18"/>
                <w:szCs w:val="18"/>
              </w:rPr>
              <w:t>Profile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5CE83" w14:textId="77777777" w:rsidR="00493EBD" w:rsidRDefault="00000000">
            <w:r>
              <w:rPr>
                <w:rFonts w:ascii="Arial" w:eastAsia="Arial" w:hAnsi="Arial" w:cs="Arial"/>
                <w:color w:val="1A1A1A"/>
                <w:sz w:val="18"/>
                <w:szCs w:val="18"/>
              </w:rPr>
              <w:t>Regional private hospital, healthcare group, or insurance company — 100 to 500 employees.</w:t>
            </w:r>
          </w:p>
        </w:tc>
      </w:tr>
      <w:tr w:rsidR="00493EBD" w14:paraId="4D890618"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C9115FB" w14:textId="77777777" w:rsidR="00493EBD" w:rsidRDefault="00000000">
            <w:r>
              <w:rPr>
                <w:rFonts w:ascii="Arial" w:eastAsia="Arial" w:hAnsi="Arial" w:cs="Arial"/>
                <w:b/>
                <w:bCs/>
                <w:color w:val="1F4E79"/>
                <w:sz w:val="18"/>
                <w:szCs w:val="18"/>
              </w:rPr>
              <w:t>Infrastructure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5050B23" w14:textId="77777777" w:rsidR="00493EBD" w:rsidRDefault="00000000">
            <w:r>
              <w:rPr>
                <w:rFonts w:ascii="Arial" w:eastAsia="Arial" w:hAnsi="Arial" w:cs="Arial"/>
                <w:color w:val="1A1A1A"/>
                <w:sz w:val="18"/>
                <w:szCs w:val="18"/>
              </w:rPr>
              <w:t>Oracle-based Hospital Information System or insurance core system where Oracle is in use; PostgreSQL or MSSQL-based systems as the preferred lower-risk alternative. Siloed departmental reporting in Excel.</w:t>
            </w:r>
          </w:p>
        </w:tc>
      </w:tr>
      <w:tr w:rsidR="00493EBD" w14:paraId="05D6A222"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CBBB265" w14:textId="77777777" w:rsidR="00493EBD" w:rsidRDefault="00000000">
            <w:r>
              <w:rPr>
                <w:rFonts w:ascii="Arial" w:eastAsia="Arial" w:hAnsi="Arial" w:cs="Arial"/>
                <w:b/>
                <w:bCs/>
                <w:color w:val="1F4E79"/>
                <w:sz w:val="18"/>
                <w:szCs w:val="18"/>
              </w:rPr>
              <w:lastRenderedPageBreak/>
              <w:t>SUBOP Use Case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780D7" w14:textId="77777777" w:rsidR="00493EBD" w:rsidRDefault="00000000">
            <w:r>
              <w:rPr>
                <w:rFonts w:ascii="Arial" w:eastAsia="Arial" w:hAnsi="Arial" w:cs="Arial"/>
                <w:color w:val="1A1A1A"/>
                <w:sz w:val="18"/>
                <w:szCs w:val="18"/>
              </w:rPr>
              <w:t>ETL from HIS or core system into a compliant warehouse. BI dashboards for clinical performance, patient flow, insurance claims, or underwriting analytics. Data quality monitoring on patient or claims records. RBAC enforcing role-level access control to sensitive health or financial data.</w:t>
            </w:r>
          </w:p>
        </w:tc>
      </w:tr>
      <w:tr w:rsidR="00493EBD" w14:paraId="003CD121"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616A6A8" w14:textId="77777777" w:rsidR="00493EBD" w:rsidRDefault="00000000">
            <w:r>
              <w:rPr>
                <w:rFonts w:ascii="Arial" w:eastAsia="Arial" w:hAnsi="Arial" w:cs="Arial"/>
                <w:b/>
                <w:bCs/>
                <w:color w:val="1F4E79"/>
                <w:sz w:val="18"/>
                <w:szCs w:val="18"/>
              </w:rPr>
              <w:t>Compliance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E042643" w14:textId="77777777" w:rsidR="00493EBD" w:rsidRDefault="00000000">
            <w:r>
              <w:rPr>
                <w:rFonts w:ascii="Arial" w:eastAsia="Arial" w:hAnsi="Arial" w:cs="Arial"/>
                <w:color w:val="1A1A1A"/>
                <w:sz w:val="18"/>
                <w:szCs w:val="18"/>
              </w:rPr>
              <w:t>Highest KVKK obligation: health and financial data are special category personal data requiring explicit consent, column-level masking per role, and a complete audit trail for every data access event.</w:t>
            </w:r>
          </w:p>
        </w:tc>
      </w:tr>
      <w:tr w:rsidR="00493EBD" w14:paraId="189818A1"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82F8AF9" w14:textId="77777777" w:rsidR="00493EBD" w:rsidRDefault="00000000">
            <w:r>
              <w:rPr>
                <w:rFonts w:ascii="Arial" w:eastAsia="Arial" w:hAnsi="Arial" w:cs="Arial"/>
                <w:b/>
                <w:bCs/>
                <w:color w:val="1F4E79"/>
                <w:sz w:val="18"/>
                <w:szCs w:val="18"/>
              </w:rPr>
              <w:t>Fit Assessment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33DD7" w14:textId="77777777" w:rsidR="00493EBD" w:rsidRDefault="00000000">
            <w:r>
              <w:rPr>
                <w:rFonts w:ascii="Arial" w:eastAsia="Arial" w:hAnsi="Arial" w:cs="Arial"/>
                <w:color w:val="1A1A1A"/>
                <w:sz w:val="18"/>
                <w:szCs w:val="18"/>
              </w:rPr>
              <w:t xml:space="preserve">Strongest validation target for G9 Security and Compliance and the C01 through C10 KVKK/GDPR checklist. Oracle-based HIS depends on Oracle CDC feasibility (currently Uncertain) — a PostgreSQL-based hospital system is the preferred alternative. Finance </w:t>
            </w:r>
            <w:proofErr w:type="spellStart"/>
            <w:r>
              <w:rPr>
                <w:rFonts w:ascii="Arial" w:eastAsia="Arial" w:hAnsi="Arial" w:cs="Arial"/>
                <w:color w:val="1A1A1A"/>
                <w:sz w:val="18"/>
                <w:szCs w:val="18"/>
              </w:rPr>
              <w:t>organisations</w:t>
            </w:r>
            <w:proofErr w:type="spellEnd"/>
            <w:r>
              <w:rPr>
                <w:rFonts w:ascii="Arial" w:eastAsia="Arial" w:hAnsi="Arial" w:cs="Arial"/>
                <w:color w:val="1A1A1A"/>
                <w:sz w:val="18"/>
                <w:szCs w:val="18"/>
              </w:rPr>
              <w:t xml:space="preserve"> on MSSQL are a lower-risk substitute.</w:t>
            </w:r>
          </w:p>
        </w:tc>
      </w:tr>
      <w:tr w:rsidR="00493EBD" w14:paraId="4621F576"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DF5A2D2" w14:textId="77777777" w:rsidR="00493EBD" w:rsidRDefault="00000000">
            <w:r>
              <w:rPr>
                <w:rFonts w:ascii="Arial" w:eastAsia="Arial" w:hAnsi="Arial" w:cs="Arial"/>
                <w:b/>
                <w:bCs/>
                <w:color w:val="1F4E79"/>
                <w:sz w:val="18"/>
                <w:szCs w:val="18"/>
              </w:rPr>
              <w:t>Contact Timeline</w:t>
            </w:r>
          </w:p>
        </w:tc>
        <w:tc>
          <w:tcPr>
            <w:tcW w:w="71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3740CF5" w14:textId="77777777" w:rsidR="00493EBD" w:rsidRDefault="00000000">
            <w:r>
              <w:rPr>
                <w:rFonts w:ascii="Arial" w:eastAsia="Arial" w:hAnsi="Arial" w:cs="Arial"/>
                <w:color w:val="1A1A1A"/>
                <w:sz w:val="18"/>
                <w:szCs w:val="18"/>
              </w:rPr>
              <w:t>Regulatory sensitivity requires early engagement. Begin outreach by November 2026 (M7 phase) to allow time for data sharing agreement negotiation.</w:t>
            </w:r>
          </w:p>
        </w:tc>
      </w:tr>
    </w:tbl>
    <w:p w14:paraId="1FD27D6C" w14:textId="77777777" w:rsidR="00493EBD" w:rsidRDefault="00493EBD">
      <w:pPr>
        <w:spacing w:after="160"/>
      </w:pPr>
    </w:p>
    <w:sectPr w:rsidR="00493E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7376E"/>
    <w:multiLevelType w:val="hybridMultilevel"/>
    <w:tmpl w:val="BBB24BE4"/>
    <w:lvl w:ilvl="0" w:tplc="F3BAE08A">
      <w:start w:val="1"/>
      <w:numFmt w:val="bullet"/>
      <w:lvlText w:val="●"/>
      <w:lvlJc w:val="left"/>
      <w:pPr>
        <w:ind w:left="720" w:hanging="360"/>
      </w:pPr>
    </w:lvl>
    <w:lvl w:ilvl="1" w:tplc="909C4C0A">
      <w:start w:val="1"/>
      <w:numFmt w:val="bullet"/>
      <w:lvlText w:val="○"/>
      <w:lvlJc w:val="left"/>
      <w:pPr>
        <w:ind w:left="1440" w:hanging="360"/>
      </w:pPr>
    </w:lvl>
    <w:lvl w:ilvl="2" w:tplc="9ED26336">
      <w:start w:val="1"/>
      <w:numFmt w:val="bullet"/>
      <w:lvlText w:val="■"/>
      <w:lvlJc w:val="left"/>
      <w:pPr>
        <w:ind w:left="2160" w:hanging="360"/>
      </w:pPr>
    </w:lvl>
    <w:lvl w:ilvl="3" w:tplc="705C145A">
      <w:start w:val="1"/>
      <w:numFmt w:val="bullet"/>
      <w:lvlText w:val="●"/>
      <w:lvlJc w:val="left"/>
      <w:pPr>
        <w:ind w:left="2880" w:hanging="360"/>
      </w:pPr>
    </w:lvl>
    <w:lvl w:ilvl="4" w:tplc="34EC9FB4">
      <w:start w:val="1"/>
      <w:numFmt w:val="bullet"/>
      <w:lvlText w:val="○"/>
      <w:lvlJc w:val="left"/>
      <w:pPr>
        <w:ind w:left="3600" w:hanging="360"/>
      </w:pPr>
    </w:lvl>
    <w:lvl w:ilvl="5" w:tplc="50900034">
      <w:start w:val="1"/>
      <w:numFmt w:val="bullet"/>
      <w:lvlText w:val="■"/>
      <w:lvlJc w:val="left"/>
      <w:pPr>
        <w:ind w:left="4320" w:hanging="360"/>
      </w:pPr>
    </w:lvl>
    <w:lvl w:ilvl="6" w:tplc="21D67D32">
      <w:start w:val="1"/>
      <w:numFmt w:val="bullet"/>
      <w:lvlText w:val="●"/>
      <w:lvlJc w:val="left"/>
      <w:pPr>
        <w:ind w:left="5040" w:hanging="360"/>
      </w:pPr>
    </w:lvl>
    <w:lvl w:ilvl="7" w:tplc="8794B5B0">
      <w:start w:val="1"/>
      <w:numFmt w:val="bullet"/>
      <w:lvlText w:val="●"/>
      <w:lvlJc w:val="left"/>
      <w:pPr>
        <w:ind w:left="5760" w:hanging="360"/>
      </w:pPr>
    </w:lvl>
    <w:lvl w:ilvl="8" w:tplc="96D857FE">
      <w:start w:val="1"/>
      <w:numFmt w:val="bullet"/>
      <w:lvlText w:val="●"/>
      <w:lvlJc w:val="left"/>
      <w:pPr>
        <w:ind w:left="6480" w:hanging="360"/>
      </w:pPr>
    </w:lvl>
  </w:abstractNum>
  <w:num w:numId="1" w16cid:durableId="732658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BD"/>
    <w:rsid w:val="002A630A"/>
    <w:rsid w:val="00493EBD"/>
    <w:rsid w:val="00841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95F4"/>
  <w15:docId w15:val="{4B38A98C-46A1-493D-80A3-27C35AF5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2616</Words>
  <Characters>14914</Characters>
  <Application>Microsoft Office Word</Application>
  <DocSecurity>0</DocSecurity>
  <Lines>124</Lines>
  <Paragraphs>34</Paragraphs>
  <ScaleCrop>false</ScaleCrop>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2</cp:revision>
  <dcterms:created xsi:type="dcterms:W3CDTF">2026-06-18T08:39:00Z</dcterms:created>
  <dcterms:modified xsi:type="dcterms:W3CDTF">2026-06-18T09:39:00Z</dcterms:modified>
</cp:coreProperties>
</file>