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SUBOP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Milestone 6 Completion Checklist</w:t>
      </w:r>
    </w:p>
    <w:p>
      <w:pPr>
        <w:spacing w:after="120" w:before="0"/>
      </w:pPr>
      <w:r>
        <w:rPr>
          <w:rFonts w:ascii="Arial" w:cs="Arial" w:eastAsia="Arial" w:hAnsi="Arial"/>
          <w:sz w:val="19"/>
          <w:szCs w:val="19"/>
        </w:rPr>
        <w:t xml:space="preserve">This checklist walks through every success criterion defined in the Milestone 6 charter (Connector Ecosystem Expansion), verified against the live repository on the develop branch and against this week’s evidence: the merged develop-to-main CI run and local spot-checks. Each item is marked Done or Pending with a named resolution path. As of Week 21 (Friday 2 October 2026), eight of ten criteria are confirmed Done; two are Pending, each with a documented resolution plan and owner: the production CORS origin (Criterion 7) and the Week 21 advisor report (Criterion 9).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Audit notes. </w:t>
      </w:r>
      <w:r>
        <w:rPr>
          <w:rFonts w:ascii="Arial" w:cs="Arial" w:eastAsia="Arial" w:hAnsi="Arial"/>
          <w:sz w:val="19"/>
          <w:szCs w:val="19"/>
        </w:rPr>
        <w:t xml:space="preserve">(1) A fresh diff of the main and develop branches after PR #28 found them byte-identical. (2) CI details for PR #28 (workflow run #253) come from the T4 verification note and the run link; they were not independently re-opened because the GitHub API was rate-limited during the audit. (3) Beyza’s component_status_m6_handoff_v1.md is at services/bi-dashboard/frontend/planning/, not docs/frontend/planning/ as the plan assumes. This does not block any criterion.</w:t>
      </w:r>
    </w:p>
    <w:p>
      <w:pPr>
        <w:pBdr>
          <w:bottom w:val="single" w:color="1B3A6B" w:sz="6" w:space="2"/>
        </w:pBdr>
        <w:spacing w:after="100" w:before="26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Section 1 — Success Criteria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850"/>
        <w:gridCol w:w="1000"/>
        <w:gridCol w:w="5536"/>
      </w:tblGrid>
      <w:tr>
        <w:trPr>
          <w:tblHeader/>
        </w:trPr>
        <w:tc>
          <w:tcPr>
            <w:tcW w:type="dxa" w:w="52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B3A6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B3A6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M6 Success Criterion</w:t>
            </w:r>
          </w:p>
        </w:tc>
        <w:tc>
          <w:tcPr>
            <w:tcW w:type="dxa" w:w="1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B3A6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53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B3A6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 / Resolution Plan</w:t>
            </w:r>
          </w:p>
        </w:tc>
      </w:tr>
      <w:tr>
        <w:trPr>
          <w:cantSplit w:val="false"/>
        </w:trPr>
        <w:tc>
          <w:tcPr>
            <w:tcW w:type="dxa" w:w="52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28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Lineage column_types wiring gap fixed: executor.py supplies column_types to execute_query(), and a rerun of the end-to-end demo shows non-zero lineage entries where it previously showed zero.</w:t>
            </w:r>
          </w:p>
        </w:tc>
        <w:tc>
          <w:tcPr>
            <w:tcW w:type="dxa" w:w="1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FF0E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2E"/>
                <w:sz w:val="19"/>
                <w:szCs w:val="19"/>
              </w:rPr>
              <w:t xml:space="preserve">Done</w:t>
            </w:r>
          </w:p>
        </w:tc>
        <w:tc>
          <w:tcPr>
            <w:tcW w:type="dxa" w:w="553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executor.py now derives column_types from the pipeline's type_cast steps (_column_types_from_casts) and passes them into the source read (M6W18T2); Week 19 added the SQLite type mapping so SQLite-sourced pipelines produce lineage too (M6W19T3).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Rerun after the fix showed non-zero lineage entries (previously 0), confirmed by Abdullah in Week 18. The exact entry count was not recorded.</w:t>
            </w:r>
          </w:p>
        </w:tc>
      </w:tr>
      <w:tr>
        <w:trPr>
          <w:cantSplit w:val="false"/>
        </w:trPr>
        <w:tc>
          <w:tcPr>
            <w:tcW w:type="dxa" w:w="52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28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DSL's mongodb connector_type removed from pipeline.py's validated set, with a test confirming rejection.</w:t>
            </w:r>
          </w:p>
        </w:tc>
        <w:tc>
          <w:tcPr>
            <w:tcW w:type="dxa" w:w="1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FF0E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2E"/>
                <w:sz w:val="19"/>
                <w:szCs w:val="19"/>
              </w:rPr>
              <w:t xml:space="preserve">Done</w:t>
            </w:r>
          </w:p>
        </w:tc>
        <w:tc>
          <w:tcPr>
            <w:tcW w:type="dxa" w:w="553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pipeline.py's _VALID_CONNECTOR_TYPES contains exactly the eight real connectors; mongodb is absent.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tests/test_pipeline.py::test_mongodb_connector_type_rejected covers the rejection, and /api/kpis tests also assert mongodb is not in the registry.</w:t>
            </w:r>
          </w:p>
        </w:tc>
      </w:tr>
      <w:tr>
        <w:trPr>
          <w:cantSplit w:val="false"/>
        </w:trPr>
        <w:tc>
          <w:tcPr>
            <w:tcW w:type="dxa" w:w="52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28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Eight working connectors (PostgreSQL, MySQL, MSSQL, SQLite, CSV, JSON, REST API, Oracle), each implementing the shared interface and raising the ConnectorError hierarchy.</w:t>
            </w:r>
          </w:p>
        </w:tc>
        <w:tc>
          <w:tcPr>
            <w:tcW w:type="dxa" w:w="1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FF0E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2E"/>
                <w:sz w:val="19"/>
                <w:szCs w:val="19"/>
              </w:rPr>
              <w:t xml:space="preserve">Done</w:t>
            </w:r>
          </w:p>
        </w:tc>
        <w:tc>
          <w:tcPr>
            <w:tcW w:type="dxa" w:w="553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All eight modules exist in services/connectors/ and are registered, validated and conformance-tested; see the 8 × 5 matrix in Section 2.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Spot-checked on a local machine: test_get_kpis_reports_all_eight_connectors passed, /api/kpis returned connector_count 8, and the dashboard's Connectors card displayed 8.</w:t>
            </w:r>
          </w:p>
        </w:tc>
      </w:tr>
      <w:tr>
        <w:trPr>
          <w:cantSplit w:val="false"/>
        </w:trPr>
        <w:tc>
          <w:tcPr>
            <w:tcW w:type="dxa" w:w="52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W w:type="dxa" w:w="28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Connector test framework: one shared conformance suite run against every connector, passing for all eight.</w:t>
            </w:r>
          </w:p>
        </w:tc>
        <w:tc>
          <w:tcPr>
            <w:tcW w:type="dxa" w:w="1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FF0E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2E"/>
                <w:sz w:val="19"/>
                <w:szCs w:val="19"/>
              </w:rPr>
              <w:t xml:space="preserve">Done</w:t>
            </w:r>
          </w:p>
        </w:tc>
        <w:tc>
          <w:tcPr>
            <w:tcW w:type="dxa" w:w="553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tests/test_connector_conformance.py parametrizes one suite across all eight connector types (CONNECTOR_TYPES, M6W20T3). It has no skip: an unreachable database fails the test.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Passed in CI against live PostgreSQL, MySQL, MSSQL and Oracle containers (run 36826413529).</w:t>
            </w:r>
          </w:p>
        </w:tc>
      </w:tr>
      <w:tr>
        <w:trPr>
          <w:cantSplit w:val="false"/>
        </w:trPr>
        <w:tc>
          <w:tcPr>
            <w:tcW w:type="dxa" w:w="52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5</w:t>
            </w:r>
          </w:p>
        </w:tc>
        <w:tc>
          <w:tcPr>
            <w:tcW w:type="dxa" w:w="28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PipelineCreationForm mounted into PipelinesPage behind a visible action, and a pipeline created through the UI reaches succeeded end to end.</w:t>
            </w:r>
          </w:p>
        </w:tc>
        <w:tc>
          <w:tcPr>
            <w:tcW w:type="dxa" w:w="1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FF0E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2E"/>
                <w:sz w:val="19"/>
                <w:szCs w:val="19"/>
              </w:rPr>
              <w:t xml:space="preserve">Done</w:t>
            </w:r>
          </w:p>
        </w:tc>
        <w:tc>
          <w:tcPr>
            <w:tcW w:type="dxa" w:w="553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PipelinesPage.tsx imports and renders PipelineCreationForm (verified in source); the connector list offers all eight connectors.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 pipeline created through the UI by Beyza reached succeeded status, reported by Abdullah (Week 20). The run ID was not recorded.</w:t>
            </w:r>
          </w:p>
        </w:tc>
      </w:tr>
      <w:tr>
        <w:trPr>
          <w:cantSplit w:val="false"/>
        </w:trPr>
        <w:tc>
          <w:tcPr>
            <w:tcW w:type="dxa" w:w="52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6</w:t>
            </w:r>
          </w:p>
        </w:tc>
        <w:tc>
          <w:tcPr>
            <w:tcW w:type="dxa" w:w="28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Connection-ref env vars (SUBOP_CONN_PG_MAIN, SUBOP_CONN_DW_MAIN) present and resolvable via the SUBOP_CONN_{UPPERCASED_SLUG} convention.</w:t>
            </w:r>
          </w:p>
        </w:tc>
        <w:tc>
          <w:tcPr>
            <w:tcW w:type="dxa" w:w="1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FF0E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2E"/>
                <w:sz w:val="19"/>
                <w:szCs w:val="19"/>
              </w:rPr>
              <w:t xml:space="preserve">Done</w:t>
            </w:r>
          </w:p>
        </w:tc>
        <w:tc>
          <w:tcPr>
            <w:tcW w:type="dxa" w:w="553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Both are defined for the subop-api container in docker-compose.yml.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.env.example now uses the JSON format connection_resolver.py actually parses, and adds Oracle, file-kind and url-kind examples (M6W21T1). All values were parsed with json.loads and checked against the resolver's required fields.</w:t>
            </w:r>
          </w:p>
        </w:tc>
      </w:tr>
      <w:tr>
        <w:trPr>
          <w:cantSplit w:val="false"/>
        </w:trPr>
        <w:tc>
          <w:tcPr>
            <w:tcW w:type="dxa" w:w="52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7</w:t>
            </w:r>
          </w:p>
        </w:tc>
        <w:tc>
          <w:tcPr>
            <w:tcW w:type="dxa" w:w="28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Responsive design pass complete across the frontend's primary breakpoints, and CORS allow_origins updated for the production URL.</w:t>
            </w:r>
          </w:p>
        </w:tc>
        <w:tc>
          <w:tcPr>
            <w:tcW w:type="dxa" w:w="1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1D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A5A00"/>
                <w:sz w:val="19"/>
                <w:szCs w:val="19"/>
              </w:rPr>
              <w:t xml:space="preserve">Pending</w:t>
            </w:r>
          </w:p>
        </w:tc>
        <w:tc>
          <w:tcPr>
            <w:tcW w:type="dxa" w:w="553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Responsive half Done: DataTable's card-stack layout and the 767px boundary landed in M6W21T11.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CORS half Pending: no production URL exists yet. allow_origins is read from SUBOP_CORS_ORIGINS, which currently lists only localhost:5173 and localhost:5174.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Resolution plan: add the production URL to SUBOP_CORS_ORIGINS (in .env.example and the deployment environment) as soon as a deployment target exists. Proposed owner: Omer (roadmap role: infrastructure), to be confirmed at the M7 kickoff.</w:t>
            </w:r>
          </w:p>
        </w:tc>
      </w:tr>
      <w:tr>
        <w:trPr>
          <w:cantSplit w:val="false"/>
        </w:trPr>
        <w:tc>
          <w:tcPr>
            <w:tcW w:type="dxa" w:w="52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8</w:t>
            </w:r>
          </w:p>
        </w:tc>
        <w:tc>
          <w:tcPr>
            <w:tcW w:type="dxa" w:w="28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Full regression suite, including the connector test framework, passes in a clean-environment CI run, with Black and flake8 passing against max-line-length = 100.</w:t>
            </w:r>
          </w:p>
        </w:tc>
        <w:tc>
          <w:tcPr>
            <w:tcW w:type="dxa" w:w="1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FF0E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2E"/>
                <w:sz w:val="19"/>
                <w:szCs w:val="19"/>
              </w:rPr>
              <w:t xml:space="preserve">Done</w:t>
            </w:r>
          </w:p>
        </w:tc>
        <w:tc>
          <w:tcPr>
            <w:tcW w:type="dxa" w:w="553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 #28 (develop into main), workflow run #253: both "Lint (Black + flake8)" and "Tests (pytest)" succeeded. </w:t>
            </w:r>
            <w:hyperlink w:history="1" r:id="rIdbamig41dmkkwnbrneeckd">
              <w:r>
                <w:rPr>
                  <w:rFonts w:ascii="Arial" w:cs="Arial" w:eastAsia="Arial" w:hAnsi="Arial"/>
                  <w:color w:val="1F5FA8"/>
                  <w:sz w:val="19"/>
                  <w:szCs w:val="19"/>
                  <w:u w:val="single"/>
                </w:rPr>
                <w:t xml:space="preserve">https://github.com/Jeylani-2526/subop/actions/runs/36826413529</w:t>
              </w:r>
            </w:hyperlink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Black and flake8 also re-run clean locally against services/ (Black: 23 files unchanged; flake8: no output).</w:t>
            </w:r>
          </w:p>
        </w:tc>
      </w:tr>
      <w:tr>
        <w:trPr>
          <w:cantSplit w:val="false"/>
        </w:trPr>
        <w:tc>
          <w:tcPr>
            <w:tcW w:type="dxa" w:w="52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9</w:t>
            </w:r>
          </w:p>
        </w:tc>
        <w:tc>
          <w:tcPr>
            <w:tcW w:type="dxa" w:w="28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Weekly advisor progress reports for Weeks 18, 19, 20 and 21 sent on schedule.</w:t>
            </w:r>
          </w:p>
        </w:tc>
        <w:tc>
          <w:tcPr>
            <w:tcW w:type="dxa" w:w="1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1D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A5A00"/>
                <w:sz w:val="19"/>
                <w:szCs w:val="19"/>
              </w:rPr>
              <w:t xml:space="preserve">Pending</w:t>
            </w:r>
          </w:p>
        </w:tc>
        <w:tc>
          <w:tcPr>
            <w:tcW w:type="dxa" w:w="553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Week 21 report is outstanding: due Sunday 4 October EOD (M6W21T7).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Reports are emailed to Emrah, not committed, so sending of Weeks 18 to 20 cannot be verified from the repository. Abdullah to confirm.</w:t>
            </w:r>
          </w:p>
        </w:tc>
      </w:tr>
      <w:tr>
        <w:trPr>
          <w:cantSplit w:val="false"/>
        </w:trPr>
        <w:tc>
          <w:tcPr>
            <w:tcW w:type="dxa" w:w="52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10</w:t>
            </w:r>
          </w:p>
        </w:tc>
        <w:tc>
          <w:tcPr>
            <w:tcW w:type="dxa" w:w="285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M6 Completion Checklist confirms every success criterion is marked Done or has a documented resolution plan before Milestone 7 begins.</w:t>
            </w:r>
          </w:p>
        </w:tc>
        <w:tc>
          <w:tcPr>
            <w:tcW w:type="dxa" w:w="1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FF0E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2E"/>
                <w:sz w:val="19"/>
                <w:szCs w:val="19"/>
              </w:rPr>
              <w:t xml:space="preserve">Done</w:t>
            </w:r>
          </w:p>
        </w:tc>
        <w:tc>
          <w:tcPr>
            <w:tcW w:type="dxa" w:w="553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This document. Both Pending items (7 and 9) carry a resolution plan and owner, listed in Section 3.</w:t>
            </w:r>
          </w:p>
        </w:tc>
      </w:tr>
    </w:tbl>
    <w:p>
      <w:pPr>
        <w:pBdr>
          <w:bottom w:val="single" w:color="1B3A6B" w:sz="6" w:space="2"/>
        </w:pBdr>
        <w:spacing w:after="100" w:before="26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Section 2 — 8+ Connector KPI Validation Matrix</w:t>
      </w:r>
    </w:p>
    <w:p>
      <w:pPr>
        <w:spacing w:after="100" w:before="0"/>
      </w:pPr>
      <w:r>
        <w:rPr>
          <w:rFonts w:ascii="Arial" w:cs="Arial" w:eastAsia="Arial" w:hAnsi="Arial"/>
          <w:sz w:val="19"/>
          <w:szCs w:val="19"/>
        </w:rPr>
        <w:t xml:space="preserve">Each of the eight connectors was checked at five checkpoints directly in the code on develop; checkpoint 5 is the clean-environment CI run: </w:t>
      </w:r>
      <w:hyperlink w:history="1" r:id="rIdm-vhib8k5nm83vwrloip1">
        <w:r>
          <w:rPr>
            <w:rFonts w:ascii="Arial" w:cs="Arial" w:eastAsia="Arial" w:hAnsi="Arial"/>
            <w:color w:val="1F5FA8"/>
            <w:sz w:val="19"/>
            <w:szCs w:val="19"/>
            <w:u w:val="single"/>
          </w:rPr>
          <w:t xml:space="preserve">run 36826413529</w:t>
        </w:r>
      </w:hyperlink>
      <w:r>
        <w:rPr>
          <w:rFonts w:ascii="Arial" w:cs="Arial" w:eastAsia="Arial" w:hAnsi="Arial"/>
          <w:sz w:val="19"/>
          <w:szCs w:val="19"/>
        </w:rPr>
        <w:t xml:space="preserve"> (PR #28, workflow run #253), which ran the conformance suite against live PostgreSQL, MySQL, MSSQL and Oracle containers with no skip.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640"/>
        <w:gridCol w:w="1640"/>
        <w:gridCol w:w="1640"/>
        <w:gridCol w:w="1640"/>
        <w:gridCol w:w="1646"/>
      </w:tblGrid>
      <w:tr>
        <w:trPr>
          <w:tblHeader/>
        </w:trPr>
        <w:tc>
          <w:tcPr>
            <w:tcW w:type="dxa" w:w="1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B3A6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Connector</w:t>
            </w:r>
          </w:p>
        </w:tc>
        <w:tc>
          <w:tcPr>
            <w:tcW w:type="dxa" w:w="164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B3A6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1. Module exists</w:t>
            </w:r>
          </w:p>
        </w:tc>
        <w:tc>
          <w:tcPr>
            <w:tcW w:type="dxa" w:w="164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B3A6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2. In _CONNECTOR_CLASSES</w:t>
            </w:r>
          </w:p>
        </w:tc>
        <w:tc>
          <w:tcPr>
            <w:tcW w:type="dxa" w:w="164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B3A6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3. In _VALID_CONNECTOR_TYPES</w:t>
            </w:r>
          </w:p>
        </w:tc>
        <w:tc>
          <w:tcPr>
            <w:tcW w:type="dxa" w:w="164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B3A6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4. In conformance CONNECTOR_TYPES</w:t>
            </w:r>
          </w:p>
        </w:tc>
        <w:tc>
          <w:tcPr>
            <w:tcW w:type="dxa" w:w="164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B3A6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5. Green clean-env CI run</w:t>
            </w:r>
          </w:p>
        </w:tc>
      </w:tr>
      <w:tr>
        <w:tc>
          <w:tcPr>
            <w:tcW w:type="dxa" w:w="1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PostgreSQL</w:t>
            </w:r>
          </w:p>
          <w:p>
            <w:r>
              <w:rPr>
                <w:rFonts w:ascii="Arial" w:cs="Arial" w:eastAsia="Arial" w:hAnsi="Arial"/>
                <w:color w:val="5A6B85"/>
                <w:sz w:val="15"/>
                <w:szCs w:val="15"/>
              </w:rPr>
              <w:t xml:space="preserve">postgres_connector.py</w:t>
            </w:r>
          </w:p>
        </w:tc>
        <w:tc>
          <w:tcPr>
            <w:tcW w:type="dxa" w:w="164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FF0E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2E"/>
                <w:sz w:val="19"/>
                <w:szCs w:val="19"/>
              </w:rPr>
              <w:t xml:space="preserve">Yes</w:t>
            </w:r>
          </w:p>
        </w:tc>
        <w:tc>
          <w:tcPr>
            <w:tcW w:type="dxa" w:w="164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FF0E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2E"/>
                <w:sz w:val="19"/>
                <w:szCs w:val="19"/>
              </w:rPr>
              <w:t xml:space="preserve">Yes</w:t>
            </w:r>
          </w:p>
        </w:tc>
        <w:tc>
          <w:tcPr>
            <w:tcW w:type="dxa" w:w="164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FF0E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2E"/>
                <w:sz w:val="19"/>
                <w:szCs w:val="19"/>
              </w:rPr>
              <w:t xml:space="preserve">Yes</w:t>
            </w:r>
          </w:p>
        </w:tc>
        <w:tc>
          <w:tcPr>
            <w:tcW w:type="dxa" w:w="164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FF0E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2E"/>
                <w:sz w:val="19"/>
                <w:szCs w:val="19"/>
              </w:rPr>
              <w:t xml:space="preserve">Yes</w:t>
            </w:r>
          </w:p>
        </w:tc>
        <w:tc>
          <w:tcPr>
            <w:tcW w:type="dxa" w:w="164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FF0E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2E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1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MySQL</w:t>
            </w:r>
          </w:p>
          <w:p>
            <w:r>
              <w:rPr>
                <w:rFonts w:ascii="Arial" w:cs="Arial" w:eastAsia="Arial" w:hAnsi="Arial"/>
                <w:color w:val="5A6B85"/>
                <w:sz w:val="15"/>
                <w:szCs w:val="15"/>
              </w:rPr>
              <w:t xml:space="preserve">mysql_connector.py</w:t>
            </w:r>
          </w:p>
        </w:tc>
        <w:tc>
          <w:tcPr>
            <w:tcW w:type="dxa" w:w="164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FF0E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2E"/>
                <w:sz w:val="19"/>
                <w:szCs w:val="19"/>
              </w:rPr>
              <w:t xml:space="preserve">Yes</w:t>
            </w:r>
          </w:p>
        </w:tc>
        <w:tc>
          <w:tcPr>
            <w:tcW w:type="dxa" w:w="164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FF0E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2E"/>
                <w:sz w:val="19"/>
                <w:szCs w:val="19"/>
              </w:rPr>
              <w:t xml:space="preserve">Yes</w:t>
            </w:r>
          </w:p>
        </w:tc>
        <w:tc>
          <w:tcPr>
            <w:tcW w:type="dxa" w:w="164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FF0E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2E"/>
                <w:sz w:val="19"/>
                <w:szCs w:val="19"/>
              </w:rPr>
              <w:t xml:space="preserve">Yes</w:t>
            </w:r>
          </w:p>
        </w:tc>
        <w:tc>
          <w:tcPr>
            <w:tcW w:type="dxa" w:w="164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FF0E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2E"/>
                <w:sz w:val="19"/>
                <w:szCs w:val="19"/>
              </w:rPr>
              <w:t xml:space="preserve">Yes</w:t>
            </w:r>
          </w:p>
        </w:tc>
        <w:tc>
          <w:tcPr>
            <w:tcW w:type="dxa" w:w="164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FF0E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2E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1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MSSQL</w:t>
            </w:r>
          </w:p>
          <w:p>
            <w:r>
              <w:rPr>
                <w:rFonts w:ascii="Arial" w:cs="Arial" w:eastAsia="Arial" w:hAnsi="Arial"/>
                <w:color w:val="5A6B85"/>
                <w:sz w:val="15"/>
                <w:szCs w:val="15"/>
              </w:rPr>
              <w:t xml:space="preserve">mssql_connector.py</w:t>
            </w:r>
          </w:p>
        </w:tc>
        <w:tc>
          <w:tcPr>
            <w:tcW w:type="dxa" w:w="164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FF0E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2E"/>
                <w:sz w:val="19"/>
                <w:szCs w:val="19"/>
              </w:rPr>
              <w:t xml:space="preserve">Yes</w:t>
            </w:r>
          </w:p>
        </w:tc>
        <w:tc>
          <w:tcPr>
            <w:tcW w:type="dxa" w:w="164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FF0E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2E"/>
                <w:sz w:val="19"/>
                <w:szCs w:val="19"/>
              </w:rPr>
              <w:t xml:space="preserve">Yes *</w:t>
            </w:r>
          </w:p>
        </w:tc>
        <w:tc>
          <w:tcPr>
            <w:tcW w:type="dxa" w:w="164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FF0E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2E"/>
                <w:sz w:val="19"/>
                <w:szCs w:val="19"/>
              </w:rPr>
              <w:t xml:space="preserve">Yes</w:t>
            </w:r>
          </w:p>
        </w:tc>
        <w:tc>
          <w:tcPr>
            <w:tcW w:type="dxa" w:w="164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FF0E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2E"/>
                <w:sz w:val="19"/>
                <w:szCs w:val="19"/>
              </w:rPr>
              <w:t xml:space="preserve">Yes</w:t>
            </w:r>
          </w:p>
        </w:tc>
        <w:tc>
          <w:tcPr>
            <w:tcW w:type="dxa" w:w="164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FF0E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2E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1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SQLite</w:t>
            </w:r>
          </w:p>
          <w:p>
            <w:r>
              <w:rPr>
                <w:rFonts w:ascii="Arial" w:cs="Arial" w:eastAsia="Arial" w:hAnsi="Arial"/>
                <w:color w:val="5A6B85"/>
                <w:sz w:val="15"/>
                <w:szCs w:val="15"/>
              </w:rPr>
              <w:t xml:space="preserve">sqlite_connector.py</w:t>
            </w:r>
          </w:p>
        </w:tc>
        <w:tc>
          <w:tcPr>
            <w:tcW w:type="dxa" w:w="164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FF0E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2E"/>
                <w:sz w:val="19"/>
                <w:szCs w:val="19"/>
              </w:rPr>
              <w:t xml:space="preserve">Yes</w:t>
            </w:r>
          </w:p>
        </w:tc>
        <w:tc>
          <w:tcPr>
            <w:tcW w:type="dxa" w:w="164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FF0E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2E"/>
                <w:sz w:val="19"/>
                <w:szCs w:val="19"/>
              </w:rPr>
              <w:t xml:space="preserve">Yes</w:t>
            </w:r>
          </w:p>
        </w:tc>
        <w:tc>
          <w:tcPr>
            <w:tcW w:type="dxa" w:w="164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FF0E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2E"/>
                <w:sz w:val="19"/>
                <w:szCs w:val="19"/>
              </w:rPr>
              <w:t xml:space="preserve">Yes</w:t>
            </w:r>
          </w:p>
        </w:tc>
        <w:tc>
          <w:tcPr>
            <w:tcW w:type="dxa" w:w="164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FF0E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2E"/>
                <w:sz w:val="19"/>
                <w:szCs w:val="19"/>
              </w:rPr>
              <w:t xml:space="preserve">Yes</w:t>
            </w:r>
          </w:p>
        </w:tc>
        <w:tc>
          <w:tcPr>
            <w:tcW w:type="dxa" w:w="164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FF0E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2E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1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CSV</w:t>
            </w:r>
          </w:p>
          <w:p>
            <w:r>
              <w:rPr>
                <w:rFonts w:ascii="Arial" w:cs="Arial" w:eastAsia="Arial" w:hAnsi="Arial"/>
                <w:color w:val="5A6B85"/>
                <w:sz w:val="15"/>
                <w:szCs w:val="15"/>
              </w:rPr>
              <w:t xml:space="preserve">csv_connector.py</w:t>
            </w:r>
          </w:p>
        </w:tc>
        <w:tc>
          <w:tcPr>
            <w:tcW w:type="dxa" w:w="164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FF0E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2E"/>
                <w:sz w:val="19"/>
                <w:szCs w:val="19"/>
              </w:rPr>
              <w:t xml:space="preserve">Yes</w:t>
            </w:r>
          </w:p>
        </w:tc>
        <w:tc>
          <w:tcPr>
            <w:tcW w:type="dxa" w:w="164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FF0E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2E"/>
                <w:sz w:val="19"/>
                <w:szCs w:val="19"/>
              </w:rPr>
              <w:t xml:space="preserve">Yes</w:t>
            </w:r>
          </w:p>
        </w:tc>
        <w:tc>
          <w:tcPr>
            <w:tcW w:type="dxa" w:w="164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FF0E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2E"/>
                <w:sz w:val="19"/>
                <w:szCs w:val="19"/>
              </w:rPr>
              <w:t xml:space="preserve">Yes</w:t>
            </w:r>
          </w:p>
        </w:tc>
        <w:tc>
          <w:tcPr>
            <w:tcW w:type="dxa" w:w="164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FF0E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2E"/>
                <w:sz w:val="19"/>
                <w:szCs w:val="19"/>
              </w:rPr>
              <w:t xml:space="preserve">Yes</w:t>
            </w:r>
          </w:p>
        </w:tc>
        <w:tc>
          <w:tcPr>
            <w:tcW w:type="dxa" w:w="164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FF0E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2E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1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JSON</w:t>
            </w:r>
          </w:p>
          <w:p>
            <w:r>
              <w:rPr>
                <w:rFonts w:ascii="Arial" w:cs="Arial" w:eastAsia="Arial" w:hAnsi="Arial"/>
                <w:color w:val="5A6B85"/>
                <w:sz w:val="15"/>
                <w:szCs w:val="15"/>
              </w:rPr>
              <w:t xml:space="preserve">json_connector.py</w:t>
            </w:r>
          </w:p>
        </w:tc>
        <w:tc>
          <w:tcPr>
            <w:tcW w:type="dxa" w:w="164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FF0E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2E"/>
                <w:sz w:val="19"/>
                <w:szCs w:val="19"/>
              </w:rPr>
              <w:t xml:space="preserve">Yes</w:t>
            </w:r>
          </w:p>
        </w:tc>
        <w:tc>
          <w:tcPr>
            <w:tcW w:type="dxa" w:w="164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FF0E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2E"/>
                <w:sz w:val="19"/>
                <w:szCs w:val="19"/>
              </w:rPr>
              <w:t xml:space="preserve">Yes</w:t>
            </w:r>
          </w:p>
        </w:tc>
        <w:tc>
          <w:tcPr>
            <w:tcW w:type="dxa" w:w="164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FF0E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2E"/>
                <w:sz w:val="19"/>
                <w:szCs w:val="19"/>
              </w:rPr>
              <w:t xml:space="preserve">Yes</w:t>
            </w:r>
          </w:p>
        </w:tc>
        <w:tc>
          <w:tcPr>
            <w:tcW w:type="dxa" w:w="164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FF0E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2E"/>
                <w:sz w:val="19"/>
                <w:szCs w:val="19"/>
              </w:rPr>
              <w:t xml:space="preserve">Yes</w:t>
            </w:r>
          </w:p>
        </w:tc>
        <w:tc>
          <w:tcPr>
            <w:tcW w:type="dxa" w:w="164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FF0E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2E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1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REST API</w:t>
            </w:r>
          </w:p>
          <w:p>
            <w:r>
              <w:rPr>
                <w:rFonts w:ascii="Arial" w:cs="Arial" w:eastAsia="Arial" w:hAnsi="Arial"/>
                <w:color w:val="5A6B85"/>
                <w:sz w:val="15"/>
                <w:szCs w:val="15"/>
              </w:rPr>
              <w:t xml:space="preserve">rest_api_connector.py</w:t>
            </w:r>
          </w:p>
        </w:tc>
        <w:tc>
          <w:tcPr>
            <w:tcW w:type="dxa" w:w="164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FF0E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2E"/>
                <w:sz w:val="19"/>
                <w:szCs w:val="19"/>
              </w:rPr>
              <w:t xml:space="preserve">Yes</w:t>
            </w:r>
          </w:p>
        </w:tc>
        <w:tc>
          <w:tcPr>
            <w:tcW w:type="dxa" w:w="164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FF0E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2E"/>
                <w:sz w:val="19"/>
                <w:szCs w:val="19"/>
              </w:rPr>
              <w:t xml:space="preserve">Yes</w:t>
            </w:r>
          </w:p>
        </w:tc>
        <w:tc>
          <w:tcPr>
            <w:tcW w:type="dxa" w:w="164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FF0E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2E"/>
                <w:sz w:val="19"/>
                <w:szCs w:val="19"/>
              </w:rPr>
              <w:t xml:space="preserve">Yes</w:t>
            </w:r>
          </w:p>
        </w:tc>
        <w:tc>
          <w:tcPr>
            <w:tcW w:type="dxa" w:w="164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FF0E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2E"/>
                <w:sz w:val="19"/>
                <w:szCs w:val="19"/>
              </w:rPr>
              <w:t xml:space="preserve">Yes</w:t>
            </w:r>
          </w:p>
        </w:tc>
        <w:tc>
          <w:tcPr>
            <w:tcW w:type="dxa" w:w="164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FF0E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2E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1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Oracle</w:t>
            </w:r>
          </w:p>
          <w:p>
            <w:r>
              <w:rPr>
                <w:rFonts w:ascii="Arial" w:cs="Arial" w:eastAsia="Arial" w:hAnsi="Arial"/>
                <w:color w:val="5A6B85"/>
                <w:sz w:val="15"/>
                <w:szCs w:val="15"/>
              </w:rPr>
              <w:t xml:space="preserve">oracle_connector.py</w:t>
            </w:r>
          </w:p>
        </w:tc>
        <w:tc>
          <w:tcPr>
            <w:tcW w:type="dxa" w:w="164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FF0E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2E"/>
                <w:sz w:val="19"/>
                <w:szCs w:val="19"/>
              </w:rPr>
              <w:t xml:space="preserve">Yes</w:t>
            </w:r>
          </w:p>
        </w:tc>
        <w:tc>
          <w:tcPr>
            <w:tcW w:type="dxa" w:w="164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FF0E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2E"/>
                <w:sz w:val="19"/>
                <w:szCs w:val="19"/>
              </w:rPr>
              <w:t xml:space="preserve">Yes</w:t>
            </w:r>
          </w:p>
        </w:tc>
        <w:tc>
          <w:tcPr>
            <w:tcW w:type="dxa" w:w="164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FF0E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2E"/>
                <w:sz w:val="19"/>
                <w:szCs w:val="19"/>
              </w:rPr>
              <w:t xml:space="preserve">Yes</w:t>
            </w:r>
          </w:p>
        </w:tc>
        <w:tc>
          <w:tcPr>
            <w:tcW w:type="dxa" w:w="164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FF0E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2E"/>
                <w:sz w:val="19"/>
                <w:szCs w:val="19"/>
              </w:rPr>
              <w:t xml:space="preserve">Yes</w:t>
            </w:r>
          </w:p>
        </w:tc>
        <w:tc>
          <w:tcPr>
            <w:tcW w:type="dxa" w:w="164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DFF0E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2E"/>
                <w:sz w:val="19"/>
                <w:szCs w:val="19"/>
              </w:rPr>
              <w:t xml:space="preserve">Yes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19"/>
          <w:szCs w:val="19"/>
        </w:rPr>
        <w:t xml:space="preserve">* MSSQL registers only when the ODBC driver is available. It was installed in CI and on the local test machine.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Result: </w:t>
      </w:r>
      <w:r>
        <w:rPr>
          <w:rFonts w:ascii="Arial" w:cs="Arial" w:eastAsia="Arial" w:hAnsi="Arial"/>
          <w:sz w:val="19"/>
          <w:szCs w:val="19"/>
        </w:rPr>
        <w:t xml:space="preserve">the roadmap’s 8+ working connectors KPI is met inside Milestone 6, ahead of its end-of-October 2026 validation date. Local spot-check: test_get_kpis_reports_all_eight_connectors passed, /api/kpis returned connector_count 8, and the dashboard’s Connectors card displayed 8.</w:t>
      </w:r>
    </w:p>
    <w:p>
      <w:pPr>
        <w:pBdr>
          <w:bottom w:val="single" w:color="1B3A6B" w:sz="6" w:space="2"/>
        </w:pBdr>
        <w:spacing w:after="100" w:before="26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Section 3 — Items Carried into Milestone 7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306"/>
        <w:gridCol w:w="1500"/>
        <w:gridCol w:w="1500"/>
      </w:tblGrid>
      <w:tr>
        <w:trPr>
          <w:tblHeader/>
        </w:trPr>
        <w:tc>
          <w:tcPr>
            <w:tcW w:type="dxa" w:w="2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B3A6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430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B3A6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Resolution plan</w:t>
            </w:r>
          </w:p>
        </w:tc>
        <w:tc>
          <w:tcPr>
            <w:tcW w:type="dxa" w:w="1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B3A6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B3A6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</w:tr>
      <w:tr>
        <w:tc>
          <w:tcPr>
            <w:tcW w:type="dxa" w:w="2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CORS allow_origins for the production URL (Criterion 7)</w:t>
            </w:r>
          </w:p>
        </w:tc>
        <w:tc>
          <w:tcPr>
            <w:tcW w:type="dxa" w:w="430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Add the production URL to SUBOP_CORS_ORIGINS once a deployment target exists. Owner proposed: Omer; confirm at M7 kickoff.</w:t>
            </w:r>
          </w:p>
        </w:tc>
        <w:tc>
          <w:tcPr>
            <w:tcW w:type="dxa" w:w="1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Omer (proposed)</w:t>
            </w:r>
          </w:p>
        </w:tc>
        <w:tc>
          <w:tcPr>
            <w:tcW w:type="dxa" w:w="1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When deployment exists</w:t>
            </w:r>
          </w:p>
        </w:tc>
      </w:tr>
      <w:tr>
        <w:tc>
          <w:tcPr>
            <w:tcW w:type="dxa" w:w="2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Week 21 advisor report (Criterion 9)</w:t>
            </w:r>
          </w:p>
        </w:tc>
        <w:tc>
          <w:tcPr>
            <w:tcW w:type="dxa" w:w="430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Send the M6-closing report to Emrah.</w:t>
            </w:r>
          </w:p>
        </w:tc>
        <w:tc>
          <w:tcPr>
            <w:tcW w:type="dxa" w:w="1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Abdullah</w:t>
            </w:r>
          </w:p>
        </w:tc>
        <w:tc>
          <w:tcPr>
            <w:tcW w:type="dxa" w:w="1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Sun 4 Oct 2026 EOD</w:t>
            </w:r>
          </w:p>
        </w:tc>
      </w:tr>
      <w:tr>
        <w:tc>
          <w:tcPr>
            <w:tcW w:type="dxa" w:w="2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Omer capacity question</w:t>
            </w:r>
          </w:p>
        </w:tc>
        <w:tc>
          <w:tcPr>
            <w:tcW w:type="dxa" w:w="430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Decided explicitly as the first item of the M7 kickoff (Part A, item 1) and recorded in Part B, not carried again.</w:t>
            </w:r>
          </w:p>
        </w:tc>
        <w:tc>
          <w:tcPr>
            <w:tcW w:type="dxa" w:w="1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Abdullah (facilitates)</w:t>
            </w:r>
          </w:p>
        </w:tc>
        <w:tc>
          <w:tcPr>
            <w:tcW w:type="dxa" w:w="1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M7 kickoff</w:t>
            </w:r>
          </w:p>
        </w:tc>
      </w:tr>
      <w:tr>
        <w:tc>
          <w:tcPr>
            <w:tcW w:type="dxa" w:w="2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Data Quality rule engine</w:t>
            </w:r>
          </w:p>
        </w:tc>
        <w:tc>
          <w:tcPr>
            <w:tcW w:type="dxa" w:w="430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Still a stub: /api/kpis reports average_quality_score as null. Full implementation is planned M10 scope.</w:t>
            </w:r>
          </w:p>
        </w:tc>
        <w:tc>
          <w:tcPr>
            <w:tcW w:type="dxa" w:w="1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Team</w:t>
            </w:r>
          </w:p>
        </w:tc>
        <w:tc>
          <w:tcPr>
            <w:tcW w:type="dxa" w:w="15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M10</w:t>
            </w:r>
          </w:p>
        </w:tc>
      </w:tr>
    </w:tbl>
    <w:p>
      <w:pPr>
        <w:spacing w:after="80" w:before="200"/>
        <w:jc w:val="center"/>
      </w:pPr>
      <w:r>
        <w:rPr>
          <w:rFonts w:ascii="Arial" w:cs="Arial" w:eastAsia="Arial" w:hAnsi="Arial"/>
          <w:color w:val="5A6B85"/>
          <w:sz w:val="16"/>
          <w:szCs w:val="16"/>
        </w:rPr>
        <w:t xml:space="preserve">SUBOP Project · Milestone 6 · Connector Ecosystem Expansion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B85"/>
        <w:sz w:val="15"/>
        <w:szCs w:val="15"/>
      </w:rPr>
      <w:t xml:space="preserve">SUBOP Project · Milestone 6 · Completion Checklist · Page </w:t>
    </w:r>
    <w:r>
      <w:rPr>
        <w:rFonts w:ascii="Arial" w:cs="Arial" w:eastAsia="Arial" w:hAnsi="Arial"/>
        <w:color w:val="5A6B85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bamig41dmkkwnbrneeckd" Type="http://schemas.openxmlformats.org/officeDocument/2006/relationships/hyperlink" Target="https://github.com/Jeylani-2526/subop/actions/runs/36826413529" TargetMode="External"/><Relationship Id="rIdm-vhib8k5nm83vwrloip1" Type="http://schemas.openxmlformats.org/officeDocument/2006/relationships/hyperlink" Target="https://github.com/Jeylani-2526/subop/actions/runs/36826413529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2026-10-02T06:24:06.967Z</dcterms:created>
  <dcterms:modified xsi:type="dcterms:W3CDTF">2026-10-02T06:24:06.973Z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