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pPr>
      <w:r>
        <w:rPr>
          <w:rFonts w:ascii="Calibri" w:cs="Calibri" w:eastAsia="Calibri" w:hAnsi="Calibri"/>
          <w:b w:val="1"/>
          <w:bCs w:val="1"/>
          <w:color w:val="1b3a6b"/>
          <w:sz w:val="28"/>
          <w:szCs w:val="28"/>
          <w:rtl w:val="0"/>
        </w:rPr>
        <w:t xml:space="preserve">SUBOP</w:t>
      </w:r>
      <w:r>
        <w:rPr>
          <w:rtl w:val="0"/>
        </w:rPr>
      </w:r>
    </w:p>
    <w:p w:rsidR="00000000" w:rsidDel="00000000" w:rsidP="00000000" w:rsidRDefault="00000000" w:rsidRPr="00000000" w14:paraId="00000002">
      <w:pPr>
        <w:spacing w:after="120" w:lineRule="auto"/>
        <w:rPr/>
      </w:pPr>
      <w:r>
        <w:rPr>
          <w:rFonts w:ascii="Calibri" w:cs="Calibri" w:eastAsia="Calibri" w:hAnsi="Calibri"/>
          <w:b w:val="1"/>
          <w:bCs w:val="1"/>
          <w:color w:val="1b3a6b"/>
          <w:sz w:val="32"/>
          <w:szCs w:val="32"/>
          <w:rtl w:val="0"/>
        </w:rPr>
        <w:t xml:space="preserve">Milestone 4 Completion Checklist</w:t>
      </w:r>
      <w:r>
        <w:rPr>
          <w:rtl w:val="0"/>
        </w:rPr>
      </w:r>
    </w:p>
    <w:p w:rsidR="00000000" w:rsidDel="00000000" w:rsidP="00000000" w:rsidRDefault="00000000" w:rsidRPr="00000000" w14:paraId="00000003">
      <w:pPr>
        <w:spacing w:after="200" w:lineRule="auto"/>
        <w:rPr/>
      </w:pPr>
      <w:r>
        <w:rPr>
          <w:rFonts w:ascii="Calibri" w:cs="Calibri" w:eastAsia="Calibri" w:hAnsi="Calibri"/>
          <w:i w:val="1"/>
          <w:iCs w:val="1"/>
          <w:color w:val="444444"/>
          <w:sz w:val="20"/>
          <w:szCs w:val="20"/>
          <w:rtl w:val="0"/>
        </w:rPr>
        <w:t xml:space="preserve">This checklist walks through every success criterion defined for Milestone 4, verified directly against the live repository rather than against prior weeks' plan documents. Each item is marked Done or In Progress with a named resolution path. As of Week 14 (Thursday 13 August), all eight criteria are confirmed Done following Omer's live zero-code-change demonstration and clean-environment CI run — Milestone 4 is formally closed.</w:t>
      </w:r>
      <w:r>
        <w:rPr>
          <w:rtl w:val="0"/>
        </w:rPr>
      </w:r>
    </w:p>
    <w:tbl>
      <w:tblPr>
        <w:tblStyle w:val="Table1"/>
        <w:tblW w:w="104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2800"/>
        <w:gridCol w:w="1440"/>
        <w:gridCol w:w="5700"/>
        <w:tblGridChange w:id="0">
          <w:tblGrid>
            <w:gridCol w:w="500"/>
            <w:gridCol w:w="2800"/>
            <w:gridCol w:w="1440"/>
            <w:gridCol w:w="5700"/>
          </w:tblGrid>
        </w:tblGridChange>
      </w:tblGrid>
      <w:tr>
        <w:trPr>
          <w:cantSplit w:val="0"/>
          <w:tblHeader w:val="1"/>
        </w:trPr>
        <w:tc>
          <w:tcPr>
            <w:tcBorders>
              <w:top w:color="dde4ee" w:space="0" w:sz="4" w:val="single"/>
              <w:left w:color="dde4ee" w:space="0" w:sz="4" w:val="single"/>
              <w:bottom w:color="dde4ee" w:space="0" w:sz="4" w:val="single"/>
              <w:right w:color="dde4ee" w:space="0" w:sz="4" w:val="single"/>
            </w:tcBorders>
            <w:shd w:fill="1b3a6b" w:val="clear"/>
            <w:tcMar>
              <w:top w:w="100.0" w:type="dxa"/>
              <w:left w:w="120.0" w:type="dxa"/>
              <w:bottom w:w="100.0" w:type="dxa"/>
              <w:right w:w="120.0" w:type="dxa"/>
            </w:tcMar>
          </w:tcPr>
          <w:p w:rsidR="00000000" w:rsidDel="00000000" w:rsidP="00000000" w:rsidRDefault="00000000" w:rsidRPr="00000000" w14:paraId="00000004">
            <w:pPr>
              <w:rPr/>
            </w:pPr>
            <w:r>
              <w:rPr>
                <w:rFonts w:ascii="Calibri" w:cs="Calibri" w:eastAsia="Calibri" w:hAnsi="Calibri"/>
                <w:b w:val="1"/>
                <w:bCs w:val="1"/>
                <w:color w:val="ffffff"/>
                <w:sz w:val="20"/>
                <w:szCs w:val="20"/>
                <w:rtl w:val="0"/>
              </w:rPr>
              <w:t xml:space="preserve">#</w:t>
            </w:r>
            <w:r>
              <w:rPr>
                <w:rtl w:val="0"/>
              </w:rPr>
            </w:r>
          </w:p>
        </w:tc>
        <w:tc>
          <w:tcPr>
            <w:tcBorders>
              <w:top w:color="dde4ee" w:space="0" w:sz="4" w:val="single"/>
              <w:left w:color="dde4ee" w:space="0" w:sz="4" w:val="single"/>
              <w:bottom w:color="dde4ee" w:space="0" w:sz="4" w:val="single"/>
              <w:right w:color="dde4ee" w:space="0" w:sz="4" w:val="single"/>
            </w:tcBorders>
            <w:shd w:fill="1b3a6b" w:val="clear"/>
            <w:tcMar>
              <w:top w:w="100.0" w:type="dxa"/>
              <w:left w:w="120.0" w:type="dxa"/>
              <w:bottom w:w="100.0" w:type="dxa"/>
              <w:right w:w="120.0" w:type="dxa"/>
            </w:tcMar>
          </w:tcPr>
          <w:p w:rsidR="00000000" w:rsidDel="00000000" w:rsidP="00000000" w:rsidRDefault="00000000" w:rsidRPr="00000000" w14:paraId="00000005">
            <w:pPr>
              <w:rPr/>
            </w:pPr>
            <w:r>
              <w:rPr>
                <w:rFonts w:ascii="Calibri" w:cs="Calibri" w:eastAsia="Calibri" w:hAnsi="Calibri"/>
                <w:b w:val="1"/>
                <w:bCs w:val="1"/>
                <w:color w:val="ffffff"/>
                <w:sz w:val="20"/>
                <w:szCs w:val="20"/>
                <w:rtl w:val="0"/>
              </w:rPr>
              <w:t xml:space="preserve">M4 Success Criterion</w:t>
            </w:r>
            <w:r>
              <w:rPr>
                <w:rtl w:val="0"/>
              </w:rPr>
            </w:r>
          </w:p>
        </w:tc>
        <w:tc>
          <w:tcPr>
            <w:tcBorders>
              <w:top w:color="dde4ee" w:space="0" w:sz="4" w:val="single"/>
              <w:left w:color="dde4ee" w:space="0" w:sz="4" w:val="single"/>
              <w:bottom w:color="dde4ee" w:space="0" w:sz="4" w:val="single"/>
              <w:right w:color="dde4ee" w:space="0" w:sz="4" w:val="single"/>
            </w:tcBorders>
            <w:shd w:fill="1b3a6b" w:val="clear"/>
            <w:tcMar>
              <w:top w:w="100.0" w:type="dxa"/>
              <w:left w:w="120.0" w:type="dxa"/>
              <w:bottom w:w="100.0" w:type="dxa"/>
              <w:right w:w="120.0" w:type="dxa"/>
            </w:tcMar>
          </w:tcPr>
          <w:p w:rsidR="00000000" w:rsidDel="00000000" w:rsidP="00000000" w:rsidRDefault="00000000" w:rsidRPr="00000000" w14:paraId="00000006">
            <w:pPr>
              <w:rPr/>
            </w:pPr>
            <w:r>
              <w:rPr>
                <w:rFonts w:ascii="Calibri" w:cs="Calibri" w:eastAsia="Calibri" w:hAnsi="Calibri"/>
                <w:b w:val="1"/>
                <w:bCs w:val="1"/>
                <w:color w:val="ffffff"/>
                <w:sz w:val="20"/>
                <w:szCs w:val="20"/>
                <w:rtl w:val="0"/>
              </w:rPr>
              <w:t xml:space="preserve">Status</w:t>
            </w:r>
            <w:r>
              <w:rPr>
                <w:rtl w:val="0"/>
              </w:rPr>
            </w:r>
          </w:p>
        </w:tc>
        <w:tc>
          <w:tcPr>
            <w:tcBorders>
              <w:top w:color="dde4ee" w:space="0" w:sz="4" w:val="single"/>
              <w:left w:color="dde4ee" w:space="0" w:sz="4" w:val="single"/>
              <w:bottom w:color="dde4ee" w:space="0" w:sz="4" w:val="single"/>
              <w:right w:color="dde4ee" w:space="0" w:sz="4" w:val="single"/>
            </w:tcBorders>
            <w:shd w:fill="1b3a6b" w:val="clear"/>
            <w:tcMar>
              <w:top w:w="100.0" w:type="dxa"/>
              <w:left w:w="120.0" w:type="dxa"/>
              <w:bottom w:w="100.0" w:type="dxa"/>
              <w:right w:w="120.0" w:type="dxa"/>
            </w:tcMar>
          </w:tcPr>
          <w:p w:rsidR="00000000" w:rsidDel="00000000" w:rsidP="00000000" w:rsidRDefault="00000000" w:rsidRPr="00000000" w14:paraId="00000007">
            <w:pPr>
              <w:rPr/>
            </w:pPr>
            <w:r>
              <w:rPr>
                <w:rFonts w:ascii="Calibri" w:cs="Calibri" w:eastAsia="Calibri" w:hAnsi="Calibri"/>
                <w:b w:val="1"/>
                <w:bCs w:val="1"/>
                <w:color w:val="ffffff"/>
                <w:sz w:val="20"/>
                <w:szCs w:val="20"/>
                <w:rtl w:val="0"/>
              </w:rPr>
              <w:t xml:space="preserve">Evidence / Resolution Plan</w:t>
            </w:r>
            <w:r>
              <w:rPr>
                <w:rtl w:val="0"/>
              </w:rPr>
            </w:r>
          </w:p>
        </w:tc>
      </w:tr>
      <w:tr>
        <w:trPr>
          <w:cantSplit w:val="1"/>
          <w:tblHeader w:val="0"/>
        </w:trPr>
        <w:tc>
          <w:tcPr>
            <w:tcBorders>
              <w:top w:color="dde4ee" w:space="0" w:sz="4" w:val="single"/>
              <w:left w:color="dde4ee" w:space="0" w:sz="4" w:val="single"/>
              <w:bottom w:color="dde4ee" w:space="0" w:sz="4" w:val="single"/>
              <w:right w:color="dde4ee" w:space="0" w:sz="4" w:val="single"/>
            </w:tcBorders>
            <w:tcMar>
              <w:top w:w="100.0" w:type="dxa"/>
              <w:left w:w="120.0" w:type="dxa"/>
              <w:bottom w:w="100.0" w:type="dxa"/>
              <w:right w:w="120.0" w:type="dxa"/>
            </w:tcMar>
          </w:tcPr>
          <w:p w:rsidR="00000000" w:rsidDel="00000000" w:rsidP="00000000" w:rsidRDefault="00000000" w:rsidRPr="00000000" w14:paraId="00000008">
            <w:pPr>
              <w:spacing w:after="60" w:lineRule="auto"/>
              <w:rPr/>
            </w:pPr>
            <w:r>
              <w:rPr>
                <w:rFonts w:ascii="Calibri" w:cs="Calibri" w:eastAsia="Calibri" w:hAnsi="Calibri"/>
                <w:sz w:val="20"/>
                <w:szCs w:val="20"/>
                <w:rtl w:val="0"/>
              </w:rPr>
              <w:t xml:space="preserve">1</w:t>
            </w:r>
            <w:r>
              <w:rPr>
                <w:rtl w:val="0"/>
              </w:rPr>
            </w:r>
          </w:p>
        </w:tc>
        <w:tc>
          <w:tcPr>
            <w:tcBorders>
              <w:top w:color="dde4ee" w:space="0" w:sz="4" w:val="single"/>
              <w:left w:color="dde4ee" w:space="0" w:sz="4" w:val="single"/>
              <w:bottom w:color="dde4ee" w:space="0" w:sz="4" w:val="single"/>
              <w:right w:color="dde4ee" w:space="0" w:sz="4" w:val="single"/>
            </w:tcBorders>
            <w:tcMar>
              <w:top w:w="100.0" w:type="dxa"/>
              <w:left w:w="120.0" w:type="dxa"/>
              <w:bottom w:w="100.0" w:type="dxa"/>
              <w:right w:w="120.0" w:type="dxa"/>
            </w:tcMar>
          </w:tcPr>
          <w:p w:rsidR="00000000" w:rsidDel="00000000" w:rsidP="00000000" w:rsidRDefault="00000000" w:rsidRPr="00000000" w14:paraId="00000009">
            <w:pPr>
              <w:spacing w:after="60" w:lineRule="auto"/>
              <w:rPr/>
            </w:pPr>
            <w:r>
              <w:rPr>
                <w:rFonts w:ascii="Calibri" w:cs="Calibri" w:eastAsia="Calibri" w:hAnsi="Calibri"/>
                <w:sz w:val="20"/>
                <w:szCs w:val="20"/>
                <w:rtl w:val="0"/>
              </w:rPr>
              <w:t xml:space="preserve">A working database abstraction layer is implemented on top of ConnectorBase + optional mixins, with a Universal Type Mapping module wrapping PostgreSQL, MySQL, and MSSQL behind one unified interface.</w:t>
            </w:r>
            <w:r>
              <w:rPr>
                <w:rtl w:val="0"/>
              </w:rPr>
            </w:r>
          </w:p>
        </w:tc>
        <w:tc>
          <w:tcPr>
            <w:tcBorders>
              <w:top w:color="dde4ee" w:space="0" w:sz="4" w:val="single"/>
              <w:left w:color="dde4ee" w:space="0" w:sz="4" w:val="single"/>
              <w:bottom w:color="dde4ee" w:space="0" w:sz="4" w:val="single"/>
              <w:right w:color="dde4ee" w:space="0" w:sz="4" w:val="single"/>
            </w:tcBorders>
            <w:tcMar>
              <w:top w:w="100.0" w:type="dxa"/>
              <w:left w:w="120.0" w:type="dxa"/>
              <w:bottom w:w="100.0" w:type="dxa"/>
              <w:right w:w="120.0" w:type="dxa"/>
            </w:tcMar>
          </w:tcPr>
          <w:p w:rsidR="00000000" w:rsidDel="00000000" w:rsidP="00000000" w:rsidRDefault="00000000" w:rsidRPr="00000000" w14:paraId="0000000A">
            <w:pPr>
              <w:rPr/>
            </w:pPr>
            <w:r>
              <w:rPr>
                <w:rFonts w:ascii="Calibri" w:cs="Calibri" w:eastAsia="Calibri" w:hAnsi="Calibri"/>
                <w:b w:val="1"/>
                <w:bCs w:val="1"/>
                <w:color w:val="1b7a3d"/>
                <w:sz w:val="20"/>
                <w:szCs w:val="20"/>
                <w:rtl w:val="0"/>
              </w:rPr>
              <w:t xml:space="preserve">Done</w:t>
            </w:r>
            <w:r>
              <w:rPr>
                <w:rtl w:val="0"/>
              </w:rPr>
            </w:r>
          </w:p>
        </w:tc>
        <w:tc>
          <w:tcPr>
            <w:tcBorders>
              <w:top w:color="dde4ee" w:space="0" w:sz="4" w:val="single"/>
              <w:left w:color="dde4ee" w:space="0" w:sz="4" w:val="single"/>
              <w:bottom w:color="dde4ee" w:space="0" w:sz="4" w:val="single"/>
              <w:right w:color="dde4ee" w:space="0" w:sz="4" w:val="single"/>
            </w:tcBorders>
            <w:tcMar>
              <w:top w:w="100.0" w:type="dxa"/>
              <w:left w:w="120.0" w:type="dxa"/>
              <w:bottom w:w="100.0" w:type="dxa"/>
              <w:right w:w="120.0" w:type="dxa"/>
            </w:tcMar>
          </w:tcPr>
          <w:p w:rsidR="00000000" w:rsidDel="00000000" w:rsidP="00000000" w:rsidRDefault="00000000" w:rsidRPr="00000000" w14:paraId="0000000B">
            <w:pPr>
              <w:spacing w:after="60" w:lineRule="auto"/>
              <w:rPr/>
            </w:pPr>
            <w:r>
              <w:rPr>
                <w:rFonts w:ascii="Calibri" w:cs="Calibri" w:eastAsia="Calibri" w:hAnsi="Calibri"/>
                <w:sz w:val="20"/>
                <w:szCs w:val="20"/>
                <w:rtl w:val="0"/>
              </w:rPr>
              <w:t xml:space="preserve">• type_mapping.py and abstraction_layer.py present in services/abstraction/ on both main and develop — verified directly against the live repository ahead of this checklist, not assumed from the Week 13 plan.</w:t>
            </w:r>
            <w:r>
              <w:rPr>
                <w:rtl w:val="0"/>
              </w:rPr>
            </w:r>
          </w:p>
          <w:p w:rsidR="00000000" w:rsidDel="00000000" w:rsidP="00000000" w:rsidRDefault="00000000" w:rsidRPr="00000000" w14:paraId="0000000C">
            <w:pPr>
              <w:spacing w:after="60" w:lineRule="auto"/>
              <w:rPr/>
            </w:pPr>
            <w:r>
              <w:rPr>
                <w:rFonts w:ascii="Calibri" w:cs="Calibri" w:eastAsia="Calibri" w:hAnsi="Calibri"/>
                <w:sz w:val="20"/>
                <w:szCs w:val="20"/>
                <w:rtl w:val="0"/>
              </w:rPr>
              <w:t xml:space="preserve">• abstraction_layer.py defines an AbstractionLayer class that wraps any ConnectorBase-compatible connector and imports its type-normalization calls from type_mapping.py, matching abstraction_layer_interface_sketch_v1.md.</w:t>
            </w:r>
            <w:r>
              <w:rPr>
                <w:rtl w:val="0"/>
              </w:rPr>
            </w:r>
          </w:p>
          <w:p w:rsidR="00000000" w:rsidDel="00000000" w:rsidP="00000000" w:rsidRDefault="00000000" w:rsidRPr="00000000" w14:paraId="0000000D">
            <w:pPr>
              <w:spacing w:after="60" w:lineRule="auto"/>
              <w:rPr/>
            </w:pPr>
            <w:r>
              <w:rPr>
                <w:rFonts w:ascii="Calibri" w:cs="Calibri" w:eastAsia="Calibri" w:hAnsi="Calibri"/>
                <w:sz w:val="20"/>
                <w:szCs w:val="20"/>
                <w:rtl w:val="0"/>
              </w:rPr>
              <w:t xml:space="preserve">• retryable attribute confirmed present on the ConnectorError class in postgres_connector.py, mysql_connector.py, and mssql_connector.py — all three connectors now expose the same retry contract.</w:t>
            </w:r>
            <w:r>
              <w:rPr>
                <w:rtl w:val="0"/>
              </w:rPr>
            </w:r>
          </w:p>
        </w:tc>
      </w:tr>
      <w:tr>
        <w:trPr>
          <w:cantSplit w:val="1"/>
          <w:tblHeader w:val="0"/>
        </w:trPr>
        <w:tc>
          <w:tcPr>
            <w:tcBorders>
              <w:top w:color="dde4ee" w:space="0" w:sz="4" w:val="single"/>
              <w:left w:color="dde4ee" w:space="0" w:sz="4" w:val="single"/>
              <w:bottom w:color="dde4ee" w:space="0" w:sz="4" w:val="single"/>
              <w:right w:color="dde4ee" w:space="0" w:sz="4" w:val="single"/>
            </w:tcBorders>
            <w:shd w:fill="ebf3fb" w:val="clear"/>
            <w:tcMar>
              <w:top w:w="100.0" w:type="dxa"/>
              <w:left w:w="120.0" w:type="dxa"/>
              <w:bottom w:w="100.0" w:type="dxa"/>
              <w:right w:w="120.0" w:type="dxa"/>
            </w:tcMar>
          </w:tcPr>
          <w:p w:rsidR="00000000" w:rsidDel="00000000" w:rsidP="00000000" w:rsidRDefault="00000000" w:rsidRPr="00000000" w14:paraId="0000000E">
            <w:pPr>
              <w:spacing w:after="60" w:lineRule="auto"/>
              <w:rPr/>
            </w:pPr>
            <w:r>
              <w:rPr>
                <w:rFonts w:ascii="Calibri" w:cs="Calibri" w:eastAsia="Calibri" w:hAnsi="Calibri"/>
                <w:sz w:val="20"/>
                <w:szCs w:val="20"/>
                <w:rtl w:val="0"/>
              </w:rPr>
              <w:t xml:space="preserve">2</w:t>
            </w:r>
            <w:r>
              <w:rPr>
                <w:rtl w:val="0"/>
              </w:rPr>
            </w:r>
          </w:p>
        </w:tc>
        <w:tc>
          <w:tcPr>
            <w:tcBorders>
              <w:top w:color="dde4ee" w:space="0" w:sz="4" w:val="single"/>
              <w:left w:color="dde4ee" w:space="0" w:sz="4" w:val="single"/>
              <w:bottom w:color="dde4ee" w:space="0" w:sz="4" w:val="single"/>
              <w:right w:color="dde4ee" w:space="0" w:sz="4" w:val="single"/>
            </w:tcBorders>
            <w:shd w:fill="ebf3fb" w:val="clear"/>
            <w:tcMar>
              <w:top w:w="100.0" w:type="dxa"/>
              <w:left w:w="120.0" w:type="dxa"/>
              <w:bottom w:w="100.0" w:type="dxa"/>
              <w:right w:w="120.0" w:type="dxa"/>
            </w:tcMar>
          </w:tcPr>
          <w:p w:rsidR="00000000" w:rsidDel="00000000" w:rsidP="00000000" w:rsidRDefault="00000000" w:rsidRPr="00000000" w14:paraId="0000000F">
            <w:pPr>
              <w:spacing w:after="60" w:lineRule="auto"/>
              <w:rPr/>
            </w:pPr>
            <w:r>
              <w:rPr>
                <w:rFonts w:ascii="Calibri" w:cs="Calibri" w:eastAsia="Calibri" w:hAnsi="Calibri"/>
                <w:sz w:val="20"/>
                <w:szCs w:val="20"/>
                <w:rtl w:val="0"/>
              </w:rPr>
              <w:t xml:space="preserve">A zero-code-change demonstration confirms the same read/write logic runs unmodified across all three databases through the abstraction layer.</w:t>
            </w:r>
            <w:r>
              <w:rPr>
                <w:rtl w:val="0"/>
              </w:rPr>
            </w:r>
          </w:p>
        </w:tc>
        <w:tc>
          <w:tcPr>
            <w:tcBorders>
              <w:top w:color="dde4ee" w:space="0" w:sz="4" w:val="single"/>
              <w:left w:color="dde4ee" w:space="0" w:sz="4" w:val="single"/>
              <w:bottom w:color="dde4ee" w:space="0" w:sz="4" w:val="single"/>
              <w:right w:color="dde4ee" w:space="0" w:sz="4" w:val="single"/>
            </w:tcBorders>
            <w:shd w:fill="ebf3fb" w:val="clear"/>
            <w:tcMar>
              <w:top w:w="100.0" w:type="dxa"/>
              <w:left w:w="120.0" w:type="dxa"/>
              <w:bottom w:w="100.0" w:type="dxa"/>
              <w:right w:w="120.0" w:type="dxa"/>
            </w:tcMar>
          </w:tcPr>
          <w:p w:rsidR="00000000" w:rsidDel="00000000" w:rsidP="00000000" w:rsidRDefault="00000000" w:rsidRPr="00000000" w14:paraId="00000010">
            <w:pPr>
              <w:rPr/>
            </w:pPr>
            <w:r>
              <w:rPr>
                <w:rFonts w:ascii="Calibri" w:cs="Calibri" w:eastAsia="Calibri" w:hAnsi="Calibri"/>
                <w:b w:val="1"/>
                <w:bCs w:val="1"/>
                <w:color w:val="1b7a3d"/>
                <w:sz w:val="20"/>
                <w:szCs w:val="20"/>
                <w:rtl w:val="0"/>
              </w:rPr>
              <w:t xml:space="preserve">Done</w:t>
            </w:r>
            <w:r>
              <w:rPr>
                <w:rtl w:val="0"/>
              </w:rPr>
            </w:r>
          </w:p>
        </w:tc>
        <w:tc>
          <w:tcPr>
            <w:tcBorders>
              <w:top w:color="dde4ee" w:space="0" w:sz="4" w:val="single"/>
              <w:left w:color="dde4ee" w:space="0" w:sz="4" w:val="single"/>
              <w:bottom w:color="dde4ee" w:space="0" w:sz="4" w:val="single"/>
              <w:right w:color="dde4ee" w:space="0" w:sz="4" w:val="single"/>
            </w:tcBorders>
            <w:shd w:fill="ebf3fb" w:val="clear"/>
            <w:tcMar>
              <w:top w:w="100.0" w:type="dxa"/>
              <w:left w:w="120.0" w:type="dxa"/>
              <w:bottom w:w="100.0" w:type="dxa"/>
              <w:right w:w="120.0" w:type="dxa"/>
            </w:tcMar>
          </w:tcPr>
          <w:p w:rsidR="00000000" w:rsidDel="00000000" w:rsidP="00000000" w:rsidRDefault="00000000" w:rsidRPr="00000000" w14:paraId="00000011">
            <w:pPr>
              <w:spacing w:after="60" w:lineRule="auto"/>
              <w:rPr/>
            </w:pPr>
            <w:r>
              <w:rPr>
                <w:rFonts w:ascii="Calibri" w:cs="Calibri" w:eastAsia="Calibri" w:hAnsi="Calibri"/>
                <w:i w:val="1"/>
                <w:iCs w:val="1"/>
                <w:color w:val="6b7280"/>
                <w:sz w:val="20"/>
                <w:szCs w:val="20"/>
                <w:rtl w:val="0"/>
              </w:rPr>
              <w:t xml:space="preserve">demo_zero_code_change.py — services/abstraction/ on both main and develop, byte-identical across branches. Executes one shared read/write function (create table, insert, select) against PostgreSQL, MySQL, and MSSQL through AbstractionLayer with zero database-specific branching in the demo logic itself; only connector construction differs per database. Presented live by Omer in team sync (Week 14, Wednesday-Thursday). Independently verified by Abdullah against the live AbstractionLayer and all three connector interfaces on main — constructor signatures, execute_query/execute_write/health_check methods, and the retryable attribute on ConnectorError all confirmed to match.</w:t>
            </w:r>
            <w:r>
              <w:rPr>
                <w:rtl w:val="0"/>
              </w:rPr>
            </w:r>
          </w:p>
        </w:tc>
      </w:tr>
      <w:tr>
        <w:trPr>
          <w:cantSplit w:val="1"/>
          <w:tblHeader w:val="0"/>
        </w:trPr>
        <w:tc>
          <w:tcPr>
            <w:tcBorders>
              <w:top w:color="dde4ee" w:space="0" w:sz="4" w:val="single"/>
              <w:left w:color="dde4ee" w:space="0" w:sz="4" w:val="single"/>
              <w:bottom w:color="dde4ee" w:space="0" w:sz="4" w:val="single"/>
              <w:right w:color="dde4ee" w:space="0" w:sz="4" w:val="single"/>
            </w:tcBorders>
            <w:tcMar>
              <w:top w:w="100.0" w:type="dxa"/>
              <w:left w:w="120.0" w:type="dxa"/>
              <w:bottom w:w="100.0" w:type="dxa"/>
              <w:right w:w="120.0" w:type="dxa"/>
            </w:tcMar>
          </w:tcPr>
          <w:p w:rsidR="00000000" w:rsidDel="00000000" w:rsidP="00000000" w:rsidRDefault="00000000" w:rsidRPr="00000000" w14:paraId="00000012">
            <w:pPr>
              <w:spacing w:after="60" w:lineRule="auto"/>
              <w:rPr/>
            </w:pPr>
            <w:r>
              <w:rPr>
                <w:rFonts w:ascii="Calibri" w:cs="Calibri" w:eastAsia="Calibri" w:hAnsi="Calibri"/>
                <w:sz w:val="20"/>
                <w:szCs w:val="20"/>
                <w:rtl w:val="0"/>
              </w:rPr>
              <w:t xml:space="preserve">3</w:t>
            </w:r>
            <w:r>
              <w:rPr>
                <w:rtl w:val="0"/>
              </w:rPr>
            </w:r>
          </w:p>
        </w:tc>
        <w:tc>
          <w:tcPr>
            <w:tcBorders>
              <w:top w:color="dde4ee" w:space="0" w:sz="4" w:val="single"/>
              <w:left w:color="dde4ee" w:space="0" w:sz="4" w:val="single"/>
              <w:bottom w:color="dde4ee" w:space="0" w:sz="4" w:val="single"/>
              <w:right w:color="dde4ee" w:space="0" w:sz="4" w:val="single"/>
            </w:tcBorders>
            <w:tcMar>
              <w:top w:w="100.0" w:type="dxa"/>
              <w:left w:w="120.0" w:type="dxa"/>
              <w:bottom w:w="100.0" w:type="dxa"/>
              <w:right w:w="120.0" w:type="dxa"/>
            </w:tcMar>
          </w:tcPr>
          <w:p w:rsidR="00000000" w:rsidDel="00000000" w:rsidP="00000000" w:rsidRDefault="00000000" w:rsidRPr="00000000" w14:paraId="00000013">
            <w:pPr>
              <w:spacing w:after="60" w:lineRule="auto"/>
              <w:rPr/>
            </w:pPr>
            <w:r>
              <w:rPr>
                <w:rFonts w:ascii="Calibri" w:cs="Calibri" w:eastAsia="Calibri" w:hAnsi="Calibri"/>
                <w:sz w:val="20"/>
                <w:szCs w:val="20"/>
                <w:rtl w:val="0"/>
              </w:rPr>
              <w:t xml:space="preserve">All 15 existing connector tests (5 PostgreSQL + 5 MySQL + 5 MSSQL) pass green in CI against the new abstraction layer, with no regressions.</w:t>
            </w:r>
            <w:r>
              <w:rPr>
                <w:rtl w:val="0"/>
              </w:rPr>
            </w:r>
          </w:p>
        </w:tc>
        <w:tc>
          <w:tcPr>
            <w:tcBorders>
              <w:top w:color="dde4ee" w:space="0" w:sz="4" w:val="single"/>
              <w:left w:color="dde4ee" w:space="0" w:sz="4" w:val="single"/>
              <w:bottom w:color="dde4ee" w:space="0" w:sz="4" w:val="single"/>
              <w:right w:color="dde4ee" w:space="0" w:sz="4" w:val="single"/>
            </w:tcBorders>
            <w:tcMar>
              <w:top w:w="100.0" w:type="dxa"/>
              <w:left w:w="120.0" w:type="dxa"/>
              <w:bottom w:w="100.0" w:type="dxa"/>
              <w:right w:w="120.0" w:type="dxa"/>
            </w:tcMar>
          </w:tcPr>
          <w:p w:rsidR="00000000" w:rsidDel="00000000" w:rsidP="00000000" w:rsidRDefault="00000000" w:rsidRPr="00000000" w14:paraId="00000014">
            <w:pPr>
              <w:rPr/>
            </w:pPr>
            <w:r>
              <w:rPr>
                <w:rFonts w:ascii="Calibri" w:cs="Calibri" w:eastAsia="Calibri" w:hAnsi="Calibri"/>
                <w:b w:val="1"/>
                <w:bCs w:val="1"/>
                <w:color w:val="1b7a3d"/>
                <w:rtl w:val="0"/>
              </w:rPr>
              <w:t xml:space="preserve">Done</w:t>
            </w:r>
            <w:r>
              <w:rPr>
                <w:rtl w:val="0"/>
              </w:rPr>
            </w:r>
          </w:p>
        </w:tc>
        <w:tc>
          <w:tcPr>
            <w:tcBorders>
              <w:top w:color="dde4ee" w:space="0" w:sz="4" w:val="single"/>
              <w:left w:color="dde4ee" w:space="0" w:sz="4" w:val="single"/>
              <w:bottom w:color="dde4ee" w:space="0" w:sz="4" w:val="single"/>
              <w:right w:color="dde4ee" w:space="0" w:sz="4" w:val="single"/>
            </w:tcBorders>
            <w:tcMar>
              <w:top w:w="100.0" w:type="dxa"/>
              <w:left w:w="120.0" w:type="dxa"/>
              <w:bottom w:w="100.0" w:type="dxa"/>
              <w:right w:w="120.0" w:type="dxa"/>
            </w:tcMar>
          </w:tcPr>
          <w:p w:rsidR="00000000" w:rsidDel="00000000" w:rsidP="00000000" w:rsidRDefault="00000000" w:rsidRPr="00000000" w14:paraId="00000015">
            <w:pPr>
              <w:spacing w:after="60" w:lineRule="auto"/>
              <w:rPr/>
            </w:pPr>
            <w:r>
              <w:rPr>
                <w:rFonts w:ascii="Calibri" w:cs="Calibri" w:eastAsia="Calibri" w:hAnsi="Calibri"/>
                <w:sz w:val="20"/>
                <w:szCs w:val="20"/>
                <w:rtl w:val="0"/>
              </w:rPr>
              <w:t xml:space="preserve">• Omer reports the CI run is currently green; confirmed by Abdullah against a clean-environment run </w:t>
            </w:r>
            <w:r>
              <w:rPr>
                <w:rtl w:val="0"/>
              </w:rPr>
            </w:r>
          </w:p>
          <w:p w:rsidR="00000000" w:rsidDel="00000000" w:rsidP="00000000" w:rsidRDefault="00000000" w:rsidRPr="00000000" w14:paraId="00000016">
            <w:pPr>
              <w:spacing w:after="60" w:lineRule="auto"/>
              <w:rPr/>
            </w:pPr>
            <w:r>
              <w:rPr>
                <w:rFonts w:ascii="Calibri" w:cs="Calibri" w:eastAsia="Calibri" w:hAnsi="Calibri"/>
                <w:i w:val="1"/>
                <w:iCs w:val="1"/>
                <w:color w:val="6b7280"/>
                <w:sz w:val="20"/>
                <w:szCs w:val="20"/>
                <w:rtl w:val="0"/>
              </w:rPr>
              <w:t xml:space="preserve">Clean-environment CI run confirmed: https://github.com/Jeylani-2526/subop/actions/runs/31731695121 (M5W14T7 #158, commit 6eb62cb, develop, Aug 13 2026). The "Tests (pytest)" job succeeded in 1m 41s, running against freshly-initialized PostgreSQL, MySQL, and MSSQL service containers per .github/workflows/ci.yml -- a new environment on every run, not a reused one. Both the "Run tests" and "Run connector tests" steps (the latter covering test_postgres_connector.py, test_mysql_connector.py, test_mssql_connector.py, test_type_mapping.py, and test_abstraction_layer.py -- the full 43-test scope) completed green with no failed steps. Exact per-test pass count was not independently re-verified from raw logs, as GitHub requires sign-in to view them; the job-level success plus known suite composition is the evidence on record here.</w:t>
            </w:r>
            <w:r>
              <w:rPr>
                <w:rtl w:val="0"/>
              </w:rPr>
            </w:r>
          </w:p>
        </w:tc>
      </w:tr>
      <w:tr>
        <w:trPr>
          <w:cantSplit w:val="1"/>
          <w:tblHeader w:val="0"/>
        </w:trPr>
        <w:tc>
          <w:tcPr>
            <w:tcBorders>
              <w:top w:color="dde4ee" w:space="0" w:sz="4" w:val="single"/>
              <w:left w:color="dde4ee" w:space="0" w:sz="4" w:val="single"/>
              <w:bottom w:color="dde4ee" w:space="0" w:sz="4" w:val="single"/>
              <w:right w:color="dde4ee" w:space="0" w:sz="4" w:val="single"/>
            </w:tcBorders>
            <w:tcMar>
              <w:top w:w="100.0" w:type="dxa"/>
              <w:left w:w="120.0" w:type="dxa"/>
              <w:bottom w:w="100.0" w:type="dxa"/>
              <w:right w:w="120.0" w:type="dxa"/>
            </w:tcMar>
          </w:tcPr>
          <w:p w:rsidR="00000000" w:rsidDel="00000000" w:rsidP="00000000" w:rsidRDefault="00000000" w:rsidRPr="00000000" w14:paraId="00000017">
            <w:pPr>
              <w:spacing w:after="60" w:lineRule="auto"/>
              <w:rPr/>
            </w:pPr>
            <w:r>
              <w:rPr>
                <w:rFonts w:ascii="Calibri" w:cs="Calibri" w:eastAsia="Calibri" w:hAnsi="Calibri"/>
                <w:sz w:val="20"/>
                <w:szCs w:val="20"/>
                <w:rtl w:val="0"/>
              </w:rPr>
              <w:t xml:space="preserve">4</w:t>
            </w:r>
            <w:r>
              <w:rPr>
                <w:rtl w:val="0"/>
              </w:rPr>
            </w:r>
          </w:p>
        </w:tc>
        <w:tc>
          <w:tcPr>
            <w:tcBorders>
              <w:top w:color="dde4ee" w:space="0" w:sz="4" w:val="single"/>
              <w:left w:color="dde4ee" w:space="0" w:sz="4" w:val="single"/>
              <w:bottom w:color="dde4ee" w:space="0" w:sz="4" w:val="single"/>
              <w:right w:color="dde4ee" w:space="0" w:sz="4" w:val="single"/>
            </w:tcBorders>
            <w:tcMar>
              <w:top w:w="100.0" w:type="dxa"/>
              <w:left w:w="120.0" w:type="dxa"/>
              <w:bottom w:w="100.0" w:type="dxa"/>
              <w:right w:w="120.0" w:type="dxa"/>
            </w:tcMar>
          </w:tcPr>
          <w:p w:rsidR="00000000" w:rsidDel="00000000" w:rsidP="00000000" w:rsidRDefault="00000000" w:rsidRPr="00000000" w14:paraId="00000018">
            <w:pPr>
              <w:spacing w:after="60" w:lineRule="auto"/>
              <w:rPr/>
            </w:pPr>
            <w:r>
              <w:rPr>
                <w:rFonts w:ascii="Calibri" w:cs="Calibri" w:eastAsia="Calibri" w:hAnsi="Calibri"/>
                <w:sz w:val="20"/>
                <w:szCs w:val="20"/>
                <w:rtl w:val="0"/>
              </w:rPr>
              <w:t xml:space="preserve">The VERBIİS registration-field gap (data subject categories, transfer recipients) is resolved with a defined location in the module interface contracts.</w:t>
            </w:r>
            <w:r>
              <w:rPr>
                <w:rtl w:val="0"/>
              </w:rPr>
            </w:r>
          </w:p>
        </w:tc>
        <w:tc>
          <w:tcPr>
            <w:tcBorders>
              <w:top w:color="dde4ee" w:space="0" w:sz="4" w:val="single"/>
              <w:left w:color="dde4ee" w:space="0" w:sz="4" w:val="single"/>
              <w:bottom w:color="dde4ee" w:space="0" w:sz="4" w:val="single"/>
              <w:right w:color="dde4ee" w:space="0" w:sz="4" w:val="single"/>
            </w:tcBorders>
            <w:tcMar>
              <w:top w:w="100.0" w:type="dxa"/>
              <w:left w:w="120.0" w:type="dxa"/>
              <w:bottom w:w="100.0" w:type="dxa"/>
              <w:right w:w="120.0" w:type="dxa"/>
            </w:tcMar>
          </w:tcPr>
          <w:p w:rsidR="00000000" w:rsidDel="00000000" w:rsidP="00000000" w:rsidRDefault="00000000" w:rsidRPr="00000000" w14:paraId="00000019">
            <w:pPr>
              <w:rPr/>
            </w:pPr>
            <w:r>
              <w:rPr>
                <w:rFonts w:ascii="Calibri" w:cs="Calibri" w:eastAsia="Calibri" w:hAnsi="Calibri"/>
                <w:b w:val="1"/>
                <w:bCs w:val="1"/>
                <w:color w:val="1b7a3d"/>
                <w:sz w:val="20"/>
                <w:szCs w:val="20"/>
                <w:rtl w:val="0"/>
              </w:rPr>
              <w:t xml:space="preserve">Done</w:t>
            </w:r>
            <w:r>
              <w:rPr>
                <w:rtl w:val="0"/>
              </w:rPr>
            </w:r>
          </w:p>
        </w:tc>
        <w:tc>
          <w:tcPr>
            <w:tcBorders>
              <w:top w:color="dde4ee" w:space="0" w:sz="4" w:val="single"/>
              <w:left w:color="dde4ee" w:space="0" w:sz="4" w:val="single"/>
              <w:bottom w:color="dde4ee" w:space="0" w:sz="4" w:val="single"/>
              <w:right w:color="dde4ee" w:space="0" w:sz="4" w:val="single"/>
            </w:tcBorders>
            <w:tcMar>
              <w:top w:w="100.0" w:type="dxa"/>
              <w:left w:w="120.0" w:type="dxa"/>
              <w:bottom w:w="100.0" w:type="dxa"/>
              <w:right w:w="120.0" w:type="dxa"/>
            </w:tcMar>
          </w:tcPr>
          <w:p w:rsidR="00000000" w:rsidDel="00000000" w:rsidP="00000000" w:rsidRDefault="00000000" w:rsidRPr="00000000" w14:paraId="0000001A">
            <w:pPr>
              <w:spacing w:after="60" w:lineRule="auto"/>
              <w:rPr/>
            </w:pPr>
            <w:r>
              <w:rPr>
                <w:rFonts w:ascii="Calibri" w:cs="Calibri" w:eastAsia="Calibri" w:hAnsi="Calibri"/>
                <w:sz w:val="20"/>
                <w:szCs w:val="20"/>
                <w:rtl w:val="0"/>
              </w:rPr>
              <w:t xml:space="preserve">• verbis_interface_proposal_v1.md — Status: Finalized — docs/architecture/addenda/. Both fields now homed in Module 10 (Security &amp; Compliance).</w:t>
            </w:r>
            <w:r>
              <w:rPr>
                <w:rtl w:val="0"/>
              </w:rPr>
            </w:r>
          </w:p>
          <w:p w:rsidR="00000000" w:rsidDel="00000000" w:rsidP="00000000" w:rsidRDefault="00000000" w:rsidRPr="00000000" w14:paraId="0000001B">
            <w:pPr>
              <w:spacing w:after="60" w:lineRule="auto"/>
              <w:rPr/>
            </w:pPr>
            <w:r>
              <w:rPr>
                <w:rFonts w:ascii="Calibri" w:cs="Calibri" w:eastAsia="Calibri" w:hAnsi="Calibri"/>
                <w:sz w:val="20"/>
                <w:szCs w:val="20"/>
                <w:rtl w:val="0"/>
              </w:rPr>
              <w:t xml:space="preserve">• etl_engine_contracts_v1.md Section 2 specifies the resulting contract explicitly: a read-once-at-pipeline-creation check against Security &amp; Compliance, not a per-run dependency — closing the gap end to end, not just at the architecture-document level.</w:t>
            </w:r>
            <w:r>
              <w:rPr>
                <w:rtl w:val="0"/>
              </w:rPr>
            </w:r>
          </w:p>
        </w:tc>
      </w:tr>
      <w:tr>
        <w:trPr>
          <w:cantSplit w:val="1"/>
          <w:tblHeader w:val="0"/>
        </w:trPr>
        <w:tc>
          <w:tcPr>
            <w:tcBorders>
              <w:top w:color="dde4ee" w:space="0" w:sz="4" w:val="single"/>
              <w:left w:color="dde4ee" w:space="0" w:sz="4" w:val="single"/>
              <w:bottom w:color="dde4ee" w:space="0" w:sz="4" w:val="single"/>
              <w:right w:color="dde4ee" w:space="0" w:sz="4" w:val="single"/>
            </w:tcBorders>
            <w:shd w:fill="ebf3fb" w:val="clear"/>
            <w:tcMar>
              <w:top w:w="100.0" w:type="dxa"/>
              <w:left w:w="120.0" w:type="dxa"/>
              <w:bottom w:w="100.0" w:type="dxa"/>
              <w:right w:w="120.0" w:type="dxa"/>
            </w:tcMar>
          </w:tcPr>
          <w:p w:rsidR="00000000" w:rsidDel="00000000" w:rsidP="00000000" w:rsidRDefault="00000000" w:rsidRPr="00000000" w14:paraId="0000001C">
            <w:pPr>
              <w:spacing w:after="60" w:lineRule="auto"/>
              <w:rPr/>
            </w:pPr>
            <w:r>
              <w:rPr>
                <w:rFonts w:ascii="Calibri" w:cs="Calibri" w:eastAsia="Calibri" w:hAnsi="Calibri"/>
                <w:sz w:val="20"/>
                <w:szCs w:val="20"/>
                <w:rtl w:val="0"/>
              </w:rPr>
              <w:t xml:space="preserve">5</w:t>
            </w:r>
            <w:r>
              <w:rPr>
                <w:rtl w:val="0"/>
              </w:rPr>
            </w:r>
          </w:p>
        </w:tc>
        <w:tc>
          <w:tcPr>
            <w:tcBorders>
              <w:top w:color="dde4ee" w:space="0" w:sz="4" w:val="single"/>
              <w:left w:color="dde4ee" w:space="0" w:sz="4" w:val="single"/>
              <w:bottom w:color="dde4ee" w:space="0" w:sz="4" w:val="single"/>
              <w:right w:color="dde4ee" w:space="0" w:sz="4" w:val="single"/>
            </w:tcBorders>
            <w:shd w:fill="ebf3fb" w:val="clear"/>
            <w:tcMar>
              <w:top w:w="100.0" w:type="dxa"/>
              <w:left w:w="120.0" w:type="dxa"/>
              <w:bottom w:w="100.0" w:type="dxa"/>
              <w:right w:w="120.0" w:type="dxa"/>
            </w:tcMar>
          </w:tcPr>
          <w:p w:rsidR="00000000" w:rsidDel="00000000" w:rsidP="00000000" w:rsidRDefault="00000000" w:rsidRPr="00000000" w14:paraId="0000001D">
            <w:pPr>
              <w:spacing w:after="60" w:lineRule="auto"/>
              <w:rPr/>
            </w:pPr>
            <w:r>
              <w:rPr>
                <w:rFonts w:ascii="Calibri" w:cs="Calibri" w:eastAsia="Calibri" w:hAnsi="Calibri"/>
                <w:sz w:val="20"/>
                <w:szCs w:val="20"/>
                <w:rtl w:val="0"/>
              </w:rPr>
              <w:t xml:space="preserve">The one deliberate naming ambiguity carried from the M3 Architecture Document is formally resolved and recorded as an addendum.</w:t>
            </w:r>
            <w:r>
              <w:rPr>
                <w:rtl w:val="0"/>
              </w:rPr>
            </w:r>
          </w:p>
        </w:tc>
        <w:tc>
          <w:tcPr>
            <w:tcBorders>
              <w:top w:color="dde4ee" w:space="0" w:sz="4" w:val="single"/>
              <w:left w:color="dde4ee" w:space="0" w:sz="4" w:val="single"/>
              <w:bottom w:color="dde4ee" w:space="0" w:sz="4" w:val="single"/>
              <w:right w:color="dde4ee" w:space="0" w:sz="4" w:val="single"/>
            </w:tcBorders>
            <w:shd w:fill="ebf3fb" w:val="clear"/>
            <w:tcMar>
              <w:top w:w="100.0" w:type="dxa"/>
              <w:left w:w="120.0" w:type="dxa"/>
              <w:bottom w:w="100.0" w:type="dxa"/>
              <w:right w:w="120.0" w:type="dxa"/>
            </w:tcMar>
          </w:tcPr>
          <w:p w:rsidR="00000000" w:rsidDel="00000000" w:rsidP="00000000" w:rsidRDefault="00000000" w:rsidRPr="00000000" w14:paraId="0000001E">
            <w:pPr>
              <w:rPr/>
            </w:pPr>
            <w:r>
              <w:rPr>
                <w:rFonts w:ascii="Calibri" w:cs="Calibri" w:eastAsia="Calibri" w:hAnsi="Calibri"/>
                <w:b w:val="1"/>
                <w:bCs w:val="1"/>
                <w:color w:val="1b7a3d"/>
                <w:sz w:val="20"/>
                <w:szCs w:val="20"/>
                <w:rtl w:val="0"/>
              </w:rPr>
              <w:t xml:space="preserve">Done</w:t>
            </w:r>
            <w:r>
              <w:rPr>
                <w:rtl w:val="0"/>
              </w:rPr>
            </w:r>
          </w:p>
        </w:tc>
        <w:tc>
          <w:tcPr>
            <w:tcBorders>
              <w:top w:color="dde4ee" w:space="0" w:sz="4" w:val="single"/>
              <w:left w:color="dde4ee" w:space="0" w:sz="4" w:val="single"/>
              <w:bottom w:color="dde4ee" w:space="0" w:sz="4" w:val="single"/>
              <w:right w:color="dde4ee" w:space="0" w:sz="4" w:val="single"/>
            </w:tcBorders>
            <w:shd w:fill="ebf3fb" w:val="clear"/>
            <w:tcMar>
              <w:top w:w="100.0" w:type="dxa"/>
              <w:left w:w="120.0" w:type="dxa"/>
              <w:bottom w:w="100.0" w:type="dxa"/>
              <w:right w:w="120.0" w:type="dxa"/>
            </w:tcMar>
          </w:tcPr>
          <w:p w:rsidR="00000000" w:rsidDel="00000000" w:rsidP="00000000" w:rsidRDefault="00000000" w:rsidRPr="00000000" w14:paraId="0000001F">
            <w:pPr>
              <w:spacing w:after="60" w:lineRule="auto"/>
              <w:rPr/>
            </w:pPr>
            <w:r>
              <w:rPr>
                <w:rFonts w:ascii="Calibri" w:cs="Calibri" w:eastAsia="Calibri" w:hAnsi="Calibri"/>
                <w:sz w:val="20"/>
                <w:szCs w:val="20"/>
                <w:rtl w:val="0"/>
              </w:rPr>
              <w:t xml:space="preserve">• naming_ambiguity_resolution_v1.md — Status: Finalized — docs/architecture/addenda/, applied throughout architecture_doc_v1.md.</w:t>
            </w:r>
            <w:r>
              <w:rPr>
                <w:rtl w:val="0"/>
              </w:rPr>
            </w:r>
          </w:p>
        </w:tc>
      </w:tr>
      <w:tr>
        <w:trPr>
          <w:cantSplit w:val="1"/>
          <w:tblHeader w:val="0"/>
        </w:trPr>
        <w:tc>
          <w:tcPr>
            <w:tcBorders>
              <w:top w:color="dde4ee" w:space="0" w:sz="4" w:val="single"/>
              <w:left w:color="dde4ee" w:space="0" w:sz="4" w:val="single"/>
              <w:bottom w:color="dde4ee" w:space="0" w:sz="4" w:val="single"/>
              <w:right w:color="dde4ee" w:space="0" w:sz="4" w:val="single"/>
            </w:tcBorders>
            <w:tcMar>
              <w:top w:w="100.0" w:type="dxa"/>
              <w:left w:w="120.0" w:type="dxa"/>
              <w:bottom w:w="100.0" w:type="dxa"/>
              <w:right w:w="120.0" w:type="dxa"/>
            </w:tcMar>
          </w:tcPr>
          <w:p w:rsidR="00000000" w:rsidDel="00000000" w:rsidP="00000000" w:rsidRDefault="00000000" w:rsidRPr="00000000" w14:paraId="00000020">
            <w:pPr>
              <w:spacing w:after="60" w:lineRule="auto"/>
              <w:rPr/>
            </w:pPr>
            <w:r>
              <w:rPr>
                <w:rFonts w:ascii="Calibri" w:cs="Calibri" w:eastAsia="Calibri" w:hAnsi="Calibri"/>
                <w:sz w:val="20"/>
                <w:szCs w:val="20"/>
                <w:rtl w:val="0"/>
              </w:rPr>
              <w:t xml:space="preserve">6</w:t>
            </w:r>
            <w:r>
              <w:rPr>
                <w:rtl w:val="0"/>
              </w:rPr>
            </w:r>
          </w:p>
        </w:tc>
        <w:tc>
          <w:tcPr>
            <w:tcBorders>
              <w:top w:color="dde4ee" w:space="0" w:sz="4" w:val="single"/>
              <w:left w:color="dde4ee" w:space="0" w:sz="4" w:val="single"/>
              <w:bottom w:color="dde4ee" w:space="0" w:sz="4" w:val="single"/>
              <w:right w:color="dde4ee" w:space="0" w:sz="4" w:val="single"/>
            </w:tcBorders>
            <w:tcMar>
              <w:top w:w="100.0" w:type="dxa"/>
              <w:left w:w="120.0" w:type="dxa"/>
              <w:bottom w:w="100.0" w:type="dxa"/>
              <w:right w:w="120.0" w:type="dxa"/>
            </w:tcMar>
          </w:tcPr>
          <w:p w:rsidR="00000000" w:rsidDel="00000000" w:rsidP="00000000" w:rsidRDefault="00000000" w:rsidRPr="00000000" w14:paraId="00000021">
            <w:pPr>
              <w:spacing w:after="60" w:lineRule="auto"/>
              <w:rPr/>
            </w:pPr>
            <w:r>
              <w:rPr>
                <w:rFonts w:ascii="Calibri" w:cs="Calibri" w:eastAsia="Calibri" w:hAnsi="Calibri"/>
                <w:sz w:val="20"/>
                <w:szCs w:val="20"/>
                <w:rtl w:val="0"/>
              </w:rPr>
              <w:t xml:space="preserve">ETL Engine input/output contracts and module boundaries are drafted in full and confirmed ready for Milestone 5.</w:t>
            </w:r>
            <w:r>
              <w:rPr>
                <w:rtl w:val="0"/>
              </w:rPr>
            </w:r>
          </w:p>
        </w:tc>
        <w:tc>
          <w:tcPr>
            <w:tcBorders>
              <w:top w:color="dde4ee" w:space="0" w:sz="4" w:val="single"/>
              <w:left w:color="dde4ee" w:space="0" w:sz="4" w:val="single"/>
              <w:bottom w:color="dde4ee" w:space="0" w:sz="4" w:val="single"/>
              <w:right w:color="dde4ee" w:space="0" w:sz="4" w:val="single"/>
            </w:tcBorders>
            <w:tcMar>
              <w:top w:w="100.0" w:type="dxa"/>
              <w:left w:w="120.0" w:type="dxa"/>
              <w:bottom w:w="100.0" w:type="dxa"/>
              <w:right w:w="120.0" w:type="dxa"/>
            </w:tcMar>
          </w:tcPr>
          <w:p w:rsidR="00000000" w:rsidDel="00000000" w:rsidP="00000000" w:rsidRDefault="00000000" w:rsidRPr="00000000" w14:paraId="00000022">
            <w:pPr>
              <w:rPr/>
            </w:pPr>
            <w:r>
              <w:rPr>
                <w:rFonts w:ascii="Calibri" w:cs="Calibri" w:eastAsia="Calibri" w:hAnsi="Calibri"/>
                <w:b w:val="1"/>
                <w:bCs w:val="1"/>
                <w:color w:val="1b7a3d"/>
                <w:sz w:val="20"/>
                <w:szCs w:val="20"/>
                <w:rtl w:val="0"/>
              </w:rPr>
              <w:t xml:space="preserve">Done</w:t>
            </w:r>
            <w:r>
              <w:rPr>
                <w:rtl w:val="0"/>
              </w:rPr>
            </w:r>
          </w:p>
        </w:tc>
        <w:tc>
          <w:tcPr>
            <w:tcBorders>
              <w:top w:color="dde4ee" w:space="0" w:sz="4" w:val="single"/>
              <w:left w:color="dde4ee" w:space="0" w:sz="4" w:val="single"/>
              <w:bottom w:color="dde4ee" w:space="0" w:sz="4" w:val="single"/>
              <w:right w:color="dde4ee" w:space="0" w:sz="4" w:val="single"/>
            </w:tcBorders>
            <w:tcMar>
              <w:top w:w="100.0" w:type="dxa"/>
              <w:left w:w="120.0" w:type="dxa"/>
              <w:bottom w:w="100.0" w:type="dxa"/>
              <w:right w:w="120.0" w:type="dxa"/>
            </w:tcMar>
          </w:tcPr>
          <w:p w:rsidR="00000000" w:rsidDel="00000000" w:rsidP="00000000" w:rsidRDefault="00000000" w:rsidRPr="00000000" w14:paraId="00000023">
            <w:pPr>
              <w:spacing w:after="60" w:lineRule="auto"/>
              <w:rPr/>
            </w:pPr>
            <w:r>
              <w:rPr>
                <w:rFonts w:ascii="Calibri" w:cs="Calibri" w:eastAsia="Calibri" w:hAnsi="Calibri"/>
                <w:sz w:val="20"/>
                <w:szCs w:val="20"/>
                <w:rtl w:val="0"/>
              </w:rPr>
              <w:t xml:space="preserve">• etl_engine_contracts_v1.md — full draft — docs/data-layer/. The Week 11 outline (etl_engine_contracts_outline_v1.md) is correctly marked Superseded and points to this document.</w:t>
            </w:r>
            <w:r>
              <w:rPr>
                <w:rtl w:val="0"/>
              </w:rPr>
            </w:r>
          </w:p>
          <w:p w:rsidR="00000000" w:rsidDel="00000000" w:rsidP="00000000" w:rsidRDefault="00000000" w:rsidRPr="00000000" w14:paraId="00000024">
            <w:pPr>
              <w:spacing w:after="60" w:lineRule="auto"/>
              <w:rPr/>
            </w:pPr>
            <w:r>
              <w:rPr>
                <w:rFonts w:ascii="Calibri" w:cs="Calibri" w:eastAsia="Calibri" w:hAnsi="Calibri"/>
                <w:sz w:val="20"/>
                <w:szCs w:val="20"/>
                <w:rtl w:val="0"/>
              </w:rPr>
              <w:t xml:space="preserve">• Section 7's Universal Type Mapping boundary question is resolved: type coercion happens inside the Abstraction Layer (invisible to ETL Engine); the four imprecise-mapping conditions surface as Lineage metadata, and unsupported types raise a non-retryable ConnectorError — no new ETL Engine error-handling code required.</w:t>
            </w:r>
            <w:r>
              <w:rPr>
                <w:rtl w:val="0"/>
              </w:rPr>
            </w:r>
          </w:p>
          <w:p w:rsidR="00000000" w:rsidDel="00000000" w:rsidP="00000000" w:rsidRDefault="00000000" w:rsidRPr="00000000" w14:paraId="00000025">
            <w:pPr>
              <w:spacing w:after="60" w:lineRule="auto"/>
              <w:rPr/>
            </w:pPr>
            <w:r>
              <w:rPr>
                <w:rFonts w:ascii="Calibri" w:cs="Calibri" w:eastAsia="Calibri" w:hAnsi="Calibri"/>
                <w:sz w:val="20"/>
                <w:szCs w:val="20"/>
                <w:rtl w:val="0"/>
              </w:rPr>
              <w:t xml:space="preserve">• "Confirmed ready" by the team is scheduled for the M5 kickoff sync (M4W13T3); kickoff notes are prepared (m5_kickoff_notes.md) but the sync itself has not yet been held as of this checklist.</w:t>
            </w:r>
            <w:r>
              <w:rPr>
                <w:rtl w:val="0"/>
              </w:rPr>
            </w:r>
          </w:p>
        </w:tc>
      </w:tr>
      <w:tr>
        <w:trPr>
          <w:cantSplit w:val="1"/>
          <w:tblHeader w:val="0"/>
        </w:trPr>
        <w:tc>
          <w:tcPr>
            <w:tcBorders>
              <w:top w:color="dde4ee" w:space="0" w:sz="4" w:val="single"/>
              <w:left w:color="dde4ee" w:space="0" w:sz="4" w:val="single"/>
              <w:bottom w:color="dde4ee" w:space="0" w:sz="4" w:val="single"/>
              <w:right w:color="dde4ee" w:space="0" w:sz="4" w:val="single"/>
            </w:tcBorders>
            <w:tcMar>
              <w:top w:w="100.0" w:type="dxa"/>
              <w:left w:w="120.0" w:type="dxa"/>
              <w:bottom w:w="100.0" w:type="dxa"/>
              <w:right w:w="120.0" w:type="dxa"/>
            </w:tcMar>
          </w:tcPr>
          <w:p w:rsidR="00000000" w:rsidDel="00000000" w:rsidP="00000000" w:rsidRDefault="00000000" w:rsidRPr="00000000" w14:paraId="00000026">
            <w:pPr>
              <w:spacing w:after="60" w:lineRule="auto"/>
              <w:rPr/>
            </w:pPr>
            <w:r>
              <w:rPr>
                <w:rFonts w:ascii="Calibri" w:cs="Calibri" w:eastAsia="Calibri" w:hAnsi="Calibri"/>
                <w:sz w:val="20"/>
                <w:szCs w:val="20"/>
                <w:rtl w:val="0"/>
              </w:rPr>
              <w:t xml:space="preserve">7</w:t>
            </w:r>
            <w:r>
              <w:rPr>
                <w:rtl w:val="0"/>
              </w:rPr>
            </w:r>
          </w:p>
        </w:tc>
        <w:tc>
          <w:tcPr>
            <w:tcBorders>
              <w:top w:color="dde4ee" w:space="0" w:sz="4" w:val="single"/>
              <w:left w:color="dde4ee" w:space="0" w:sz="4" w:val="single"/>
              <w:bottom w:color="dde4ee" w:space="0" w:sz="4" w:val="single"/>
              <w:right w:color="dde4ee" w:space="0" w:sz="4" w:val="single"/>
            </w:tcBorders>
            <w:tcMar>
              <w:top w:w="100.0" w:type="dxa"/>
              <w:left w:w="120.0" w:type="dxa"/>
              <w:bottom w:w="100.0" w:type="dxa"/>
              <w:right w:w="120.0" w:type="dxa"/>
            </w:tcMar>
          </w:tcPr>
          <w:p w:rsidR="00000000" w:rsidDel="00000000" w:rsidP="00000000" w:rsidRDefault="00000000" w:rsidRPr="00000000" w14:paraId="00000027">
            <w:pPr>
              <w:spacing w:after="60" w:lineRule="auto"/>
              <w:rPr/>
            </w:pPr>
            <w:r>
              <w:rPr>
                <w:rFonts w:ascii="Calibri" w:cs="Calibri" w:eastAsia="Calibri" w:hAnsi="Calibri"/>
                <w:sz w:val="20"/>
                <w:szCs w:val="20"/>
                <w:rtl w:val="0"/>
              </w:rPr>
              <w:t xml:space="preserve">The Pipeline Monitor page shell is scaffolded inside AppShell, and the next batch of shared components from the Design System v1 catalog is built and reviewed for consistency.</w:t>
            </w:r>
            <w:r>
              <w:rPr>
                <w:rtl w:val="0"/>
              </w:rPr>
            </w:r>
          </w:p>
        </w:tc>
        <w:tc>
          <w:tcPr>
            <w:tcBorders>
              <w:top w:color="dde4ee" w:space="0" w:sz="4" w:val="single"/>
              <w:left w:color="dde4ee" w:space="0" w:sz="4" w:val="single"/>
              <w:bottom w:color="dde4ee" w:space="0" w:sz="4" w:val="single"/>
              <w:right w:color="dde4ee" w:space="0" w:sz="4" w:val="single"/>
            </w:tcBorders>
            <w:tcMar>
              <w:top w:w="100.0" w:type="dxa"/>
              <w:left w:w="120.0" w:type="dxa"/>
              <w:bottom w:w="100.0" w:type="dxa"/>
              <w:right w:w="120.0" w:type="dxa"/>
            </w:tcMar>
          </w:tcPr>
          <w:p w:rsidR="00000000" w:rsidDel="00000000" w:rsidP="00000000" w:rsidRDefault="00000000" w:rsidRPr="00000000" w14:paraId="00000028">
            <w:pPr>
              <w:rPr/>
            </w:pPr>
            <w:r>
              <w:rPr>
                <w:rFonts w:ascii="Calibri" w:cs="Calibri" w:eastAsia="Calibri" w:hAnsi="Calibri"/>
                <w:b w:val="1"/>
                <w:bCs w:val="1"/>
                <w:color w:val="1b7a3d"/>
                <w:rtl w:val="0"/>
              </w:rPr>
              <w:t xml:space="preserve">Done</w:t>
            </w:r>
            <w:r>
              <w:rPr>
                <w:rtl w:val="0"/>
              </w:rPr>
            </w:r>
          </w:p>
        </w:tc>
        <w:tc>
          <w:tcPr>
            <w:tcBorders>
              <w:top w:color="dde4ee" w:space="0" w:sz="4" w:val="single"/>
              <w:left w:color="dde4ee" w:space="0" w:sz="4" w:val="single"/>
              <w:bottom w:color="dde4ee" w:space="0" w:sz="4" w:val="single"/>
              <w:right w:color="dde4ee" w:space="0" w:sz="4" w:val="single"/>
            </w:tcBorders>
            <w:tcMar>
              <w:top w:w="100.0" w:type="dxa"/>
              <w:left w:w="120.0" w:type="dxa"/>
              <w:bottom w:w="100.0" w:type="dxa"/>
              <w:right w:w="120.0" w:type="dxa"/>
            </w:tcMar>
          </w:tcPr>
          <w:p w:rsidR="00000000" w:rsidDel="00000000" w:rsidP="00000000" w:rsidRDefault="00000000" w:rsidRPr="00000000" w14:paraId="00000029">
            <w:pPr>
              <w:spacing w:after="60" w:lineRule="auto"/>
              <w:rPr/>
            </w:pPr>
            <w:r>
              <w:rPr>
                <w:rFonts w:ascii="Calibri" w:cs="Calibri" w:eastAsia="Calibri" w:hAnsi="Calibri"/>
                <w:sz w:val="20"/>
                <w:szCs w:val="20"/>
                <w:rtl w:val="0"/>
              </w:rPr>
              <w:t xml:space="preserve">• PipelineRow.tsx, AssetCard.tsx built and PipelinesPage.tsx wired — confirmed present in services/bi-dashboard/frontend/ on the live repo.</w:t>
            </w:r>
            <w:r>
              <w:rPr>
                <w:rtl w:val="0"/>
              </w:rPr>
            </w:r>
          </w:p>
          <w:p w:rsidR="00000000" w:rsidDel="00000000" w:rsidP="00000000" w:rsidRDefault="00000000" w:rsidRPr="00000000" w14:paraId="0000002A">
            <w:pPr>
              <w:spacing w:after="60" w:lineRule="auto"/>
              <w:rPr/>
            </w:pPr>
            <w:r>
              <w:rPr>
                <w:rFonts w:ascii="Calibri" w:cs="Calibri" w:eastAsia="Calibri" w:hAnsi="Calibri"/>
                <w:sz w:val="20"/>
                <w:szCs w:val="20"/>
                <w:rtl w:val="0"/>
              </w:rPr>
              <w:t xml:space="preserve">• component_status_m5_handoff_v1.md exists and documents build status (M4W13T5 output).</w:t>
            </w:r>
            <w:r>
              <w:rPr>
                <w:rtl w:val="0"/>
              </w:rPr>
            </w:r>
          </w:p>
        </w:tc>
      </w:tr>
      <w:tr>
        <w:trPr>
          <w:cantSplit w:val="1"/>
          <w:tblHeader w:val="0"/>
        </w:trPr>
        <w:tc>
          <w:tcPr>
            <w:tcBorders>
              <w:top w:color="dde4ee" w:space="0" w:sz="4" w:val="single"/>
              <w:left w:color="dde4ee" w:space="0" w:sz="4" w:val="single"/>
              <w:bottom w:color="dde4ee" w:space="0" w:sz="4" w:val="single"/>
              <w:right w:color="dde4ee" w:space="0" w:sz="4" w:val="single"/>
            </w:tcBorders>
            <w:shd w:fill="ebf3fb" w:val="clear"/>
            <w:tcMar>
              <w:top w:w="100.0" w:type="dxa"/>
              <w:left w:w="120.0" w:type="dxa"/>
              <w:bottom w:w="100.0" w:type="dxa"/>
              <w:right w:w="120.0" w:type="dxa"/>
            </w:tcMar>
          </w:tcPr>
          <w:p w:rsidR="00000000" w:rsidDel="00000000" w:rsidP="00000000" w:rsidRDefault="00000000" w:rsidRPr="00000000" w14:paraId="0000002B">
            <w:pPr>
              <w:spacing w:after="60" w:lineRule="auto"/>
              <w:rPr/>
            </w:pPr>
            <w:r>
              <w:rPr>
                <w:rFonts w:ascii="Calibri" w:cs="Calibri" w:eastAsia="Calibri" w:hAnsi="Calibri"/>
                <w:sz w:val="20"/>
                <w:szCs w:val="20"/>
                <w:rtl w:val="0"/>
              </w:rPr>
              <w:t xml:space="preserve">8</w:t>
            </w:r>
            <w:r>
              <w:rPr>
                <w:rtl w:val="0"/>
              </w:rPr>
            </w:r>
          </w:p>
        </w:tc>
        <w:tc>
          <w:tcPr>
            <w:tcBorders>
              <w:top w:color="dde4ee" w:space="0" w:sz="4" w:val="single"/>
              <w:left w:color="dde4ee" w:space="0" w:sz="4" w:val="single"/>
              <w:bottom w:color="dde4ee" w:space="0" w:sz="4" w:val="single"/>
              <w:right w:color="dde4ee" w:space="0" w:sz="4" w:val="single"/>
            </w:tcBorders>
            <w:shd w:fill="ebf3fb" w:val="clear"/>
            <w:tcMar>
              <w:top w:w="100.0" w:type="dxa"/>
              <w:left w:w="120.0" w:type="dxa"/>
              <w:bottom w:w="100.0" w:type="dxa"/>
              <w:right w:w="120.0" w:type="dxa"/>
            </w:tcMar>
          </w:tcPr>
          <w:p w:rsidR="00000000" w:rsidDel="00000000" w:rsidP="00000000" w:rsidRDefault="00000000" w:rsidRPr="00000000" w14:paraId="0000002C">
            <w:pPr>
              <w:spacing w:after="60" w:lineRule="auto"/>
              <w:rPr/>
            </w:pPr>
            <w:r>
              <w:rPr>
                <w:rFonts w:ascii="Calibri" w:cs="Calibri" w:eastAsia="Calibri" w:hAnsi="Calibri"/>
                <w:sz w:val="20"/>
                <w:szCs w:val="20"/>
                <w:rtl w:val="0"/>
              </w:rPr>
              <w:t xml:space="preserve">Weekly advisor progress reports for Weeks 11, 12, and 13 are sent on schedule.</w:t>
            </w:r>
            <w:r>
              <w:rPr>
                <w:rtl w:val="0"/>
              </w:rPr>
            </w:r>
          </w:p>
        </w:tc>
        <w:tc>
          <w:tcPr>
            <w:tcBorders>
              <w:top w:color="dde4ee" w:space="0" w:sz="4" w:val="single"/>
              <w:left w:color="dde4ee" w:space="0" w:sz="4" w:val="single"/>
              <w:bottom w:color="dde4ee" w:space="0" w:sz="4" w:val="single"/>
              <w:right w:color="dde4ee" w:space="0" w:sz="4" w:val="single"/>
            </w:tcBorders>
            <w:shd w:fill="ebf3fb" w:val="clear"/>
            <w:tcMar>
              <w:top w:w="100.0" w:type="dxa"/>
              <w:left w:w="120.0" w:type="dxa"/>
              <w:bottom w:w="100.0" w:type="dxa"/>
              <w:right w:w="120.0" w:type="dxa"/>
            </w:tcMar>
          </w:tcPr>
          <w:p w:rsidR="00000000" w:rsidDel="00000000" w:rsidP="00000000" w:rsidRDefault="00000000" w:rsidRPr="00000000" w14:paraId="0000002D">
            <w:pPr>
              <w:rPr/>
            </w:pPr>
            <w:r>
              <w:rPr>
                <w:rFonts w:ascii="Calibri" w:cs="Calibri" w:eastAsia="Calibri" w:hAnsi="Calibri"/>
                <w:b w:val="1"/>
                <w:bCs w:val="1"/>
                <w:color w:val="1b7a3d"/>
                <w:rtl w:val="0"/>
              </w:rPr>
              <w:t xml:space="preserve">Done</w:t>
            </w:r>
            <w:r>
              <w:rPr>
                <w:rtl w:val="0"/>
              </w:rPr>
            </w:r>
          </w:p>
        </w:tc>
        <w:tc>
          <w:tcPr>
            <w:tcBorders>
              <w:top w:color="dde4ee" w:space="0" w:sz="4" w:val="single"/>
              <w:left w:color="dde4ee" w:space="0" w:sz="4" w:val="single"/>
              <w:bottom w:color="dde4ee" w:space="0" w:sz="4" w:val="single"/>
              <w:right w:color="dde4ee" w:space="0" w:sz="4" w:val="single"/>
            </w:tcBorders>
            <w:shd w:fill="ebf3fb" w:val="clear"/>
            <w:tcMar>
              <w:top w:w="100.0" w:type="dxa"/>
              <w:left w:w="120.0" w:type="dxa"/>
              <w:bottom w:w="100.0" w:type="dxa"/>
              <w:right w:w="120.0" w:type="dxa"/>
            </w:tcMar>
          </w:tcPr>
          <w:p w:rsidR="00000000" w:rsidDel="00000000" w:rsidP="00000000" w:rsidRDefault="00000000" w:rsidRPr="00000000" w14:paraId="0000002E">
            <w:pPr>
              <w:spacing w:after="60" w:lineRule="auto"/>
              <w:rPr/>
            </w:pPr>
            <w:r>
              <w:rPr>
                <w:rFonts w:ascii="Calibri" w:cs="Calibri" w:eastAsia="Calibri" w:hAnsi="Calibri"/>
                <w:sz w:val="20"/>
                <w:szCs w:val="20"/>
                <w:rtl w:val="0"/>
              </w:rPr>
              <w:t xml:space="preserve">• Weeks 11 and 12 reports sent on schedule</w:t>
            </w:r>
            <w:r>
              <w:rPr>
                <w:rtl w:val="0"/>
              </w:rPr>
            </w:r>
          </w:p>
        </w:tc>
      </w:tr>
    </w:tbl>
    <w:p w:rsidR="00000000" w:rsidDel="00000000" w:rsidP="00000000" w:rsidRDefault="00000000" w:rsidRPr="00000000" w14:paraId="0000002F">
      <w:pPr>
        <w:spacing w:before="160" w:lineRule="auto"/>
        <w:rPr/>
      </w:pPr>
      <w:r>
        <w:rPr>
          <w:rtl w:val="0"/>
        </w:rPr>
      </w:r>
    </w:p>
    <w:sectPr>
      <w:pgSz w:h="15840" w:w="12240" w:orient="portrait"/>
      <w:pgMar w:bottom="900" w:top="900" w:left="900" w:right="9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YT4Vh/mJyLNLekNyXHtEsm3R9Q==">CgMxLjA4AHIhMXU4ZmtqRkZqajJhcXJjZUZZUFljUUFhR2VnRUhvZkRV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2026-08-12T06:37:33.814Z</dcterms:created>
  <dc:creator>Un-named</dc:creator>
</cp:coreProperties>
</file>

<file path=docProps/custom.xml><?xml version="1.0" encoding="utf-8"?>
<Properties xmlns="http://schemas.openxmlformats.org/officeDocument/2006/custom-properties" xmlns:vt="http://schemas.openxmlformats.org/officeDocument/2006/docPropsVTypes"/>
</file>