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F06132" w14:paraId="4CB50B7E"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F4E79"/>
            <w:tcMar>
              <w:top w:w="160" w:type="dxa"/>
              <w:left w:w="200" w:type="dxa"/>
              <w:bottom w:w="160" w:type="dxa"/>
              <w:right w:w="200" w:type="dxa"/>
            </w:tcMar>
          </w:tcPr>
          <w:p w14:paraId="2D66CB7E" w14:textId="77777777" w:rsidR="00F06132" w:rsidRDefault="00000000">
            <w:pPr>
              <w:spacing w:after="40"/>
              <w:jc w:val="center"/>
            </w:pPr>
            <w:r>
              <w:rPr>
                <w:b/>
                <w:bCs/>
                <w:color w:val="FFFFFF"/>
                <w:sz w:val="36"/>
                <w:szCs w:val="36"/>
              </w:rPr>
              <w:t>SUBOP</w:t>
            </w:r>
          </w:p>
          <w:p w14:paraId="5B99688E" w14:textId="77777777" w:rsidR="00F06132" w:rsidRDefault="00000000">
            <w:pPr>
              <w:spacing w:after="40"/>
              <w:jc w:val="center"/>
            </w:pPr>
            <w:r>
              <w:rPr>
                <w:color w:val="BDD7EE"/>
              </w:rPr>
              <w:t>Software United Business Operation Platform</w:t>
            </w:r>
          </w:p>
          <w:p w14:paraId="274CE9E0" w14:textId="77777777" w:rsidR="00F06132" w:rsidRDefault="00000000">
            <w:pPr>
              <w:spacing w:before="40"/>
              <w:jc w:val="center"/>
            </w:pPr>
            <w:r>
              <w:rPr>
                <w:b/>
                <w:bCs/>
                <w:color w:val="D6E4F0"/>
                <w:sz w:val="28"/>
                <w:szCs w:val="28"/>
              </w:rPr>
              <w:t>Competitor Analysis Report</w:t>
            </w:r>
          </w:p>
        </w:tc>
      </w:tr>
    </w:tbl>
    <w:p w14:paraId="5886C7CC" w14:textId="77777777" w:rsidR="00F06132" w:rsidRDefault="00F06132">
      <w:pPr>
        <w:spacing w:after="120"/>
      </w:pPr>
    </w:p>
    <w:p w14:paraId="51EF1578" w14:textId="77777777" w:rsidR="00F06132" w:rsidRDefault="00F06132">
      <w:pPr>
        <w:spacing w:after="120"/>
      </w:pPr>
    </w:p>
    <w:p w14:paraId="5C178B09" w14:textId="77777777" w:rsidR="00F06132" w:rsidRDefault="00000000">
      <w:pPr>
        <w:pBdr>
          <w:bottom w:val="single" w:sz="6" w:space="2" w:color="2E75B6"/>
        </w:pBdr>
        <w:spacing w:before="200" w:after="100"/>
      </w:pPr>
      <w:r>
        <w:rPr>
          <w:b/>
          <w:bCs/>
          <w:color w:val="1F4E79"/>
          <w:sz w:val="26"/>
          <w:szCs w:val="26"/>
        </w:rPr>
        <w:t>1. Executive Summary</w:t>
      </w:r>
    </w:p>
    <w:p w14:paraId="0E3DCE6F" w14:textId="77777777" w:rsidR="00F06132" w:rsidRDefault="00F06132">
      <w:pPr>
        <w:spacing w:after="60"/>
      </w:pPr>
    </w:p>
    <w:p w14:paraId="74253CF5" w14:textId="77777777" w:rsidR="00F06132" w:rsidRDefault="00000000">
      <w:pPr>
        <w:spacing w:before="80" w:after="100"/>
      </w:pPr>
      <w:r>
        <w:t xml:space="preserve">This report presents the findings of SUBOP's structured competitor analysis against five major enterprise data platforms: Talend (Qlik Talend Cloud), Informatica (PowerCenter and IDMC), Apache </w:t>
      </w:r>
      <w:proofErr w:type="spellStart"/>
      <w:r>
        <w:t>NiFi</w:t>
      </w:r>
      <w:proofErr w:type="spellEnd"/>
      <w:r>
        <w:t xml:space="preserve">, </w:t>
      </w:r>
      <w:proofErr w:type="spellStart"/>
      <w:r>
        <w:t>dbt</w:t>
      </w:r>
      <w:proofErr w:type="spellEnd"/>
      <w:r>
        <w:t xml:space="preserve"> (Core and Cloud), and Microsoft Power BI. The analysis evaluates each tool across seven capability dimensions derived directly from SUBOP's final goal statement and technical requirements. The research, conducted across Weeks 5 and 6 of Milestone 2, draws from official product documentation, independent review sources (Integrate.io, Gartner, G2, Capterra), and verified pricing intelligence as of June 2026.</w:t>
      </w:r>
    </w:p>
    <w:p w14:paraId="53A06B87" w14:textId="77777777" w:rsidR="00F06132" w:rsidRDefault="00000000">
      <w:pPr>
        <w:spacing w:before="80" w:after="100"/>
      </w:pPr>
      <w:r>
        <w:t xml:space="preserve">The analysis confirms that no single competitor in the evaluated landscape achieves Full support across all seven dimensions. Informatica comes closest, achieving Full ratings on real-time CDC, data quality and lineage, and KVKK/GDPR compliance — but remains Partial on database-agnostic abstraction and metadata-driven DW automation, and receives Not Supported ratings on self-service BI and open-source accessibility. Power BI achieves Full on self-service BI but has no CDC capability, no metadata-driven warehouse, and no open-source version. Apache </w:t>
      </w:r>
      <w:proofErr w:type="spellStart"/>
      <w:r>
        <w:t>NiFi</w:t>
      </w:r>
      <w:proofErr w:type="spellEnd"/>
      <w:r>
        <w:t xml:space="preserve"> and </w:t>
      </w:r>
      <w:proofErr w:type="spellStart"/>
      <w:r>
        <w:t>dbt</w:t>
      </w:r>
      <w:proofErr w:type="spellEnd"/>
      <w:r>
        <w:t xml:space="preserve"> are the only fully open-source tools in </w:t>
      </w:r>
      <w:proofErr w:type="gramStart"/>
      <w:r>
        <w:t>the comparison</w:t>
      </w:r>
      <w:proofErr w:type="gramEnd"/>
      <w:r>
        <w:t xml:space="preserve"> but individually cover only narrow capability segments. Talend has lost its open-source positioning entirely following the permanent discontinuation of Talend Open Studio in January 2024.</w:t>
      </w:r>
    </w:p>
    <w:p w14:paraId="4C4A02DE" w14:textId="77777777" w:rsidR="00F06132" w:rsidRDefault="00000000">
      <w:pPr>
        <w:spacing w:before="80" w:after="100"/>
      </w:pPr>
      <w:r>
        <w:t xml:space="preserve">The competitive landscape validates SUBOP's core design thesis: </w:t>
      </w:r>
      <w:proofErr w:type="spellStart"/>
      <w:r>
        <w:t>organisations</w:t>
      </w:r>
      <w:proofErr w:type="spellEnd"/>
      <w:r>
        <w:t xml:space="preserve"> requiring database-agnostic ETL, integrated real-time CDC, self-service BI, metadata-driven warehouse automation, and open-source accessibility are currently forced to assemble and maintain multiple disconnected tools at significant cost and integration overhead. SUBOP is the only platform in this analysis targeting Full support across all seven dimensions within a single, integrated, open-source-aligned architecture — a combination that no existing competitor currently delivers.</w:t>
      </w:r>
    </w:p>
    <w:p w14:paraId="4E5CDCE8" w14:textId="77777777" w:rsidR="00F06132" w:rsidRDefault="00F06132">
      <w:pPr>
        <w:spacing w:after="100"/>
      </w:pPr>
    </w:p>
    <w:p w14:paraId="5B939D73" w14:textId="77777777" w:rsidR="00F06132" w:rsidRDefault="00000000">
      <w:r>
        <w:br w:type="page"/>
      </w:r>
    </w:p>
    <w:p w14:paraId="490C3791" w14:textId="77777777" w:rsidR="00F06132" w:rsidRDefault="00000000">
      <w:pPr>
        <w:pBdr>
          <w:bottom w:val="single" w:sz="6" w:space="2" w:color="2E75B6"/>
        </w:pBdr>
        <w:spacing w:before="200" w:after="100"/>
      </w:pPr>
      <w:r>
        <w:rPr>
          <w:b/>
          <w:bCs/>
          <w:color w:val="1F4E79"/>
          <w:sz w:val="26"/>
          <w:szCs w:val="26"/>
        </w:rPr>
        <w:lastRenderedPageBreak/>
        <w:t>2. Tool Profiles</w:t>
      </w:r>
    </w:p>
    <w:p w14:paraId="74BC9A00" w14:textId="77777777" w:rsidR="00F06132" w:rsidRDefault="00000000">
      <w:pPr>
        <w:spacing w:before="160" w:after="60"/>
      </w:pPr>
      <w:r>
        <w:rPr>
          <w:b/>
          <w:bCs/>
          <w:color w:val="2E75B6"/>
          <w:sz w:val="22"/>
          <w:szCs w:val="22"/>
        </w:rPr>
        <w:t>2.1 Talend (Qlik Talend Cloud)</w:t>
      </w:r>
    </w:p>
    <w:p w14:paraId="026CFA86" w14:textId="77777777" w:rsidR="00F06132" w:rsidRDefault="00000000">
      <w:pPr>
        <w:spacing w:before="80" w:after="80"/>
      </w:pPr>
      <w:r>
        <w:rPr>
          <w:b/>
          <w:bCs/>
          <w:color w:val="1F4E79"/>
        </w:rPr>
        <w:t xml:space="preserve">Background: </w:t>
      </w:r>
      <w:r>
        <w:t>Talend was founded in 2005 and acquired by Qlik in May 2023. Since the acquisition, the platform has been rebranded as Qlik Talend Cloud and restructured into four commercial tiers. Talend Open Studio, the free open-source edition that gave the platform broad adoption, was permanently discontinued on 31 January 2024 with no open-source replacement. The platform is now entirely commercial, with its core strength in broad connector coverage and mature data quality tooling.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1560"/>
        <w:gridCol w:w="6000"/>
      </w:tblGrid>
      <w:tr w:rsidR="00F06132" w14:paraId="1B0171D1" w14:textId="77777777">
        <w:tblPrEx>
          <w:tblCellMar>
            <w:top w:w="0" w:type="dxa"/>
            <w:bottom w:w="0" w:type="dxa"/>
          </w:tblCellMar>
        </w:tblPrEx>
        <w:tc>
          <w:tcPr>
            <w:tcW w:w="1800" w:type="dxa"/>
            <w:tcBorders>
              <w:top w:val="single" w:sz="1" w:space="0" w:color="DDE4EE"/>
              <w:left w:val="single" w:sz="1" w:space="0" w:color="DDE4EE"/>
              <w:bottom w:val="single" w:sz="1" w:space="0" w:color="DDE4EE"/>
              <w:right w:val="single" w:sz="1" w:space="0" w:color="DDE4EE"/>
            </w:tcBorders>
            <w:shd w:val="clear" w:color="auto" w:fill="1F4E79"/>
            <w:tcMar>
              <w:top w:w="80" w:type="dxa"/>
              <w:left w:w="120" w:type="dxa"/>
              <w:bottom w:w="80" w:type="dxa"/>
              <w:right w:w="120" w:type="dxa"/>
            </w:tcMar>
          </w:tcPr>
          <w:p w14:paraId="29D3985C" w14:textId="77777777" w:rsidR="00F06132" w:rsidRDefault="00000000">
            <w:r>
              <w:rPr>
                <w:b/>
                <w:bCs/>
                <w:color w:val="FFFFFF"/>
                <w:sz w:val="18"/>
                <w:szCs w:val="18"/>
              </w:rPr>
              <w:t>Dimension</w:t>
            </w:r>
          </w:p>
        </w:tc>
        <w:tc>
          <w:tcPr>
            <w:tcW w:w="1560" w:type="dxa"/>
            <w:tcBorders>
              <w:top w:val="single" w:sz="1" w:space="0" w:color="DDE4EE"/>
              <w:left w:val="single" w:sz="1" w:space="0" w:color="DDE4EE"/>
              <w:bottom w:val="single" w:sz="1" w:space="0" w:color="DDE4EE"/>
              <w:right w:val="single" w:sz="1" w:space="0" w:color="DDE4EE"/>
            </w:tcBorders>
            <w:shd w:val="clear" w:color="auto" w:fill="1F4E79"/>
            <w:tcMar>
              <w:top w:w="80" w:type="dxa"/>
              <w:left w:w="120" w:type="dxa"/>
              <w:bottom w:w="80" w:type="dxa"/>
              <w:right w:w="120" w:type="dxa"/>
            </w:tcMar>
          </w:tcPr>
          <w:p w14:paraId="3588C54F" w14:textId="77777777" w:rsidR="00F06132" w:rsidRDefault="00000000">
            <w:r>
              <w:rPr>
                <w:b/>
                <w:bCs/>
                <w:color w:val="FFFFFF"/>
                <w:sz w:val="18"/>
                <w:szCs w:val="18"/>
              </w:rPr>
              <w:t>Rating</w:t>
            </w:r>
          </w:p>
        </w:tc>
        <w:tc>
          <w:tcPr>
            <w:tcW w:w="6000" w:type="dxa"/>
            <w:tcBorders>
              <w:top w:val="single" w:sz="1" w:space="0" w:color="DDE4EE"/>
              <w:left w:val="single" w:sz="1" w:space="0" w:color="DDE4EE"/>
              <w:bottom w:val="single" w:sz="1" w:space="0" w:color="DDE4EE"/>
              <w:right w:val="single" w:sz="1" w:space="0" w:color="DDE4EE"/>
            </w:tcBorders>
            <w:shd w:val="clear" w:color="auto" w:fill="1F4E79"/>
            <w:tcMar>
              <w:top w:w="80" w:type="dxa"/>
              <w:left w:w="120" w:type="dxa"/>
              <w:bottom w:w="80" w:type="dxa"/>
              <w:right w:w="120" w:type="dxa"/>
            </w:tcMar>
          </w:tcPr>
          <w:p w14:paraId="5B0647E8" w14:textId="77777777" w:rsidR="00F06132" w:rsidRDefault="00000000">
            <w:r>
              <w:rPr>
                <w:b/>
                <w:bCs/>
                <w:color w:val="FFFFFF"/>
                <w:sz w:val="18"/>
                <w:szCs w:val="18"/>
              </w:rPr>
              <w:t>Key Evidence</w:t>
            </w:r>
          </w:p>
        </w:tc>
      </w:tr>
      <w:tr w:rsidR="00F06132" w14:paraId="5A0830CF" w14:textId="77777777">
        <w:tblPrEx>
          <w:tblCellMar>
            <w:top w:w="0" w:type="dxa"/>
            <w:bottom w:w="0" w:type="dxa"/>
          </w:tblCellMar>
        </w:tblPrEx>
        <w:tc>
          <w:tcPr>
            <w:tcW w:w="1800" w:type="dxa"/>
            <w:tcBorders>
              <w:top w:val="single" w:sz="1" w:space="0" w:color="DDE4EE"/>
              <w:left w:val="single" w:sz="1" w:space="0" w:color="DDE4EE"/>
              <w:bottom w:val="single" w:sz="1" w:space="0" w:color="DDE4EE"/>
              <w:right w:val="single" w:sz="1" w:space="0" w:color="DDE4EE"/>
            </w:tcBorders>
            <w:tcMar>
              <w:top w:w="80" w:type="dxa"/>
              <w:left w:w="120" w:type="dxa"/>
              <w:bottom w:w="80" w:type="dxa"/>
              <w:right w:w="120" w:type="dxa"/>
            </w:tcMar>
          </w:tcPr>
          <w:p w14:paraId="21780CEF" w14:textId="77777777" w:rsidR="00F06132" w:rsidRDefault="00000000">
            <w:r>
              <w:rPr>
                <w:b/>
                <w:bCs/>
                <w:sz w:val="18"/>
                <w:szCs w:val="18"/>
              </w:rPr>
              <w:t>D1 — DB-Agnostic Abstraction</w:t>
            </w:r>
          </w:p>
        </w:tc>
        <w:tc>
          <w:tcPr>
            <w:tcW w:w="1560" w:type="dxa"/>
            <w:tcBorders>
              <w:top w:val="single" w:sz="1" w:space="0" w:color="DDE4EE"/>
              <w:left w:val="single" w:sz="1" w:space="0" w:color="DDE4EE"/>
              <w:bottom w:val="single" w:sz="1" w:space="0" w:color="DDE4EE"/>
              <w:right w:val="single" w:sz="1" w:space="0" w:color="DDE4EE"/>
            </w:tcBorders>
            <w:shd w:val="clear" w:color="auto" w:fill="FFF3CD"/>
            <w:tcMar>
              <w:top w:w="80" w:type="dxa"/>
              <w:left w:w="120" w:type="dxa"/>
              <w:bottom w:w="80" w:type="dxa"/>
              <w:right w:w="120" w:type="dxa"/>
            </w:tcMar>
            <w:vAlign w:val="center"/>
          </w:tcPr>
          <w:p w14:paraId="1594F489" w14:textId="77777777" w:rsidR="00F06132" w:rsidRDefault="00000000">
            <w:pPr>
              <w:jc w:val="center"/>
            </w:pPr>
            <w:r>
              <w:rPr>
                <w:b/>
                <w:bCs/>
                <w:color w:val="7B4D00"/>
                <w:sz w:val="18"/>
                <w:szCs w:val="18"/>
              </w:rPr>
              <w:t>Partial</w:t>
            </w:r>
          </w:p>
        </w:tc>
        <w:tc>
          <w:tcPr>
            <w:tcW w:w="6000" w:type="dxa"/>
            <w:tcBorders>
              <w:top w:val="single" w:sz="1" w:space="0" w:color="DDE4EE"/>
              <w:left w:val="single" w:sz="1" w:space="0" w:color="DDE4EE"/>
              <w:bottom w:val="single" w:sz="1" w:space="0" w:color="DDE4EE"/>
              <w:right w:val="single" w:sz="1" w:space="0" w:color="DDE4EE"/>
            </w:tcBorders>
            <w:tcMar>
              <w:top w:w="80" w:type="dxa"/>
              <w:left w:w="120" w:type="dxa"/>
              <w:bottom w:w="80" w:type="dxa"/>
              <w:right w:w="120" w:type="dxa"/>
            </w:tcMar>
          </w:tcPr>
          <w:p w14:paraId="0E75D8BB" w14:textId="77777777" w:rsidR="00F06132" w:rsidRDefault="00000000">
            <w:r>
              <w:rPr>
                <w:sz w:val="18"/>
                <w:szCs w:val="18"/>
              </w:rPr>
              <w:t>Uses per-connector ETL jobs; switching Oracle to PostgreSQL requires connector reconfiguration and transformation adjustments. No shared abstraction layer above individual connectors.</w:t>
            </w:r>
          </w:p>
        </w:tc>
      </w:tr>
      <w:tr w:rsidR="00F06132" w14:paraId="717F2977" w14:textId="77777777">
        <w:tblPrEx>
          <w:tblCellMar>
            <w:top w:w="0" w:type="dxa"/>
            <w:bottom w:w="0" w:type="dxa"/>
          </w:tblCellMar>
        </w:tblPrEx>
        <w:tc>
          <w:tcPr>
            <w:tcW w:w="1800" w:type="dxa"/>
            <w:tcBorders>
              <w:top w:val="single" w:sz="1" w:space="0" w:color="DDE4EE"/>
              <w:left w:val="single" w:sz="1" w:space="0" w:color="DDE4EE"/>
              <w:bottom w:val="single" w:sz="1" w:space="0" w:color="DDE4EE"/>
              <w:right w:val="single" w:sz="1" w:space="0" w:color="DDE4EE"/>
            </w:tcBorders>
            <w:tcMar>
              <w:top w:w="80" w:type="dxa"/>
              <w:left w:w="120" w:type="dxa"/>
              <w:bottom w:w="80" w:type="dxa"/>
              <w:right w:w="120" w:type="dxa"/>
            </w:tcMar>
          </w:tcPr>
          <w:p w14:paraId="07455BDB" w14:textId="77777777" w:rsidR="00F06132" w:rsidRDefault="00000000">
            <w:r>
              <w:rPr>
                <w:b/>
                <w:bCs/>
                <w:sz w:val="18"/>
                <w:szCs w:val="18"/>
              </w:rPr>
              <w:t>D2 — Real-Time CDC</w:t>
            </w:r>
          </w:p>
        </w:tc>
        <w:tc>
          <w:tcPr>
            <w:tcW w:w="1560" w:type="dxa"/>
            <w:tcBorders>
              <w:top w:val="single" w:sz="1" w:space="0" w:color="DDE4EE"/>
              <w:left w:val="single" w:sz="1" w:space="0" w:color="DDE4EE"/>
              <w:bottom w:val="single" w:sz="1" w:space="0" w:color="DDE4EE"/>
              <w:right w:val="single" w:sz="1" w:space="0" w:color="DDE4EE"/>
            </w:tcBorders>
            <w:shd w:val="clear" w:color="auto" w:fill="FFF3CD"/>
            <w:tcMar>
              <w:top w:w="80" w:type="dxa"/>
              <w:left w:w="120" w:type="dxa"/>
              <w:bottom w:w="80" w:type="dxa"/>
              <w:right w:w="120" w:type="dxa"/>
            </w:tcMar>
            <w:vAlign w:val="center"/>
          </w:tcPr>
          <w:p w14:paraId="0AE18E32" w14:textId="77777777" w:rsidR="00F06132" w:rsidRDefault="00000000">
            <w:pPr>
              <w:jc w:val="center"/>
            </w:pPr>
            <w:r>
              <w:rPr>
                <w:b/>
                <w:bCs/>
                <w:color w:val="7B4D00"/>
                <w:sz w:val="18"/>
                <w:szCs w:val="18"/>
              </w:rPr>
              <w:t>Partial</w:t>
            </w:r>
          </w:p>
        </w:tc>
        <w:tc>
          <w:tcPr>
            <w:tcW w:w="6000" w:type="dxa"/>
            <w:tcBorders>
              <w:top w:val="single" w:sz="1" w:space="0" w:color="DDE4EE"/>
              <w:left w:val="single" w:sz="1" w:space="0" w:color="DDE4EE"/>
              <w:bottom w:val="single" w:sz="1" w:space="0" w:color="DDE4EE"/>
              <w:right w:val="single" w:sz="1" w:space="0" w:color="DDE4EE"/>
            </w:tcBorders>
            <w:tcMar>
              <w:top w:w="80" w:type="dxa"/>
              <w:left w:w="120" w:type="dxa"/>
              <w:bottom w:w="80" w:type="dxa"/>
              <w:right w:w="120" w:type="dxa"/>
            </w:tcMar>
          </w:tcPr>
          <w:p w14:paraId="0A18B908" w14:textId="77777777" w:rsidR="00F06132" w:rsidRDefault="00000000">
            <w:r>
              <w:rPr>
                <w:sz w:val="18"/>
                <w:szCs w:val="18"/>
              </w:rPr>
              <w:t xml:space="preserve">Talend CDC </w:t>
            </w:r>
            <w:proofErr w:type="gramStart"/>
            <w:r>
              <w:rPr>
                <w:sz w:val="18"/>
                <w:szCs w:val="18"/>
              </w:rPr>
              <w:t>available</w:t>
            </w:r>
            <w:proofErr w:type="gramEnd"/>
            <w:r>
              <w:rPr>
                <w:sz w:val="18"/>
                <w:szCs w:val="18"/>
              </w:rPr>
              <w:t xml:space="preserve"> from Standard tier only. Proprietary mechanism — not log-based WAL/</w:t>
            </w:r>
            <w:proofErr w:type="spellStart"/>
            <w:r>
              <w:rPr>
                <w:sz w:val="18"/>
                <w:szCs w:val="18"/>
              </w:rPr>
              <w:t>binlog</w:t>
            </w:r>
            <w:proofErr w:type="spellEnd"/>
            <w:r>
              <w:rPr>
                <w:sz w:val="18"/>
                <w:szCs w:val="18"/>
              </w:rPr>
              <w:t xml:space="preserve"> reading like </w:t>
            </w:r>
            <w:proofErr w:type="spellStart"/>
            <w:r>
              <w:rPr>
                <w:sz w:val="18"/>
                <w:szCs w:val="18"/>
              </w:rPr>
              <w:t>Debezium</w:t>
            </w:r>
            <w:proofErr w:type="spellEnd"/>
            <w:r>
              <w:rPr>
                <w:sz w:val="18"/>
                <w:szCs w:val="18"/>
              </w:rPr>
              <w:t>. No published end-to-end latency SLA.</w:t>
            </w:r>
          </w:p>
        </w:tc>
      </w:tr>
      <w:tr w:rsidR="00F06132" w14:paraId="750914DB" w14:textId="77777777">
        <w:tblPrEx>
          <w:tblCellMar>
            <w:top w:w="0" w:type="dxa"/>
            <w:bottom w:w="0" w:type="dxa"/>
          </w:tblCellMar>
        </w:tblPrEx>
        <w:tc>
          <w:tcPr>
            <w:tcW w:w="1800" w:type="dxa"/>
            <w:tcBorders>
              <w:top w:val="single" w:sz="1" w:space="0" w:color="DDE4EE"/>
              <w:left w:val="single" w:sz="1" w:space="0" w:color="DDE4EE"/>
              <w:bottom w:val="single" w:sz="1" w:space="0" w:color="DDE4EE"/>
              <w:right w:val="single" w:sz="1" w:space="0" w:color="DDE4EE"/>
            </w:tcBorders>
            <w:tcMar>
              <w:top w:w="80" w:type="dxa"/>
              <w:left w:w="120" w:type="dxa"/>
              <w:bottom w:w="80" w:type="dxa"/>
              <w:right w:w="120" w:type="dxa"/>
            </w:tcMar>
          </w:tcPr>
          <w:p w14:paraId="3666B7F6" w14:textId="77777777" w:rsidR="00F06132" w:rsidRDefault="00000000">
            <w:r>
              <w:rPr>
                <w:b/>
                <w:bCs/>
                <w:sz w:val="18"/>
                <w:szCs w:val="18"/>
              </w:rPr>
              <w:t>D3 — Self-Service BI</w:t>
            </w:r>
          </w:p>
        </w:tc>
        <w:tc>
          <w:tcPr>
            <w:tcW w:w="1560" w:type="dxa"/>
            <w:tcBorders>
              <w:top w:val="single" w:sz="1" w:space="0" w:color="DDE4EE"/>
              <w:left w:val="single" w:sz="1" w:space="0" w:color="DDE4EE"/>
              <w:bottom w:val="single" w:sz="1" w:space="0" w:color="DDE4EE"/>
              <w:right w:val="single" w:sz="1" w:space="0" w:color="DDE4EE"/>
            </w:tcBorders>
            <w:shd w:val="clear" w:color="auto" w:fill="FFEBEE"/>
            <w:tcMar>
              <w:top w:w="80" w:type="dxa"/>
              <w:left w:w="120" w:type="dxa"/>
              <w:bottom w:w="80" w:type="dxa"/>
              <w:right w:w="120" w:type="dxa"/>
            </w:tcMar>
            <w:vAlign w:val="center"/>
          </w:tcPr>
          <w:p w14:paraId="1DAC2A6B" w14:textId="77777777" w:rsidR="00F06132" w:rsidRDefault="00000000">
            <w:pPr>
              <w:jc w:val="center"/>
            </w:pPr>
            <w:r>
              <w:rPr>
                <w:b/>
                <w:bCs/>
                <w:color w:val="B71C1C"/>
                <w:sz w:val="18"/>
                <w:szCs w:val="18"/>
              </w:rPr>
              <w:t>Not Supported</w:t>
            </w:r>
          </w:p>
        </w:tc>
        <w:tc>
          <w:tcPr>
            <w:tcW w:w="6000" w:type="dxa"/>
            <w:tcBorders>
              <w:top w:val="single" w:sz="1" w:space="0" w:color="DDE4EE"/>
              <w:left w:val="single" w:sz="1" w:space="0" w:color="DDE4EE"/>
              <w:bottom w:val="single" w:sz="1" w:space="0" w:color="DDE4EE"/>
              <w:right w:val="single" w:sz="1" w:space="0" w:color="DDE4EE"/>
            </w:tcBorders>
            <w:tcMar>
              <w:top w:w="80" w:type="dxa"/>
              <w:left w:w="120" w:type="dxa"/>
              <w:bottom w:w="80" w:type="dxa"/>
              <w:right w:w="120" w:type="dxa"/>
            </w:tcMar>
          </w:tcPr>
          <w:p w14:paraId="70E3FA5F" w14:textId="77777777" w:rsidR="00F06132" w:rsidRDefault="00000000">
            <w:r>
              <w:rPr>
                <w:sz w:val="18"/>
                <w:szCs w:val="18"/>
              </w:rPr>
              <w:t xml:space="preserve">No native BI dashboard module. Talend prepares and governs data; </w:t>
            </w:r>
            <w:proofErr w:type="spellStart"/>
            <w:r>
              <w:rPr>
                <w:sz w:val="18"/>
                <w:szCs w:val="18"/>
              </w:rPr>
              <w:t>visualisation</w:t>
            </w:r>
            <w:proofErr w:type="spellEnd"/>
            <w:r>
              <w:rPr>
                <w:sz w:val="18"/>
                <w:szCs w:val="18"/>
              </w:rPr>
              <w:t xml:space="preserve"> is delegated to external tools such as Power BI or Tableau.</w:t>
            </w:r>
          </w:p>
        </w:tc>
      </w:tr>
      <w:tr w:rsidR="00F06132" w14:paraId="3D1F8953" w14:textId="77777777">
        <w:tblPrEx>
          <w:tblCellMar>
            <w:top w:w="0" w:type="dxa"/>
            <w:bottom w:w="0" w:type="dxa"/>
          </w:tblCellMar>
        </w:tblPrEx>
        <w:tc>
          <w:tcPr>
            <w:tcW w:w="1800" w:type="dxa"/>
            <w:tcBorders>
              <w:top w:val="single" w:sz="1" w:space="0" w:color="DDE4EE"/>
              <w:left w:val="single" w:sz="1" w:space="0" w:color="DDE4EE"/>
              <w:bottom w:val="single" w:sz="1" w:space="0" w:color="DDE4EE"/>
              <w:right w:val="single" w:sz="1" w:space="0" w:color="DDE4EE"/>
            </w:tcBorders>
            <w:tcMar>
              <w:top w:w="80" w:type="dxa"/>
              <w:left w:w="120" w:type="dxa"/>
              <w:bottom w:w="80" w:type="dxa"/>
              <w:right w:w="120" w:type="dxa"/>
            </w:tcMar>
          </w:tcPr>
          <w:p w14:paraId="7872099F" w14:textId="77777777" w:rsidR="00F06132" w:rsidRDefault="00000000">
            <w:r>
              <w:rPr>
                <w:b/>
                <w:bCs/>
                <w:sz w:val="18"/>
                <w:szCs w:val="18"/>
              </w:rPr>
              <w:t>D4 — Metadata-Driven DW</w:t>
            </w:r>
          </w:p>
        </w:tc>
        <w:tc>
          <w:tcPr>
            <w:tcW w:w="1560" w:type="dxa"/>
            <w:tcBorders>
              <w:top w:val="single" w:sz="1" w:space="0" w:color="DDE4EE"/>
              <w:left w:val="single" w:sz="1" w:space="0" w:color="DDE4EE"/>
              <w:bottom w:val="single" w:sz="1" w:space="0" w:color="DDE4EE"/>
              <w:right w:val="single" w:sz="1" w:space="0" w:color="DDE4EE"/>
            </w:tcBorders>
            <w:shd w:val="clear" w:color="auto" w:fill="FFEBEE"/>
            <w:tcMar>
              <w:top w:w="80" w:type="dxa"/>
              <w:left w:w="120" w:type="dxa"/>
              <w:bottom w:w="80" w:type="dxa"/>
              <w:right w:w="120" w:type="dxa"/>
            </w:tcMar>
            <w:vAlign w:val="center"/>
          </w:tcPr>
          <w:p w14:paraId="49E8008A" w14:textId="77777777" w:rsidR="00F06132" w:rsidRDefault="00000000">
            <w:pPr>
              <w:jc w:val="center"/>
            </w:pPr>
            <w:r>
              <w:rPr>
                <w:b/>
                <w:bCs/>
                <w:color w:val="B71C1C"/>
                <w:sz w:val="18"/>
                <w:szCs w:val="18"/>
              </w:rPr>
              <w:t>Not Supported</w:t>
            </w:r>
          </w:p>
        </w:tc>
        <w:tc>
          <w:tcPr>
            <w:tcW w:w="6000" w:type="dxa"/>
            <w:tcBorders>
              <w:top w:val="single" w:sz="1" w:space="0" w:color="DDE4EE"/>
              <w:left w:val="single" w:sz="1" w:space="0" w:color="DDE4EE"/>
              <w:bottom w:val="single" w:sz="1" w:space="0" w:color="DDE4EE"/>
              <w:right w:val="single" w:sz="1" w:space="0" w:color="DDE4EE"/>
            </w:tcBorders>
            <w:tcMar>
              <w:top w:w="80" w:type="dxa"/>
              <w:left w:w="120" w:type="dxa"/>
              <w:bottom w:w="80" w:type="dxa"/>
              <w:right w:w="120" w:type="dxa"/>
            </w:tcMar>
          </w:tcPr>
          <w:p w14:paraId="646977A3" w14:textId="77777777" w:rsidR="00F06132" w:rsidRDefault="00000000">
            <w:r>
              <w:rPr>
                <w:sz w:val="18"/>
                <w:szCs w:val="18"/>
              </w:rPr>
              <w:t xml:space="preserve">Talend Metadata Manager documents and catalogs </w:t>
            </w:r>
            <w:proofErr w:type="gramStart"/>
            <w:r>
              <w:rPr>
                <w:sz w:val="18"/>
                <w:szCs w:val="18"/>
              </w:rPr>
              <w:t>metadata</w:t>
            </w:r>
            <w:proofErr w:type="gramEnd"/>
            <w:r>
              <w:rPr>
                <w:sz w:val="18"/>
                <w:szCs w:val="18"/>
              </w:rPr>
              <w:t xml:space="preserve"> but does not auto-generate fact/dimension schemas. Warehouse design is fully manual.</w:t>
            </w:r>
          </w:p>
        </w:tc>
      </w:tr>
      <w:tr w:rsidR="00F06132" w14:paraId="501878A9" w14:textId="77777777">
        <w:tblPrEx>
          <w:tblCellMar>
            <w:top w:w="0" w:type="dxa"/>
            <w:bottom w:w="0" w:type="dxa"/>
          </w:tblCellMar>
        </w:tblPrEx>
        <w:tc>
          <w:tcPr>
            <w:tcW w:w="1800" w:type="dxa"/>
            <w:tcBorders>
              <w:top w:val="single" w:sz="1" w:space="0" w:color="DDE4EE"/>
              <w:left w:val="single" w:sz="1" w:space="0" w:color="DDE4EE"/>
              <w:bottom w:val="single" w:sz="1" w:space="0" w:color="DDE4EE"/>
              <w:right w:val="single" w:sz="1" w:space="0" w:color="DDE4EE"/>
            </w:tcBorders>
            <w:tcMar>
              <w:top w:w="80" w:type="dxa"/>
              <w:left w:w="120" w:type="dxa"/>
              <w:bottom w:w="80" w:type="dxa"/>
              <w:right w:w="120" w:type="dxa"/>
            </w:tcMar>
          </w:tcPr>
          <w:p w14:paraId="7DE3F836" w14:textId="77777777" w:rsidR="00F06132" w:rsidRDefault="00000000">
            <w:r>
              <w:rPr>
                <w:b/>
                <w:bCs/>
                <w:sz w:val="18"/>
                <w:szCs w:val="18"/>
              </w:rPr>
              <w:t>D5 — Data Quality &amp; Lineage</w:t>
            </w:r>
          </w:p>
        </w:tc>
        <w:tc>
          <w:tcPr>
            <w:tcW w:w="1560" w:type="dxa"/>
            <w:tcBorders>
              <w:top w:val="single" w:sz="1" w:space="0" w:color="DDE4EE"/>
              <w:left w:val="single" w:sz="1" w:space="0" w:color="DDE4EE"/>
              <w:bottom w:val="single" w:sz="1" w:space="0" w:color="DDE4EE"/>
              <w:right w:val="single" w:sz="1" w:space="0" w:color="DDE4EE"/>
            </w:tcBorders>
            <w:shd w:val="clear" w:color="auto" w:fill="FFF3CD"/>
            <w:tcMar>
              <w:top w:w="80" w:type="dxa"/>
              <w:left w:w="120" w:type="dxa"/>
              <w:bottom w:w="80" w:type="dxa"/>
              <w:right w:w="120" w:type="dxa"/>
            </w:tcMar>
            <w:vAlign w:val="center"/>
          </w:tcPr>
          <w:p w14:paraId="2DB61F43" w14:textId="77777777" w:rsidR="00F06132" w:rsidRDefault="00000000">
            <w:pPr>
              <w:jc w:val="center"/>
            </w:pPr>
            <w:r>
              <w:rPr>
                <w:b/>
                <w:bCs/>
                <w:color w:val="7B4D00"/>
                <w:sz w:val="18"/>
                <w:szCs w:val="18"/>
              </w:rPr>
              <w:t>Partial</w:t>
            </w:r>
          </w:p>
        </w:tc>
        <w:tc>
          <w:tcPr>
            <w:tcW w:w="6000" w:type="dxa"/>
            <w:tcBorders>
              <w:top w:val="single" w:sz="1" w:space="0" w:color="DDE4EE"/>
              <w:left w:val="single" w:sz="1" w:space="0" w:color="DDE4EE"/>
              <w:bottom w:val="single" w:sz="1" w:space="0" w:color="DDE4EE"/>
              <w:right w:val="single" w:sz="1" w:space="0" w:color="DDE4EE"/>
            </w:tcBorders>
            <w:tcMar>
              <w:top w:w="80" w:type="dxa"/>
              <w:left w:w="120" w:type="dxa"/>
              <w:bottom w:w="80" w:type="dxa"/>
              <w:right w:w="120" w:type="dxa"/>
            </w:tcMar>
          </w:tcPr>
          <w:p w14:paraId="3EDA19B1" w14:textId="77777777" w:rsidR="00F06132" w:rsidRDefault="00000000">
            <w:r>
              <w:rPr>
                <w:sz w:val="18"/>
                <w:szCs w:val="18"/>
              </w:rPr>
              <w:t xml:space="preserve">Talend Data Quality is a genuine strength: native profiling, deduplication, </w:t>
            </w:r>
            <w:proofErr w:type="spellStart"/>
            <w:r>
              <w:rPr>
                <w:sz w:val="18"/>
                <w:szCs w:val="18"/>
              </w:rPr>
              <w:t>standardisation</w:t>
            </w:r>
            <w:proofErr w:type="spellEnd"/>
            <w:r>
              <w:rPr>
                <w:sz w:val="18"/>
                <w:szCs w:val="18"/>
              </w:rPr>
              <w:t>, and cleansing. Lineage tracks within Talend job boundaries but does not provide full source-to-dashboard DAG lineage.</w:t>
            </w:r>
          </w:p>
        </w:tc>
      </w:tr>
      <w:tr w:rsidR="00F06132" w14:paraId="2974F76F" w14:textId="77777777">
        <w:tblPrEx>
          <w:tblCellMar>
            <w:top w:w="0" w:type="dxa"/>
            <w:bottom w:w="0" w:type="dxa"/>
          </w:tblCellMar>
        </w:tblPrEx>
        <w:tc>
          <w:tcPr>
            <w:tcW w:w="1800" w:type="dxa"/>
            <w:tcBorders>
              <w:top w:val="single" w:sz="1" w:space="0" w:color="DDE4EE"/>
              <w:left w:val="single" w:sz="1" w:space="0" w:color="DDE4EE"/>
              <w:bottom w:val="single" w:sz="1" w:space="0" w:color="DDE4EE"/>
              <w:right w:val="single" w:sz="1" w:space="0" w:color="DDE4EE"/>
            </w:tcBorders>
            <w:tcMar>
              <w:top w:w="80" w:type="dxa"/>
              <w:left w:w="120" w:type="dxa"/>
              <w:bottom w:w="80" w:type="dxa"/>
              <w:right w:w="120" w:type="dxa"/>
            </w:tcMar>
          </w:tcPr>
          <w:p w14:paraId="55D9D1AC" w14:textId="77777777" w:rsidR="00F06132" w:rsidRDefault="00000000">
            <w:r>
              <w:rPr>
                <w:b/>
                <w:bCs/>
                <w:sz w:val="18"/>
                <w:szCs w:val="18"/>
              </w:rPr>
              <w:t>D6 — KVKK / GDPR Compliance</w:t>
            </w:r>
          </w:p>
        </w:tc>
        <w:tc>
          <w:tcPr>
            <w:tcW w:w="1560" w:type="dxa"/>
            <w:tcBorders>
              <w:top w:val="single" w:sz="1" w:space="0" w:color="DDE4EE"/>
              <w:left w:val="single" w:sz="1" w:space="0" w:color="DDE4EE"/>
              <w:bottom w:val="single" w:sz="1" w:space="0" w:color="DDE4EE"/>
              <w:right w:val="single" w:sz="1" w:space="0" w:color="DDE4EE"/>
            </w:tcBorders>
            <w:shd w:val="clear" w:color="auto" w:fill="FFF3CD"/>
            <w:tcMar>
              <w:top w:w="80" w:type="dxa"/>
              <w:left w:w="120" w:type="dxa"/>
              <w:bottom w:w="80" w:type="dxa"/>
              <w:right w:w="120" w:type="dxa"/>
            </w:tcMar>
            <w:vAlign w:val="center"/>
          </w:tcPr>
          <w:p w14:paraId="204D8B01" w14:textId="77777777" w:rsidR="00F06132" w:rsidRDefault="00000000">
            <w:pPr>
              <w:jc w:val="center"/>
            </w:pPr>
            <w:r>
              <w:rPr>
                <w:b/>
                <w:bCs/>
                <w:color w:val="7B4D00"/>
                <w:sz w:val="18"/>
                <w:szCs w:val="18"/>
              </w:rPr>
              <w:t>Partial</w:t>
            </w:r>
          </w:p>
        </w:tc>
        <w:tc>
          <w:tcPr>
            <w:tcW w:w="6000" w:type="dxa"/>
            <w:tcBorders>
              <w:top w:val="single" w:sz="1" w:space="0" w:color="DDE4EE"/>
              <w:left w:val="single" w:sz="1" w:space="0" w:color="DDE4EE"/>
              <w:bottom w:val="single" w:sz="1" w:space="0" w:color="DDE4EE"/>
              <w:right w:val="single" w:sz="1" w:space="0" w:color="DDE4EE"/>
            </w:tcBorders>
            <w:tcMar>
              <w:top w:w="80" w:type="dxa"/>
              <w:left w:w="120" w:type="dxa"/>
              <w:bottom w:w="80" w:type="dxa"/>
              <w:right w:w="120" w:type="dxa"/>
            </w:tcMar>
          </w:tcPr>
          <w:p w14:paraId="59DA5ED5" w14:textId="77777777" w:rsidR="00F06132" w:rsidRDefault="00000000">
            <w:r>
              <w:rPr>
                <w:sz w:val="18"/>
                <w:szCs w:val="18"/>
              </w:rPr>
              <w:t xml:space="preserve">Data masking and </w:t>
            </w:r>
            <w:proofErr w:type="spellStart"/>
            <w:r>
              <w:rPr>
                <w:sz w:val="18"/>
                <w:szCs w:val="18"/>
              </w:rPr>
              <w:t>anonymisation</w:t>
            </w:r>
            <w:proofErr w:type="spellEnd"/>
            <w:r>
              <w:rPr>
                <w:sz w:val="18"/>
                <w:szCs w:val="18"/>
              </w:rPr>
              <w:t xml:space="preserve"> </w:t>
            </w:r>
            <w:proofErr w:type="gramStart"/>
            <w:r>
              <w:rPr>
                <w:sz w:val="18"/>
                <w:szCs w:val="18"/>
              </w:rPr>
              <w:t>available</w:t>
            </w:r>
            <w:proofErr w:type="gramEnd"/>
            <w:r>
              <w:rPr>
                <w:sz w:val="18"/>
                <w:szCs w:val="18"/>
              </w:rPr>
              <w:t xml:space="preserve"> in higher tiers; audit logging in Premium/Enterprise. Generic GDPR support documented; no KVKK-specific certification or documentation found.</w:t>
            </w:r>
          </w:p>
        </w:tc>
      </w:tr>
      <w:tr w:rsidR="00F06132" w14:paraId="7ED50090" w14:textId="77777777">
        <w:tblPrEx>
          <w:tblCellMar>
            <w:top w:w="0" w:type="dxa"/>
            <w:bottom w:w="0" w:type="dxa"/>
          </w:tblCellMar>
        </w:tblPrEx>
        <w:tc>
          <w:tcPr>
            <w:tcW w:w="1800" w:type="dxa"/>
            <w:tcBorders>
              <w:top w:val="single" w:sz="1" w:space="0" w:color="DDE4EE"/>
              <w:left w:val="single" w:sz="1" w:space="0" w:color="DDE4EE"/>
              <w:bottom w:val="single" w:sz="1" w:space="0" w:color="DDE4EE"/>
              <w:right w:val="single" w:sz="1" w:space="0" w:color="DDE4EE"/>
            </w:tcBorders>
            <w:tcMar>
              <w:top w:w="80" w:type="dxa"/>
              <w:left w:w="120" w:type="dxa"/>
              <w:bottom w:w="80" w:type="dxa"/>
              <w:right w:w="120" w:type="dxa"/>
            </w:tcMar>
          </w:tcPr>
          <w:p w14:paraId="07451FF0" w14:textId="77777777" w:rsidR="00F06132" w:rsidRDefault="00000000">
            <w:r>
              <w:rPr>
                <w:b/>
                <w:bCs/>
                <w:sz w:val="18"/>
                <w:szCs w:val="18"/>
              </w:rPr>
              <w:t>D7 — Open-Source / No Vendor Lock</w:t>
            </w:r>
          </w:p>
        </w:tc>
        <w:tc>
          <w:tcPr>
            <w:tcW w:w="1560" w:type="dxa"/>
            <w:tcBorders>
              <w:top w:val="single" w:sz="1" w:space="0" w:color="DDE4EE"/>
              <w:left w:val="single" w:sz="1" w:space="0" w:color="DDE4EE"/>
              <w:bottom w:val="single" w:sz="1" w:space="0" w:color="DDE4EE"/>
              <w:right w:val="single" w:sz="1" w:space="0" w:color="DDE4EE"/>
            </w:tcBorders>
            <w:shd w:val="clear" w:color="auto" w:fill="FFEBEE"/>
            <w:tcMar>
              <w:top w:w="80" w:type="dxa"/>
              <w:left w:w="120" w:type="dxa"/>
              <w:bottom w:w="80" w:type="dxa"/>
              <w:right w:w="120" w:type="dxa"/>
            </w:tcMar>
            <w:vAlign w:val="center"/>
          </w:tcPr>
          <w:p w14:paraId="01E70006" w14:textId="77777777" w:rsidR="00F06132" w:rsidRDefault="00000000">
            <w:pPr>
              <w:jc w:val="center"/>
            </w:pPr>
            <w:r>
              <w:rPr>
                <w:b/>
                <w:bCs/>
                <w:color w:val="B71C1C"/>
                <w:sz w:val="18"/>
                <w:szCs w:val="18"/>
              </w:rPr>
              <w:t>Not Supported</w:t>
            </w:r>
          </w:p>
        </w:tc>
        <w:tc>
          <w:tcPr>
            <w:tcW w:w="6000" w:type="dxa"/>
            <w:tcBorders>
              <w:top w:val="single" w:sz="1" w:space="0" w:color="DDE4EE"/>
              <w:left w:val="single" w:sz="1" w:space="0" w:color="DDE4EE"/>
              <w:bottom w:val="single" w:sz="1" w:space="0" w:color="DDE4EE"/>
              <w:right w:val="single" w:sz="1" w:space="0" w:color="DDE4EE"/>
            </w:tcBorders>
            <w:tcMar>
              <w:top w:w="80" w:type="dxa"/>
              <w:left w:w="120" w:type="dxa"/>
              <w:bottom w:w="80" w:type="dxa"/>
              <w:right w:w="120" w:type="dxa"/>
            </w:tcMar>
          </w:tcPr>
          <w:p w14:paraId="15F8A4BF" w14:textId="77777777" w:rsidR="00F06132" w:rsidRDefault="00000000">
            <w:r>
              <w:rPr>
                <w:sz w:val="18"/>
                <w:szCs w:val="18"/>
              </w:rPr>
              <w:t>Talend Open Studio permanently discontinued 31 January 2024. Proprietary Java job format. Capacity-based pricing (data volume + executions + duration) with no published rates. Estimated $50,000–$200,000+ annually for production use.</w:t>
            </w:r>
          </w:p>
        </w:tc>
      </w:tr>
    </w:tbl>
    <w:p w14:paraId="4C83889A" w14:textId="77777777" w:rsidR="00F06132" w:rsidRDefault="00F06132">
      <w:pPr>
        <w:spacing w:after="80"/>
      </w:pPr>
    </w:p>
    <w:p w14:paraId="6D1C522F" w14:textId="77777777" w:rsidR="00F06132" w:rsidRDefault="00000000">
      <w:pPr>
        <w:spacing w:before="80" w:after="60"/>
      </w:pPr>
      <w:r>
        <w:rPr>
          <w:b/>
          <w:bCs/>
          <w:color w:val="1B5E20"/>
        </w:rPr>
        <w:t xml:space="preserve">Key Strength: </w:t>
      </w:r>
      <w:r>
        <w:t xml:space="preserve">Talend Data Quality module — one of the most mature automated data quality and profiling toolsets in the market, supporting profiling, cleansing, deduplication, </w:t>
      </w:r>
      <w:proofErr w:type="spellStart"/>
      <w:r>
        <w:t>standardisation</w:t>
      </w:r>
      <w:proofErr w:type="spellEnd"/>
      <w:r>
        <w:t>, and enrichment natively within the platform.</w:t>
      </w:r>
    </w:p>
    <w:p w14:paraId="7289D7E5" w14:textId="77777777" w:rsidR="00F06132" w:rsidRDefault="00000000">
      <w:pPr>
        <w:spacing w:before="80" w:after="120"/>
      </w:pPr>
      <w:r>
        <w:rPr>
          <w:b/>
          <w:bCs/>
          <w:color w:val="B71C1C"/>
        </w:rPr>
        <w:t xml:space="preserve">Key Limitation: </w:t>
      </w:r>
      <w:r>
        <w:t xml:space="preserve">Complete loss of open-source positioning following Talend Open Studio discontinuation combined with opaque, escalating capacity-based pricing makes Talend inaccessible to the </w:t>
      </w:r>
      <w:proofErr w:type="spellStart"/>
      <w:r>
        <w:t>organisations</w:t>
      </w:r>
      <w:proofErr w:type="spellEnd"/>
      <w:r>
        <w:t xml:space="preserve"> SUBOP targets. Entry-level enterprise cost is estimated at $50,000–$200,000+ per year before implementation services.</w:t>
      </w:r>
    </w:p>
    <w:p w14:paraId="2D2C7217" w14:textId="77777777" w:rsidR="00F06132" w:rsidRDefault="00000000">
      <w:pPr>
        <w:spacing w:before="160" w:after="60"/>
      </w:pPr>
      <w:r>
        <w:rPr>
          <w:b/>
          <w:bCs/>
          <w:color w:val="2E75B6"/>
          <w:sz w:val="22"/>
          <w:szCs w:val="22"/>
        </w:rPr>
        <w:t>2.2 Informatica (PowerCenter / IDMC)</w:t>
      </w:r>
    </w:p>
    <w:p w14:paraId="1D21A69D" w14:textId="77777777" w:rsidR="00F06132" w:rsidRDefault="00000000">
      <w:pPr>
        <w:spacing w:before="80" w:after="80"/>
      </w:pPr>
      <w:r>
        <w:rPr>
          <w:b/>
          <w:bCs/>
          <w:color w:val="1F4E79"/>
        </w:rPr>
        <w:t xml:space="preserve">Background: </w:t>
      </w:r>
      <w:r>
        <w:t>Informatica has been the dominant enterprise ETL vendor for over 30 years. As of 2026, it offers two primary products: PowerCenter (on-premises; general support for version 10.5.x ended 31 March 2026) and IDMC (Intelligent Data Management Cloud), the cloud-native successor powered by the CLAIRE AI engine. Informatica's competitive position is the strongest in the matrix for data quality, lineage, catalog, and governance. Its critical weaknesses are total cost of ownership, absence of native BI, and full proprietary vendor lock-in.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1560"/>
        <w:gridCol w:w="6000"/>
      </w:tblGrid>
      <w:tr w:rsidR="00F06132" w14:paraId="25B92EC5" w14:textId="77777777">
        <w:tblPrEx>
          <w:tblCellMar>
            <w:top w:w="0" w:type="dxa"/>
            <w:bottom w:w="0" w:type="dxa"/>
          </w:tblCellMar>
        </w:tblPrEx>
        <w:tc>
          <w:tcPr>
            <w:tcW w:w="1800" w:type="dxa"/>
            <w:tcBorders>
              <w:top w:val="single" w:sz="1" w:space="0" w:color="DDE4EE"/>
              <w:left w:val="single" w:sz="1" w:space="0" w:color="DDE4EE"/>
              <w:bottom w:val="single" w:sz="1" w:space="0" w:color="DDE4EE"/>
              <w:right w:val="single" w:sz="1" w:space="0" w:color="DDE4EE"/>
            </w:tcBorders>
            <w:shd w:val="clear" w:color="auto" w:fill="1F4E79"/>
            <w:tcMar>
              <w:top w:w="80" w:type="dxa"/>
              <w:left w:w="120" w:type="dxa"/>
              <w:bottom w:w="80" w:type="dxa"/>
              <w:right w:w="120" w:type="dxa"/>
            </w:tcMar>
          </w:tcPr>
          <w:p w14:paraId="2F0188BD" w14:textId="77777777" w:rsidR="00F06132" w:rsidRDefault="00000000">
            <w:r>
              <w:rPr>
                <w:b/>
                <w:bCs/>
                <w:color w:val="FFFFFF"/>
                <w:sz w:val="18"/>
                <w:szCs w:val="18"/>
              </w:rPr>
              <w:t>Dimension</w:t>
            </w:r>
          </w:p>
        </w:tc>
        <w:tc>
          <w:tcPr>
            <w:tcW w:w="1560" w:type="dxa"/>
            <w:tcBorders>
              <w:top w:val="single" w:sz="1" w:space="0" w:color="DDE4EE"/>
              <w:left w:val="single" w:sz="1" w:space="0" w:color="DDE4EE"/>
              <w:bottom w:val="single" w:sz="1" w:space="0" w:color="DDE4EE"/>
              <w:right w:val="single" w:sz="1" w:space="0" w:color="DDE4EE"/>
            </w:tcBorders>
            <w:shd w:val="clear" w:color="auto" w:fill="1F4E79"/>
            <w:tcMar>
              <w:top w:w="80" w:type="dxa"/>
              <w:left w:w="120" w:type="dxa"/>
              <w:bottom w:w="80" w:type="dxa"/>
              <w:right w:w="120" w:type="dxa"/>
            </w:tcMar>
          </w:tcPr>
          <w:p w14:paraId="68E77ADF" w14:textId="77777777" w:rsidR="00F06132" w:rsidRDefault="00000000">
            <w:r>
              <w:rPr>
                <w:b/>
                <w:bCs/>
                <w:color w:val="FFFFFF"/>
                <w:sz w:val="18"/>
                <w:szCs w:val="18"/>
              </w:rPr>
              <w:t>Rating</w:t>
            </w:r>
          </w:p>
        </w:tc>
        <w:tc>
          <w:tcPr>
            <w:tcW w:w="6000" w:type="dxa"/>
            <w:tcBorders>
              <w:top w:val="single" w:sz="1" w:space="0" w:color="DDE4EE"/>
              <w:left w:val="single" w:sz="1" w:space="0" w:color="DDE4EE"/>
              <w:bottom w:val="single" w:sz="1" w:space="0" w:color="DDE4EE"/>
              <w:right w:val="single" w:sz="1" w:space="0" w:color="DDE4EE"/>
            </w:tcBorders>
            <w:shd w:val="clear" w:color="auto" w:fill="1F4E79"/>
            <w:tcMar>
              <w:top w:w="80" w:type="dxa"/>
              <w:left w:w="120" w:type="dxa"/>
              <w:bottom w:w="80" w:type="dxa"/>
              <w:right w:w="120" w:type="dxa"/>
            </w:tcMar>
          </w:tcPr>
          <w:p w14:paraId="1361B068" w14:textId="77777777" w:rsidR="00F06132" w:rsidRDefault="00000000">
            <w:r>
              <w:rPr>
                <w:b/>
                <w:bCs/>
                <w:color w:val="FFFFFF"/>
                <w:sz w:val="18"/>
                <w:szCs w:val="18"/>
              </w:rPr>
              <w:t>Key Evidence</w:t>
            </w:r>
          </w:p>
        </w:tc>
      </w:tr>
      <w:tr w:rsidR="00F06132" w14:paraId="4BDFD3EC" w14:textId="77777777">
        <w:tblPrEx>
          <w:tblCellMar>
            <w:top w:w="0" w:type="dxa"/>
            <w:bottom w:w="0" w:type="dxa"/>
          </w:tblCellMar>
        </w:tblPrEx>
        <w:tc>
          <w:tcPr>
            <w:tcW w:w="1800" w:type="dxa"/>
            <w:tcBorders>
              <w:top w:val="single" w:sz="1" w:space="0" w:color="DDE4EE"/>
              <w:left w:val="single" w:sz="1" w:space="0" w:color="DDE4EE"/>
              <w:bottom w:val="single" w:sz="1" w:space="0" w:color="DDE4EE"/>
              <w:right w:val="single" w:sz="1" w:space="0" w:color="DDE4EE"/>
            </w:tcBorders>
            <w:tcMar>
              <w:top w:w="80" w:type="dxa"/>
              <w:left w:w="120" w:type="dxa"/>
              <w:bottom w:w="80" w:type="dxa"/>
              <w:right w:w="120" w:type="dxa"/>
            </w:tcMar>
          </w:tcPr>
          <w:p w14:paraId="4C43FCC1" w14:textId="77777777" w:rsidR="00F06132" w:rsidRDefault="00000000">
            <w:r>
              <w:rPr>
                <w:b/>
                <w:bCs/>
                <w:sz w:val="18"/>
                <w:szCs w:val="18"/>
              </w:rPr>
              <w:t>D1 — DB-Agnostic Abstraction</w:t>
            </w:r>
          </w:p>
        </w:tc>
        <w:tc>
          <w:tcPr>
            <w:tcW w:w="1560" w:type="dxa"/>
            <w:tcBorders>
              <w:top w:val="single" w:sz="1" w:space="0" w:color="DDE4EE"/>
              <w:left w:val="single" w:sz="1" w:space="0" w:color="DDE4EE"/>
              <w:bottom w:val="single" w:sz="1" w:space="0" w:color="DDE4EE"/>
              <w:right w:val="single" w:sz="1" w:space="0" w:color="DDE4EE"/>
            </w:tcBorders>
            <w:shd w:val="clear" w:color="auto" w:fill="FFF3CD"/>
            <w:tcMar>
              <w:top w:w="80" w:type="dxa"/>
              <w:left w:w="120" w:type="dxa"/>
              <w:bottom w:w="80" w:type="dxa"/>
              <w:right w:w="120" w:type="dxa"/>
            </w:tcMar>
            <w:vAlign w:val="center"/>
          </w:tcPr>
          <w:p w14:paraId="67445300" w14:textId="77777777" w:rsidR="00F06132" w:rsidRDefault="00000000">
            <w:pPr>
              <w:jc w:val="center"/>
            </w:pPr>
            <w:r>
              <w:rPr>
                <w:b/>
                <w:bCs/>
                <w:color w:val="7B4D00"/>
                <w:sz w:val="18"/>
                <w:szCs w:val="18"/>
              </w:rPr>
              <w:t>Partial</w:t>
            </w:r>
          </w:p>
        </w:tc>
        <w:tc>
          <w:tcPr>
            <w:tcW w:w="6000" w:type="dxa"/>
            <w:tcBorders>
              <w:top w:val="single" w:sz="1" w:space="0" w:color="DDE4EE"/>
              <w:left w:val="single" w:sz="1" w:space="0" w:color="DDE4EE"/>
              <w:bottom w:val="single" w:sz="1" w:space="0" w:color="DDE4EE"/>
              <w:right w:val="single" w:sz="1" w:space="0" w:color="DDE4EE"/>
            </w:tcBorders>
            <w:tcMar>
              <w:top w:w="80" w:type="dxa"/>
              <w:left w:w="120" w:type="dxa"/>
              <w:bottom w:w="80" w:type="dxa"/>
              <w:right w:w="120" w:type="dxa"/>
            </w:tcMar>
          </w:tcPr>
          <w:p w14:paraId="43310D81" w14:textId="77777777" w:rsidR="00F06132" w:rsidRDefault="00000000">
            <w:r>
              <w:rPr>
                <w:sz w:val="18"/>
                <w:szCs w:val="18"/>
              </w:rPr>
              <w:t>Adapter-level connectors with individual configuration per database engine. CLAIRE AI assists with mapping reuse but does not eliminate per-database reconfiguration when switching engines.</w:t>
            </w:r>
          </w:p>
        </w:tc>
      </w:tr>
      <w:tr w:rsidR="00F06132" w14:paraId="02FBCB3D" w14:textId="77777777">
        <w:tblPrEx>
          <w:tblCellMar>
            <w:top w:w="0" w:type="dxa"/>
            <w:bottom w:w="0" w:type="dxa"/>
          </w:tblCellMar>
        </w:tblPrEx>
        <w:tc>
          <w:tcPr>
            <w:tcW w:w="1800" w:type="dxa"/>
            <w:tcBorders>
              <w:top w:val="single" w:sz="1" w:space="0" w:color="DDE4EE"/>
              <w:left w:val="single" w:sz="1" w:space="0" w:color="DDE4EE"/>
              <w:bottom w:val="single" w:sz="1" w:space="0" w:color="DDE4EE"/>
              <w:right w:val="single" w:sz="1" w:space="0" w:color="DDE4EE"/>
            </w:tcBorders>
            <w:tcMar>
              <w:top w:w="80" w:type="dxa"/>
              <w:left w:w="120" w:type="dxa"/>
              <w:bottom w:w="80" w:type="dxa"/>
              <w:right w:w="120" w:type="dxa"/>
            </w:tcMar>
          </w:tcPr>
          <w:p w14:paraId="64D1D834" w14:textId="77777777" w:rsidR="00F06132" w:rsidRDefault="00000000">
            <w:r>
              <w:rPr>
                <w:b/>
                <w:bCs/>
                <w:sz w:val="18"/>
                <w:szCs w:val="18"/>
              </w:rPr>
              <w:t>D2 — Real-Time CDC</w:t>
            </w:r>
          </w:p>
        </w:tc>
        <w:tc>
          <w:tcPr>
            <w:tcW w:w="1560" w:type="dxa"/>
            <w:tcBorders>
              <w:top w:val="single" w:sz="1" w:space="0" w:color="DDE4EE"/>
              <w:left w:val="single" w:sz="1" w:space="0" w:color="DDE4EE"/>
              <w:bottom w:val="single" w:sz="1" w:space="0" w:color="DDE4EE"/>
              <w:right w:val="single" w:sz="1" w:space="0" w:color="DDE4EE"/>
            </w:tcBorders>
            <w:shd w:val="clear" w:color="auto" w:fill="E8F5E9"/>
            <w:tcMar>
              <w:top w:w="80" w:type="dxa"/>
              <w:left w:w="120" w:type="dxa"/>
              <w:bottom w:w="80" w:type="dxa"/>
              <w:right w:w="120" w:type="dxa"/>
            </w:tcMar>
            <w:vAlign w:val="center"/>
          </w:tcPr>
          <w:p w14:paraId="61602A11" w14:textId="77777777" w:rsidR="00F06132" w:rsidRDefault="00000000">
            <w:pPr>
              <w:jc w:val="center"/>
            </w:pPr>
            <w:r>
              <w:rPr>
                <w:b/>
                <w:bCs/>
                <w:color w:val="1B5E20"/>
                <w:sz w:val="18"/>
                <w:szCs w:val="18"/>
              </w:rPr>
              <w:t>Full</w:t>
            </w:r>
          </w:p>
        </w:tc>
        <w:tc>
          <w:tcPr>
            <w:tcW w:w="6000" w:type="dxa"/>
            <w:tcBorders>
              <w:top w:val="single" w:sz="1" w:space="0" w:color="DDE4EE"/>
              <w:left w:val="single" w:sz="1" w:space="0" w:color="DDE4EE"/>
              <w:bottom w:val="single" w:sz="1" w:space="0" w:color="DDE4EE"/>
              <w:right w:val="single" w:sz="1" w:space="0" w:color="DDE4EE"/>
            </w:tcBorders>
            <w:tcMar>
              <w:top w:w="80" w:type="dxa"/>
              <w:left w:w="120" w:type="dxa"/>
              <w:bottom w:w="80" w:type="dxa"/>
              <w:right w:w="120" w:type="dxa"/>
            </w:tcMar>
          </w:tcPr>
          <w:p w14:paraId="413AAC96" w14:textId="77777777" w:rsidR="00F06132" w:rsidRDefault="00000000">
            <w:proofErr w:type="spellStart"/>
            <w:r>
              <w:rPr>
                <w:sz w:val="18"/>
                <w:szCs w:val="18"/>
              </w:rPr>
              <w:t>PowerExchange</w:t>
            </w:r>
            <w:proofErr w:type="spellEnd"/>
            <w:r>
              <w:rPr>
                <w:sz w:val="18"/>
                <w:szCs w:val="18"/>
              </w:rPr>
              <w:t xml:space="preserve"> CDC reads transaction logs natively: Oracle </w:t>
            </w:r>
            <w:proofErr w:type="spellStart"/>
            <w:r>
              <w:rPr>
                <w:sz w:val="18"/>
                <w:szCs w:val="18"/>
              </w:rPr>
              <w:t>LogMiner</w:t>
            </w:r>
            <w:proofErr w:type="spellEnd"/>
            <w:r>
              <w:rPr>
                <w:sz w:val="18"/>
                <w:szCs w:val="18"/>
              </w:rPr>
              <w:t xml:space="preserve">, PostgreSQL WAL, MySQL </w:t>
            </w:r>
            <w:proofErr w:type="spellStart"/>
            <w:r>
              <w:rPr>
                <w:sz w:val="18"/>
                <w:szCs w:val="18"/>
              </w:rPr>
              <w:t>binlog</w:t>
            </w:r>
            <w:proofErr w:type="spellEnd"/>
            <w:r>
              <w:rPr>
                <w:sz w:val="18"/>
                <w:szCs w:val="18"/>
              </w:rPr>
              <w:t xml:space="preserve">, and MSSQL CT. Mainframe CDC </w:t>
            </w:r>
            <w:r>
              <w:rPr>
                <w:sz w:val="18"/>
                <w:szCs w:val="18"/>
              </w:rPr>
              <w:lastRenderedPageBreak/>
              <w:t>(IBM z/OS) is a unique capability with no equivalent in any other tool reviewed. Additional licensing required.</w:t>
            </w:r>
          </w:p>
        </w:tc>
      </w:tr>
      <w:tr w:rsidR="00F06132" w14:paraId="4E94DA4C" w14:textId="77777777">
        <w:tblPrEx>
          <w:tblCellMar>
            <w:top w:w="0" w:type="dxa"/>
            <w:bottom w:w="0" w:type="dxa"/>
          </w:tblCellMar>
        </w:tblPrEx>
        <w:tc>
          <w:tcPr>
            <w:tcW w:w="1800" w:type="dxa"/>
            <w:tcBorders>
              <w:top w:val="single" w:sz="1" w:space="0" w:color="DDE4EE"/>
              <w:left w:val="single" w:sz="1" w:space="0" w:color="DDE4EE"/>
              <w:bottom w:val="single" w:sz="1" w:space="0" w:color="DDE4EE"/>
              <w:right w:val="single" w:sz="1" w:space="0" w:color="DDE4EE"/>
            </w:tcBorders>
            <w:tcMar>
              <w:top w:w="80" w:type="dxa"/>
              <w:left w:w="120" w:type="dxa"/>
              <w:bottom w:w="80" w:type="dxa"/>
              <w:right w:w="120" w:type="dxa"/>
            </w:tcMar>
          </w:tcPr>
          <w:p w14:paraId="10B0A759" w14:textId="77777777" w:rsidR="00F06132" w:rsidRDefault="00000000">
            <w:r>
              <w:rPr>
                <w:b/>
                <w:bCs/>
                <w:sz w:val="18"/>
                <w:szCs w:val="18"/>
              </w:rPr>
              <w:lastRenderedPageBreak/>
              <w:t>D3 — Self-Service BI</w:t>
            </w:r>
          </w:p>
        </w:tc>
        <w:tc>
          <w:tcPr>
            <w:tcW w:w="1560" w:type="dxa"/>
            <w:tcBorders>
              <w:top w:val="single" w:sz="1" w:space="0" w:color="DDE4EE"/>
              <w:left w:val="single" w:sz="1" w:space="0" w:color="DDE4EE"/>
              <w:bottom w:val="single" w:sz="1" w:space="0" w:color="DDE4EE"/>
              <w:right w:val="single" w:sz="1" w:space="0" w:color="DDE4EE"/>
            </w:tcBorders>
            <w:shd w:val="clear" w:color="auto" w:fill="FFEBEE"/>
            <w:tcMar>
              <w:top w:w="80" w:type="dxa"/>
              <w:left w:w="120" w:type="dxa"/>
              <w:bottom w:w="80" w:type="dxa"/>
              <w:right w:w="120" w:type="dxa"/>
            </w:tcMar>
            <w:vAlign w:val="center"/>
          </w:tcPr>
          <w:p w14:paraId="6410C00C" w14:textId="77777777" w:rsidR="00F06132" w:rsidRDefault="00000000">
            <w:pPr>
              <w:jc w:val="center"/>
            </w:pPr>
            <w:r>
              <w:rPr>
                <w:b/>
                <w:bCs/>
                <w:color w:val="B71C1C"/>
                <w:sz w:val="18"/>
                <w:szCs w:val="18"/>
              </w:rPr>
              <w:t>Not Supported</w:t>
            </w:r>
          </w:p>
        </w:tc>
        <w:tc>
          <w:tcPr>
            <w:tcW w:w="6000" w:type="dxa"/>
            <w:tcBorders>
              <w:top w:val="single" w:sz="1" w:space="0" w:color="DDE4EE"/>
              <w:left w:val="single" w:sz="1" w:space="0" w:color="DDE4EE"/>
              <w:bottom w:val="single" w:sz="1" w:space="0" w:color="DDE4EE"/>
              <w:right w:val="single" w:sz="1" w:space="0" w:color="DDE4EE"/>
            </w:tcBorders>
            <w:tcMar>
              <w:top w:w="80" w:type="dxa"/>
              <w:left w:w="120" w:type="dxa"/>
              <w:bottom w:w="80" w:type="dxa"/>
              <w:right w:w="120" w:type="dxa"/>
            </w:tcMar>
          </w:tcPr>
          <w:p w14:paraId="71A47E79" w14:textId="77777777" w:rsidR="00F06132" w:rsidRDefault="00000000">
            <w:r>
              <w:rPr>
                <w:sz w:val="18"/>
                <w:szCs w:val="18"/>
              </w:rPr>
              <w:t>No native BI dashboard module. IDMC integrates with Microsoft Power BI and Azure Synapse but does not provide dashboard creation or self-service BI capabilities to non-technical users.</w:t>
            </w:r>
          </w:p>
        </w:tc>
      </w:tr>
      <w:tr w:rsidR="00F06132" w14:paraId="5F4B544F" w14:textId="77777777">
        <w:tblPrEx>
          <w:tblCellMar>
            <w:top w:w="0" w:type="dxa"/>
            <w:bottom w:w="0" w:type="dxa"/>
          </w:tblCellMar>
        </w:tblPrEx>
        <w:tc>
          <w:tcPr>
            <w:tcW w:w="1800" w:type="dxa"/>
            <w:tcBorders>
              <w:top w:val="single" w:sz="1" w:space="0" w:color="DDE4EE"/>
              <w:left w:val="single" w:sz="1" w:space="0" w:color="DDE4EE"/>
              <w:bottom w:val="single" w:sz="1" w:space="0" w:color="DDE4EE"/>
              <w:right w:val="single" w:sz="1" w:space="0" w:color="DDE4EE"/>
            </w:tcBorders>
            <w:tcMar>
              <w:top w:w="80" w:type="dxa"/>
              <w:left w:w="120" w:type="dxa"/>
              <w:bottom w:w="80" w:type="dxa"/>
              <w:right w:w="120" w:type="dxa"/>
            </w:tcMar>
          </w:tcPr>
          <w:p w14:paraId="3F8776A4" w14:textId="77777777" w:rsidR="00F06132" w:rsidRDefault="00000000">
            <w:r>
              <w:rPr>
                <w:b/>
                <w:bCs/>
                <w:sz w:val="18"/>
                <w:szCs w:val="18"/>
              </w:rPr>
              <w:t>D4 — Metadata-Driven DW</w:t>
            </w:r>
          </w:p>
        </w:tc>
        <w:tc>
          <w:tcPr>
            <w:tcW w:w="1560" w:type="dxa"/>
            <w:tcBorders>
              <w:top w:val="single" w:sz="1" w:space="0" w:color="DDE4EE"/>
              <w:left w:val="single" w:sz="1" w:space="0" w:color="DDE4EE"/>
              <w:bottom w:val="single" w:sz="1" w:space="0" w:color="DDE4EE"/>
              <w:right w:val="single" w:sz="1" w:space="0" w:color="DDE4EE"/>
            </w:tcBorders>
            <w:shd w:val="clear" w:color="auto" w:fill="FFF3CD"/>
            <w:tcMar>
              <w:top w:w="80" w:type="dxa"/>
              <w:left w:w="120" w:type="dxa"/>
              <w:bottom w:w="80" w:type="dxa"/>
              <w:right w:w="120" w:type="dxa"/>
            </w:tcMar>
            <w:vAlign w:val="center"/>
          </w:tcPr>
          <w:p w14:paraId="4ADF5409" w14:textId="77777777" w:rsidR="00F06132" w:rsidRDefault="00000000">
            <w:pPr>
              <w:jc w:val="center"/>
            </w:pPr>
            <w:r>
              <w:rPr>
                <w:b/>
                <w:bCs/>
                <w:color w:val="7B4D00"/>
                <w:sz w:val="18"/>
                <w:szCs w:val="18"/>
              </w:rPr>
              <w:t>Partial</w:t>
            </w:r>
          </w:p>
        </w:tc>
        <w:tc>
          <w:tcPr>
            <w:tcW w:w="6000" w:type="dxa"/>
            <w:tcBorders>
              <w:top w:val="single" w:sz="1" w:space="0" w:color="DDE4EE"/>
              <w:left w:val="single" w:sz="1" w:space="0" w:color="DDE4EE"/>
              <w:bottom w:val="single" w:sz="1" w:space="0" w:color="DDE4EE"/>
              <w:right w:val="single" w:sz="1" w:space="0" w:color="DDE4EE"/>
            </w:tcBorders>
            <w:tcMar>
              <w:top w:w="80" w:type="dxa"/>
              <w:left w:w="120" w:type="dxa"/>
              <w:bottom w:w="80" w:type="dxa"/>
              <w:right w:w="120" w:type="dxa"/>
            </w:tcMar>
          </w:tcPr>
          <w:p w14:paraId="74A7AAAB" w14:textId="77777777" w:rsidR="00F06132" w:rsidRDefault="00000000">
            <w:r>
              <w:rPr>
                <w:sz w:val="18"/>
                <w:szCs w:val="18"/>
              </w:rPr>
              <w:t>CLAIRE AI automatically harvests metadata from sources, ETL pipelines, and stored procedures, and automates ETL mapping recommendations. Full DW schema auto-generation (fact/dimension from metadata) is not a documented capability.</w:t>
            </w:r>
          </w:p>
        </w:tc>
      </w:tr>
      <w:tr w:rsidR="00F06132" w14:paraId="25D1A776" w14:textId="77777777">
        <w:tblPrEx>
          <w:tblCellMar>
            <w:top w:w="0" w:type="dxa"/>
            <w:bottom w:w="0" w:type="dxa"/>
          </w:tblCellMar>
        </w:tblPrEx>
        <w:tc>
          <w:tcPr>
            <w:tcW w:w="1800" w:type="dxa"/>
            <w:tcBorders>
              <w:top w:val="single" w:sz="1" w:space="0" w:color="DDE4EE"/>
              <w:left w:val="single" w:sz="1" w:space="0" w:color="DDE4EE"/>
              <w:bottom w:val="single" w:sz="1" w:space="0" w:color="DDE4EE"/>
              <w:right w:val="single" w:sz="1" w:space="0" w:color="DDE4EE"/>
            </w:tcBorders>
            <w:tcMar>
              <w:top w:w="80" w:type="dxa"/>
              <w:left w:w="120" w:type="dxa"/>
              <w:bottom w:w="80" w:type="dxa"/>
              <w:right w:w="120" w:type="dxa"/>
            </w:tcMar>
          </w:tcPr>
          <w:p w14:paraId="67EE5402" w14:textId="77777777" w:rsidR="00F06132" w:rsidRDefault="00000000">
            <w:r>
              <w:rPr>
                <w:b/>
                <w:bCs/>
                <w:sz w:val="18"/>
                <w:szCs w:val="18"/>
              </w:rPr>
              <w:t>D5 — Data Quality &amp; Lineage</w:t>
            </w:r>
          </w:p>
        </w:tc>
        <w:tc>
          <w:tcPr>
            <w:tcW w:w="1560" w:type="dxa"/>
            <w:tcBorders>
              <w:top w:val="single" w:sz="1" w:space="0" w:color="DDE4EE"/>
              <w:left w:val="single" w:sz="1" w:space="0" w:color="DDE4EE"/>
              <w:bottom w:val="single" w:sz="1" w:space="0" w:color="DDE4EE"/>
              <w:right w:val="single" w:sz="1" w:space="0" w:color="DDE4EE"/>
            </w:tcBorders>
            <w:shd w:val="clear" w:color="auto" w:fill="E8F5E9"/>
            <w:tcMar>
              <w:top w:w="80" w:type="dxa"/>
              <w:left w:w="120" w:type="dxa"/>
              <w:bottom w:w="80" w:type="dxa"/>
              <w:right w:w="120" w:type="dxa"/>
            </w:tcMar>
            <w:vAlign w:val="center"/>
          </w:tcPr>
          <w:p w14:paraId="3D19AD7D" w14:textId="77777777" w:rsidR="00F06132" w:rsidRDefault="00000000">
            <w:pPr>
              <w:jc w:val="center"/>
            </w:pPr>
            <w:r>
              <w:rPr>
                <w:b/>
                <w:bCs/>
                <w:color w:val="1B5E20"/>
                <w:sz w:val="18"/>
                <w:szCs w:val="18"/>
              </w:rPr>
              <w:t>Full</w:t>
            </w:r>
          </w:p>
        </w:tc>
        <w:tc>
          <w:tcPr>
            <w:tcW w:w="6000" w:type="dxa"/>
            <w:tcBorders>
              <w:top w:val="single" w:sz="1" w:space="0" w:color="DDE4EE"/>
              <w:left w:val="single" w:sz="1" w:space="0" w:color="DDE4EE"/>
              <w:bottom w:val="single" w:sz="1" w:space="0" w:color="DDE4EE"/>
              <w:right w:val="single" w:sz="1" w:space="0" w:color="DDE4EE"/>
            </w:tcBorders>
            <w:tcMar>
              <w:top w:w="80" w:type="dxa"/>
              <w:left w:w="120" w:type="dxa"/>
              <w:bottom w:w="80" w:type="dxa"/>
              <w:right w:w="120" w:type="dxa"/>
            </w:tcMar>
          </w:tcPr>
          <w:p w14:paraId="1D21694E" w14:textId="77777777" w:rsidR="00F06132" w:rsidRDefault="00000000">
            <w:r>
              <w:rPr>
                <w:sz w:val="18"/>
                <w:szCs w:val="18"/>
              </w:rPr>
              <w:t>Most comprehensive D5 capability in the comparison. CLAIRE automates quality scoring with 225+ built-in data classifications. CDGC provides AI-powered full end-to-end lineage including source systems, ETL steps, and downstream targets.</w:t>
            </w:r>
          </w:p>
        </w:tc>
      </w:tr>
      <w:tr w:rsidR="00F06132" w14:paraId="676E862B" w14:textId="77777777">
        <w:tblPrEx>
          <w:tblCellMar>
            <w:top w:w="0" w:type="dxa"/>
            <w:bottom w:w="0" w:type="dxa"/>
          </w:tblCellMar>
        </w:tblPrEx>
        <w:tc>
          <w:tcPr>
            <w:tcW w:w="1800" w:type="dxa"/>
            <w:tcBorders>
              <w:top w:val="single" w:sz="1" w:space="0" w:color="DDE4EE"/>
              <w:left w:val="single" w:sz="1" w:space="0" w:color="DDE4EE"/>
              <w:bottom w:val="single" w:sz="1" w:space="0" w:color="DDE4EE"/>
              <w:right w:val="single" w:sz="1" w:space="0" w:color="DDE4EE"/>
            </w:tcBorders>
            <w:tcMar>
              <w:top w:w="80" w:type="dxa"/>
              <w:left w:w="120" w:type="dxa"/>
              <w:bottom w:w="80" w:type="dxa"/>
              <w:right w:w="120" w:type="dxa"/>
            </w:tcMar>
          </w:tcPr>
          <w:p w14:paraId="77121056" w14:textId="77777777" w:rsidR="00F06132" w:rsidRDefault="00000000">
            <w:r>
              <w:rPr>
                <w:b/>
                <w:bCs/>
                <w:sz w:val="18"/>
                <w:szCs w:val="18"/>
              </w:rPr>
              <w:t>D6 — KVKK / GDPR Compliance</w:t>
            </w:r>
          </w:p>
        </w:tc>
        <w:tc>
          <w:tcPr>
            <w:tcW w:w="1560" w:type="dxa"/>
            <w:tcBorders>
              <w:top w:val="single" w:sz="1" w:space="0" w:color="DDE4EE"/>
              <w:left w:val="single" w:sz="1" w:space="0" w:color="DDE4EE"/>
              <w:bottom w:val="single" w:sz="1" w:space="0" w:color="DDE4EE"/>
              <w:right w:val="single" w:sz="1" w:space="0" w:color="DDE4EE"/>
            </w:tcBorders>
            <w:shd w:val="clear" w:color="auto" w:fill="E8F5E9"/>
            <w:tcMar>
              <w:top w:w="80" w:type="dxa"/>
              <w:left w:w="120" w:type="dxa"/>
              <w:bottom w:w="80" w:type="dxa"/>
              <w:right w:w="120" w:type="dxa"/>
            </w:tcMar>
            <w:vAlign w:val="center"/>
          </w:tcPr>
          <w:p w14:paraId="0B09B579" w14:textId="77777777" w:rsidR="00F06132" w:rsidRDefault="00000000">
            <w:pPr>
              <w:jc w:val="center"/>
            </w:pPr>
            <w:r>
              <w:rPr>
                <w:b/>
                <w:bCs/>
                <w:color w:val="1B5E20"/>
                <w:sz w:val="18"/>
                <w:szCs w:val="18"/>
              </w:rPr>
              <w:t>Full</w:t>
            </w:r>
          </w:p>
        </w:tc>
        <w:tc>
          <w:tcPr>
            <w:tcW w:w="6000" w:type="dxa"/>
            <w:tcBorders>
              <w:top w:val="single" w:sz="1" w:space="0" w:color="DDE4EE"/>
              <w:left w:val="single" w:sz="1" w:space="0" w:color="DDE4EE"/>
              <w:bottom w:val="single" w:sz="1" w:space="0" w:color="DDE4EE"/>
              <w:right w:val="single" w:sz="1" w:space="0" w:color="DDE4EE"/>
            </w:tcBorders>
            <w:tcMar>
              <w:top w:w="80" w:type="dxa"/>
              <w:left w:w="120" w:type="dxa"/>
              <w:bottom w:w="80" w:type="dxa"/>
              <w:right w:w="120" w:type="dxa"/>
            </w:tcMar>
          </w:tcPr>
          <w:p w14:paraId="0E838ABF" w14:textId="77777777" w:rsidR="00F06132" w:rsidRDefault="00000000">
            <w:r>
              <w:rPr>
                <w:sz w:val="18"/>
                <w:szCs w:val="18"/>
              </w:rPr>
              <w:t>225+ compliance classifications covering GDPR, CCPA, PCI DSS, PII, and ePHI. Full audit trail for user and system actions. SOC 1, SOC 2 Type II, FedRAMP certified. KVKK-specific documentation not published; GDPR tooling covers the majority of KVKK scope.</w:t>
            </w:r>
          </w:p>
        </w:tc>
      </w:tr>
      <w:tr w:rsidR="00F06132" w14:paraId="3FC8F85D" w14:textId="77777777">
        <w:tblPrEx>
          <w:tblCellMar>
            <w:top w:w="0" w:type="dxa"/>
            <w:bottom w:w="0" w:type="dxa"/>
          </w:tblCellMar>
        </w:tblPrEx>
        <w:tc>
          <w:tcPr>
            <w:tcW w:w="1800" w:type="dxa"/>
            <w:tcBorders>
              <w:top w:val="single" w:sz="1" w:space="0" w:color="DDE4EE"/>
              <w:left w:val="single" w:sz="1" w:space="0" w:color="DDE4EE"/>
              <w:bottom w:val="single" w:sz="1" w:space="0" w:color="DDE4EE"/>
              <w:right w:val="single" w:sz="1" w:space="0" w:color="DDE4EE"/>
            </w:tcBorders>
            <w:tcMar>
              <w:top w:w="80" w:type="dxa"/>
              <w:left w:w="120" w:type="dxa"/>
              <w:bottom w:w="80" w:type="dxa"/>
              <w:right w:w="120" w:type="dxa"/>
            </w:tcMar>
          </w:tcPr>
          <w:p w14:paraId="161E1616" w14:textId="77777777" w:rsidR="00F06132" w:rsidRDefault="00000000">
            <w:r>
              <w:rPr>
                <w:b/>
                <w:bCs/>
                <w:sz w:val="18"/>
                <w:szCs w:val="18"/>
              </w:rPr>
              <w:t>D7 — Open-Source / No Vendor Lock</w:t>
            </w:r>
          </w:p>
        </w:tc>
        <w:tc>
          <w:tcPr>
            <w:tcW w:w="1560" w:type="dxa"/>
            <w:tcBorders>
              <w:top w:val="single" w:sz="1" w:space="0" w:color="DDE4EE"/>
              <w:left w:val="single" w:sz="1" w:space="0" w:color="DDE4EE"/>
              <w:bottom w:val="single" w:sz="1" w:space="0" w:color="DDE4EE"/>
              <w:right w:val="single" w:sz="1" w:space="0" w:color="DDE4EE"/>
            </w:tcBorders>
            <w:shd w:val="clear" w:color="auto" w:fill="FFEBEE"/>
            <w:tcMar>
              <w:top w:w="80" w:type="dxa"/>
              <w:left w:w="120" w:type="dxa"/>
              <w:bottom w:w="80" w:type="dxa"/>
              <w:right w:w="120" w:type="dxa"/>
            </w:tcMar>
            <w:vAlign w:val="center"/>
          </w:tcPr>
          <w:p w14:paraId="1B420424" w14:textId="77777777" w:rsidR="00F06132" w:rsidRDefault="00000000">
            <w:pPr>
              <w:jc w:val="center"/>
            </w:pPr>
            <w:r>
              <w:rPr>
                <w:b/>
                <w:bCs/>
                <w:color w:val="B71C1C"/>
                <w:sz w:val="18"/>
                <w:szCs w:val="18"/>
              </w:rPr>
              <w:t>Not Supported</w:t>
            </w:r>
          </w:p>
        </w:tc>
        <w:tc>
          <w:tcPr>
            <w:tcW w:w="6000" w:type="dxa"/>
            <w:tcBorders>
              <w:top w:val="single" w:sz="1" w:space="0" w:color="DDE4EE"/>
              <w:left w:val="single" w:sz="1" w:space="0" w:color="DDE4EE"/>
              <w:bottom w:val="single" w:sz="1" w:space="0" w:color="DDE4EE"/>
              <w:right w:val="single" w:sz="1" w:space="0" w:color="DDE4EE"/>
            </w:tcBorders>
            <w:tcMar>
              <w:top w:w="80" w:type="dxa"/>
              <w:left w:w="120" w:type="dxa"/>
              <w:bottom w:w="80" w:type="dxa"/>
              <w:right w:w="120" w:type="dxa"/>
            </w:tcMar>
          </w:tcPr>
          <w:p w14:paraId="4EA58AC1" w14:textId="77777777" w:rsidR="00F06132" w:rsidRDefault="00000000">
            <w:r>
              <w:rPr>
                <w:sz w:val="18"/>
                <w:szCs w:val="18"/>
              </w:rPr>
              <w:t>Fully proprietary — Informatica has never released an open-source version. Per-processor licensing for PowerCenter; IPU consumption for IDMC. Five-year PowerCenter TCO estimated at $3.6M–$15M+. Highest switching costs in the comparison.</w:t>
            </w:r>
          </w:p>
        </w:tc>
      </w:tr>
    </w:tbl>
    <w:p w14:paraId="1BECD0FE" w14:textId="77777777" w:rsidR="00F06132" w:rsidRDefault="00F06132">
      <w:pPr>
        <w:spacing w:after="80"/>
      </w:pPr>
    </w:p>
    <w:p w14:paraId="671A6581" w14:textId="77777777" w:rsidR="00F06132" w:rsidRDefault="00000000">
      <w:pPr>
        <w:spacing w:before="80" w:after="60"/>
      </w:pPr>
      <w:r>
        <w:rPr>
          <w:b/>
          <w:bCs/>
          <w:color w:val="1B5E20"/>
        </w:rPr>
        <w:t xml:space="preserve">Key Strength: </w:t>
      </w:r>
      <w:r>
        <w:t>The CLAIRE AI engine's automated data quality scoring, 225+ classification library, and AI-powered full end-to-end lineage set the benchmark for D5 and D6 in this comparison. SUBOP's governance modules must match this coverage surface area.</w:t>
      </w:r>
    </w:p>
    <w:p w14:paraId="7AB4FFC5" w14:textId="77777777" w:rsidR="00F06132" w:rsidRDefault="00000000">
      <w:pPr>
        <w:spacing w:before="80" w:after="120"/>
      </w:pPr>
      <w:r>
        <w:rPr>
          <w:b/>
          <w:bCs/>
          <w:color w:val="B71C1C"/>
        </w:rPr>
        <w:t xml:space="preserve">Key Limitation: </w:t>
      </w:r>
      <w:r>
        <w:t xml:space="preserve">Informatica is the highest-cost tool in the comparison by a large margin. Production enterprise deployments cost $500,000+/year in platform licensing alone, with implementation services adding $150,000–$300,000. It is inaccessible to any </w:t>
      </w:r>
      <w:proofErr w:type="spellStart"/>
      <w:r>
        <w:t>organisation</w:t>
      </w:r>
      <w:proofErr w:type="spellEnd"/>
      <w:r>
        <w:t xml:space="preserve"> without a multi-million-dollar data infrastructure budget.</w:t>
      </w:r>
    </w:p>
    <w:p w14:paraId="0CC516B7" w14:textId="77777777" w:rsidR="00F06132" w:rsidRDefault="00000000">
      <w:pPr>
        <w:spacing w:before="160" w:after="60"/>
      </w:pPr>
      <w:r>
        <w:rPr>
          <w:b/>
          <w:bCs/>
          <w:color w:val="2E75B6"/>
          <w:sz w:val="22"/>
          <w:szCs w:val="22"/>
        </w:rPr>
        <w:t xml:space="preserve">2.3 Apache </w:t>
      </w:r>
      <w:proofErr w:type="spellStart"/>
      <w:r>
        <w:rPr>
          <w:b/>
          <w:bCs/>
          <w:color w:val="2E75B6"/>
          <w:sz w:val="22"/>
          <w:szCs w:val="22"/>
        </w:rPr>
        <w:t>NiFi</w:t>
      </w:r>
      <w:proofErr w:type="spellEnd"/>
      <w:r>
        <w:rPr>
          <w:b/>
          <w:bCs/>
          <w:color w:val="2E75B6"/>
          <w:sz w:val="22"/>
          <w:szCs w:val="22"/>
        </w:rPr>
        <w:t xml:space="preserve"> (2.x)</w:t>
      </w:r>
    </w:p>
    <w:p w14:paraId="00051E8F" w14:textId="77777777" w:rsidR="00F06132" w:rsidRDefault="00000000">
      <w:pPr>
        <w:spacing w:before="80" w:after="80"/>
      </w:pPr>
      <w:r>
        <w:rPr>
          <w:b/>
          <w:bCs/>
          <w:color w:val="1F4E79"/>
        </w:rPr>
        <w:t xml:space="preserve">Background: </w:t>
      </w:r>
      <w:r>
        <w:t xml:space="preserve">Apache </w:t>
      </w:r>
      <w:proofErr w:type="spellStart"/>
      <w:r>
        <w:t>NiFi</w:t>
      </w:r>
      <w:proofErr w:type="spellEnd"/>
      <w:r>
        <w:t xml:space="preserve"> is an open-source data flow automation platform originally developed by the NSA and donated to the Apache Software Foundation in 2014. </w:t>
      </w:r>
      <w:proofErr w:type="spellStart"/>
      <w:r>
        <w:t>NiFi</w:t>
      </w:r>
      <w:proofErr w:type="spellEnd"/>
      <w:r>
        <w:t xml:space="preserve"> 2.0 reached general availability in June 2024, dropping legacy SSL/TLS components and requiring Java 21. Its core architectural model is dataflow-based: data units called </w:t>
      </w:r>
      <w:proofErr w:type="spellStart"/>
      <w:r>
        <w:t>FlowFiles</w:t>
      </w:r>
      <w:proofErr w:type="spellEnd"/>
      <w:r>
        <w:t xml:space="preserve"> move between Processors in a directed graph on a visual browser-based canvas. </w:t>
      </w:r>
      <w:proofErr w:type="spellStart"/>
      <w:r>
        <w:t>NiFi</w:t>
      </w:r>
      <w:proofErr w:type="spellEnd"/>
      <w:r>
        <w:t xml:space="preserve"> is built for data routing, protocol mediation, and system integration — not for SQL-based warehouse pipelines or BI delivery.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1560"/>
        <w:gridCol w:w="6000"/>
      </w:tblGrid>
      <w:tr w:rsidR="00F06132" w14:paraId="1BC9D9BF" w14:textId="77777777">
        <w:tblPrEx>
          <w:tblCellMar>
            <w:top w:w="0" w:type="dxa"/>
            <w:bottom w:w="0" w:type="dxa"/>
          </w:tblCellMar>
        </w:tblPrEx>
        <w:tc>
          <w:tcPr>
            <w:tcW w:w="1800" w:type="dxa"/>
            <w:tcBorders>
              <w:top w:val="single" w:sz="1" w:space="0" w:color="DDE4EE"/>
              <w:left w:val="single" w:sz="1" w:space="0" w:color="DDE4EE"/>
              <w:bottom w:val="single" w:sz="1" w:space="0" w:color="DDE4EE"/>
              <w:right w:val="single" w:sz="1" w:space="0" w:color="DDE4EE"/>
            </w:tcBorders>
            <w:shd w:val="clear" w:color="auto" w:fill="1F4E79"/>
            <w:tcMar>
              <w:top w:w="80" w:type="dxa"/>
              <w:left w:w="120" w:type="dxa"/>
              <w:bottom w:w="80" w:type="dxa"/>
              <w:right w:w="120" w:type="dxa"/>
            </w:tcMar>
          </w:tcPr>
          <w:p w14:paraId="5F7210A4" w14:textId="77777777" w:rsidR="00F06132" w:rsidRDefault="00000000">
            <w:r>
              <w:rPr>
                <w:b/>
                <w:bCs/>
                <w:color w:val="FFFFFF"/>
                <w:sz w:val="18"/>
                <w:szCs w:val="18"/>
              </w:rPr>
              <w:t>Dimension</w:t>
            </w:r>
          </w:p>
        </w:tc>
        <w:tc>
          <w:tcPr>
            <w:tcW w:w="1560" w:type="dxa"/>
            <w:tcBorders>
              <w:top w:val="single" w:sz="1" w:space="0" w:color="DDE4EE"/>
              <w:left w:val="single" w:sz="1" w:space="0" w:color="DDE4EE"/>
              <w:bottom w:val="single" w:sz="1" w:space="0" w:color="DDE4EE"/>
              <w:right w:val="single" w:sz="1" w:space="0" w:color="DDE4EE"/>
            </w:tcBorders>
            <w:shd w:val="clear" w:color="auto" w:fill="1F4E79"/>
            <w:tcMar>
              <w:top w:w="80" w:type="dxa"/>
              <w:left w:w="120" w:type="dxa"/>
              <w:bottom w:w="80" w:type="dxa"/>
              <w:right w:w="120" w:type="dxa"/>
            </w:tcMar>
          </w:tcPr>
          <w:p w14:paraId="35F5425D" w14:textId="77777777" w:rsidR="00F06132" w:rsidRDefault="00000000">
            <w:r>
              <w:rPr>
                <w:b/>
                <w:bCs/>
                <w:color w:val="FFFFFF"/>
                <w:sz w:val="18"/>
                <w:szCs w:val="18"/>
              </w:rPr>
              <w:t>Rating</w:t>
            </w:r>
          </w:p>
        </w:tc>
        <w:tc>
          <w:tcPr>
            <w:tcW w:w="6000" w:type="dxa"/>
            <w:tcBorders>
              <w:top w:val="single" w:sz="1" w:space="0" w:color="DDE4EE"/>
              <w:left w:val="single" w:sz="1" w:space="0" w:color="DDE4EE"/>
              <w:bottom w:val="single" w:sz="1" w:space="0" w:color="DDE4EE"/>
              <w:right w:val="single" w:sz="1" w:space="0" w:color="DDE4EE"/>
            </w:tcBorders>
            <w:shd w:val="clear" w:color="auto" w:fill="1F4E79"/>
            <w:tcMar>
              <w:top w:w="80" w:type="dxa"/>
              <w:left w:w="120" w:type="dxa"/>
              <w:bottom w:w="80" w:type="dxa"/>
              <w:right w:w="120" w:type="dxa"/>
            </w:tcMar>
          </w:tcPr>
          <w:p w14:paraId="1CFFC8DF" w14:textId="77777777" w:rsidR="00F06132" w:rsidRDefault="00000000">
            <w:r>
              <w:rPr>
                <w:b/>
                <w:bCs/>
                <w:color w:val="FFFFFF"/>
                <w:sz w:val="18"/>
                <w:szCs w:val="18"/>
              </w:rPr>
              <w:t>Key Evidence</w:t>
            </w:r>
          </w:p>
        </w:tc>
      </w:tr>
      <w:tr w:rsidR="00F06132" w14:paraId="6C83DB94" w14:textId="77777777">
        <w:tblPrEx>
          <w:tblCellMar>
            <w:top w:w="0" w:type="dxa"/>
            <w:bottom w:w="0" w:type="dxa"/>
          </w:tblCellMar>
        </w:tblPrEx>
        <w:tc>
          <w:tcPr>
            <w:tcW w:w="1800" w:type="dxa"/>
            <w:tcBorders>
              <w:top w:val="single" w:sz="1" w:space="0" w:color="DDE4EE"/>
              <w:left w:val="single" w:sz="1" w:space="0" w:color="DDE4EE"/>
              <w:bottom w:val="single" w:sz="1" w:space="0" w:color="DDE4EE"/>
              <w:right w:val="single" w:sz="1" w:space="0" w:color="DDE4EE"/>
            </w:tcBorders>
            <w:tcMar>
              <w:top w:w="80" w:type="dxa"/>
              <w:left w:w="120" w:type="dxa"/>
              <w:bottom w:w="80" w:type="dxa"/>
              <w:right w:w="120" w:type="dxa"/>
            </w:tcMar>
          </w:tcPr>
          <w:p w14:paraId="29B339D9" w14:textId="77777777" w:rsidR="00F06132" w:rsidRDefault="00000000">
            <w:r>
              <w:rPr>
                <w:b/>
                <w:bCs/>
                <w:sz w:val="18"/>
                <w:szCs w:val="18"/>
              </w:rPr>
              <w:t>D1 — DB-Agnostic Abstraction</w:t>
            </w:r>
          </w:p>
        </w:tc>
        <w:tc>
          <w:tcPr>
            <w:tcW w:w="1560" w:type="dxa"/>
            <w:tcBorders>
              <w:top w:val="single" w:sz="1" w:space="0" w:color="DDE4EE"/>
              <w:left w:val="single" w:sz="1" w:space="0" w:color="DDE4EE"/>
              <w:bottom w:val="single" w:sz="1" w:space="0" w:color="DDE4EE"/>
              <w:right w:val="single" w:sz="1" w:space="0" w:color="DDE4EE"/>
            </w:tcBorders>
            <w:shd w:val="clear" w:color="auto" w:fill="FFF3CD"/>
            <w:tcMar>
              <w:top w:w="80" w:type="dxa"/>
              <w:left w:w="120" w:type="dxa"/>
              <w:bottom w:w="80" w:type="dxa"/>
              <w:right w:w="120" w:type="dxa"/>
            </w:tcMar>
            <w:vAlign w:val="center"/>
          </w:tcPr>
          <w:p w14:paraId="5BBEFBEB" w14:textId="77777777" w:rsidR="00F06132" w:rsidRDefault="00000000">
            <w:pPr>
              <w:jc w:val="center"/>
            </w:pPr>
            <w:r>
              <w:rPr>
                <w:b/>
                <w:bCs/>
                <w:color w:val="7B4D00"/>
                <w:sz w:val="18"/>
                <w:szCs w:val="18"/>
              </w:rPr>
              <w:t>Partial</w:t>
            </w:r>
          </w:p>
        </w:tc>
        <w:tc>
          <w:tcPr>
            <w:tcW w:w="6000" w:type="dxa"/>
            <w:tcBorders>
              <w:top w:val="single" w:sz="1" w:space="0" w:color="DDE4EE"/>
              <w:left w:val="single" w:sz="1" w:space="0" w:color="DDE4EE"/>
              <w:bottom w:val="single" w:sz="1" w:space="0" w:color="DDE4EE"/>
              <w:right w:val="single" w:sz="1" w:space="0" w:color="DDE4EE"/>
            </w:tcBorders>
            <w:tcMar>
              <w:top w:w="80" w:type="dxa"/>
              <w:left w:w="120" w:type="dxa"/>
              <w:bottom w:w="80" w:type="dxa"/>
              <w:right w:w="120" w:type="dxa"/>
            </w:tcMar>
          </w:tcPr>
          <w:p w14:paraId="48D34827" w14:textId="77777777" w:rsidR="00F06132" w:rsidRDefault="00000000">
            <w:proofErr w:type="spellStart"/>
            <w:r>
              <w:rPr>
                <w:sz w:val="18"/>
                <w:szCs w:val="18"/>
              </w:rPr>
              <w:t>GetDatabaseRecord</w:t>
            </w:r>
            <w:proofErr w:type="spellEnd"/>
            <w:r>
              <w:rPr>
                <w:sz w:val="18"/>
                <w:szCs w:val="18"/>
              </w:rPr>
              <w:t xml:space="preserve"> and </w:t>
            </w:r>
            <w:proofErr w:type="spellStart"/>
            <w:r>
              <w:rPr>
                <w:sz w:val="18"/>
                <w:szCs w:val="18"/>
              </w:rPr>
              <w:t>QueryDatabaseTable</w:t>
            </w:r>
            <w:proofErr w:type="spellEnd"/>
            <w:r>
              <w:rPr>
                <w:sz w:val="18"/>
                <w:szCs w:val="18"/>
              </w:rPr>
              <w:t xml:space="preserve"> connect to JDBC databases individually via Controller Services. Each engine requires its own driver JAR and connection pool. Switching Oracle to PostgreSQL requires replacing the connection pool and reviewing SQL per processor. No unified abstraction above JDBC.</w:t>
            </w:r>
          </w:p>
        </w:tc>
      </w:tr>
      <w:tr w:rsidR="00F06132" w14:paraId="2F682CF9" w14:textId="77777777">
        <w:tblPrEx>
          <w:tblCellMar>
            <w:top w:w="0" w:type="dxa"/>
            <w:bottom w:w="0" w:type="dxa"/>
          </w:tblCellMar>
        </w:tblPrEx>
        <w:tc>
          <w:tcPr>
            <w:tcW w:w="1800" w:type="dxa"/>
            <w:tcBorders>
              <w:top w:val="single" w:sz="1" w:space="0" w:color="DDE4EE"/>
              <w:left w:val="single" w:sz="1" w:space="0" w:color="DDE4EE"/>
              <w:bottom w:val="single" w:sz="1" w:space="0" w:color="DDE4EE"/>
              <w:right w:val="single" w:sz="1" w:space="0" w:color="DDE4EE"/>
            </w:tcBorders>
            <w:tcMar>
              <w:top w:w="80" w:type="dxa"/>
              <w:left w:w="120" w:type="dxa"/>
              <w:bottom w:w="80" w:type="dxa"/>
              <w:right w:w="120" w:type="dxa"/>
            </w:tcMar>
          </w:tcPr>
          <w:p w14:paraId="198BADAF" w14:textId="77777777" w:rsidR="00F06132" w:rsidRDefault="00000000">
            <w:r>
              <w:rPr>
                <w:b/>
                <w:bCs/>
                <w:sz w:val="18"/>
                <w:szCs w:val="18"/>
              </w:rPr>
              <w:t>D2 — Real-Time CDC</w:t>
            </w:r>
          </w:p>
        </w:tc>
        <w:tc>
          <w:tcPr>
            <w:tcW w:w="1560" w:type="dxa"/>
            <w:tcBorders>
              <w:top w:val="single" w:sz="1" w:space="0" w:color="DDE4EE"/>
              <w:left w:val="single" w:sz="1" w:space="0" w:color="DDE4EE"/>
              <w:bottom w:val="single" w:sz="1" w:space="0" w:color="DDE4EE"/>
              <w:right w:val="single" w:sz="1" w:space="0" w:color="DDE4EE"/>
            </w:tcBorders>
            <w:shd w:val="clear" w:color="auto" w:fill="FFF3CD"/>
            <w:tcMar>
              <w:top w:w="80" w:type="dxa"/>
              <w:left w:w="120" w:type="dxa"/>
              <w:bottom w:w="80" w:type="dxa"/>
              <w:right w:w="120" w:type="dxa"/>
            </w:tcMar>
            <w:vAlign w:val="center"/>
          </w:tcPr>
          <w:p w14:paraId="1E92E23A" w14:textId="77777777" w:rsidR="00F06132" w:rsidRDefault="00000000">
            <w:pPr>
              <w:jc w:val="center"/>
            </w:pPr>
            <w:r>
              <w:rPr>
                <w:b/>
                <w:bCs/>
                <w:color w:val="7B4D00"/>
                <w:sz w:val="18"/>
                <w:szCs w:val="18"/>
              </w:rPr>
              <w:t>Partial</w:t>
            </w:r>
          </w:p>
        </w:tc>
        <w:tc>
          <w:tcPr>
            <w:tcW w:w="6000" w:type="dxa"/>
            <w:tcBorders>
              <w:top w:val="single" w:sz="1" w:space="0" w:color="DDE4EE"/>
              <w:left w:val="single" w:sz="1" w:space="0" w:color="DDE4EE"/>
              <w:bottom w:val="single" w:sz="1" w:space="0" w:color="DDE4EE"/>
              <w:right w:val="single" w:sz="1" w:space="0" w:color="DDE4EE"/>
            </w:tcBorders>
            <w:tcMar>
              <w:top w:w="80" w:type="dxa"/>
              <w:left w:w="120" w:type="dxa"/>
              <w:bottom w:w="80" w:type="dxa"/>
              <w:right w:w="120" w:type="dxa"/>
            </w:tcMar>
          </w:tcPr>
          <w:p w14:paraId="03FD81C6" w14:textId="77777777" w:rsidR="00F06132" w:rsidRDefault="00000000">
            <w:r>
              <w:rPr>
                <w:sz w:val="18"/>
                <w:szCs w:val="18"/>
              </w:rPr>
              <w:t xml:space="preserve">Polling-based incremental extraction for all JDBC databases captures new rows only — UPDATEs and DELETEs are silently missed. </w:t>
            </w:r>
            <w:proofErr w:type="spellStart"/>
            <w:r>
              <w:rPr>
                <w:sz w:val="18"/>
                <w:szCs w:val="18"/>
              </w:rPr>
              <w:t>CaptureChangeMySQL</w:t>
            </w:r>
            <w:proofErr w:type="spellEnd"/>
            <w:r>
              <w:rPr>
                <w:sz w:val="18"/>
                <w:szCs w:val="18"/>
              </w:rPr>
              <w:t xml:space="preserve"> reads the MySQL binary log natively (the only native log-based CDC processor in </w:t>
            </w:r>
            <w:proofErr w:type="spellStart"/>
            <w:r>
              <w:rPr>
                <w:sz w:val="18"/>
                <w:szCs w:val="18"/>
              </w:rPr>
              <w:t>NiFi</w:t>
            </w:r>
            <w:proofErr w:type="spellEnd"/>
            <w:r>
              <w:rPr>
                <w:sz w:val="18"/>
                <w:szCs w:val="18"/>
              </w:rPr>
              <w:t xml:space="preserve">). No equivalent for PostgreSQL WAL, Oracle </w:t>
            </w:r>
            <w:proofErr w:type="spellStart"/>
            <w:r>
              <w:rPr>
                <w:sz w:val="18"/>
                <w:szCs w:val="18"/>
              </w:rPr>
              <w:t>LogMiner</w:t>
            </w:r>
            <w:proofErr w:type="spellEnd"/>
            <w:r>
              <w:rPr>
                <w:sz w:val="18"/>
                <w:szCs w:val="18"/>
              </w:rPr>
              <w:t xml:space="preserve">, or MSSQL CDC. Requires external </w:t>
            </w:r>
            <w:proofErr w:type="spellStart"/>
            <w:r>
              <w:rPr>
                <w:sz w:val="18"/>
                <w:szCs w:val="18"/>
              </w:rPr>
              <w:t>Debezium</w:t>
            </w:r>
            <w:proofErr w:type="spellEnd"/>
            <w:r>
              <w:rPr>
                <w:sz w:val="18"/>
                <w:szCs w:val="18"/>
              </w:rPr>
              <w:t xml:space="preserve"> for full multi-database CDC coverage.</w:t>
            </w:r>
          </w:p>
        </w:tc>
      </w:tr>
      <w:tr w:rsidR="00F06132" w14:paraId="704E2997" w14:textId="77777777">
        <w:tblPrEx>
          <w:tblCellMar>
            <w:top w:w="0" w:type="dxa"/>
            <w:bottom w:w="0" w:type="dxa"/>
          </w:tblCellMar>
        </w:tblPrEx>
        <w:tc>
          <w:tcPr>
            <w:tcW w:w="1800" w:type="dxa"/>
            <w:tcBorders>
              <w:top w:val="single" w:sz="1" w:space="0" w:color="DDE4EE"/>
              <w:left w:val="single" w:sz="1" w:space="0" w:color="DDE4EE"/>
              <w:bottom w:val="single" w:sz="1" w:space="0" w:color="DDE4EE"/>
              <w:right w:val="single" w:sz="1" w:space="0" w:color="DDE4EE"/>
            </w:tcBorders>
            <w:tcMar>
              <w:top w:w="80" w:type="dxa"/>
              <w:left w:w="120" w:type="dxa"/>
              <w:bottom w:w="80" w:type="dxa"/>
              <w:right w:w="120" w:type="dxa"/>
            </w:tcMar>
          </w:tcPr>
          <w:p w14:paraId="4A920E18" w14:textId="77777777" w:rsidR="00F06132" w:rsidRDefault="00000000">
            <w:r>
              <w:rPr>
                <w:b/>
                <w:bCs/>
                <w:sz w:val="18"/>
                <w:szCs w:val="18"/>
              </w:rPr>
              <w:t>D3 — Self-Service BI</w:t>
            </w:r>
          </w:p>
        </w:tc>
        <w:tc>
          <w:tcPr>
            <w:tcW w:w="1560" w:type="dxa"/>
            <w:tcBorders>
              <w:top w:val="single" w:sz="1" w:space="0" w:color="DDE4EE"/>
              <w:left w:val="single" w:sz="1" w:space="0" w:color="DDE4EE"/>
              <w:bottom w:val="single" w:sz="1" w:space="0" w:color="DDE4EE"/>
              <w:right w:val="single" w:sz="1" w:space="0" w:color="DDE4EE"/>
            </w:tcBorders>
            <w:shd w:val="clear" w:color="auto" w:fill="FFEBEE"/>
            <w:tcMar>
              <w:top w:w="80" w:type="dxa"/>
              <w:left w:w="120" w:type="dxa"/>
              <w:bottom w:w="80" w:type="dxa"/>
              <w:right w:w="120" w:type="dxa"/>
            </w:tcMar>
            <w:vAlign w:val="center"/>
          </w:tcPr>
          <w:p w14:paraId="60338D0D" w14:textId="77777777" w:rsidR="00F06132" w:rsidRDefault="00000000">
            <w:pPr>
              <w:jc w:val="center"/>
            </w:pPr>
            <w:r>
              <w:rPr>
                <w:b/>
                <w:bCs/>
                <w:color w:val="B71C1C"/>
                <w:sz w:val="18"/>
                <w:szCs w:val="18"/>
              </w:rPr>
              <w:t>Not Supported</w:t>
            </w:r>
          </w:p>
        </w:tc>
        <w:tc>
          <w:tcPr>
            <w:tcW w:w="6000" w:type="dxa"/>
            <w:tcBorders>
              <w:top w:val="single" w:sz="1" w:space="0" w:color="DDE4EE"/>
              <w:left w:val="single" w:sz="1" w:space="0" w:color="DDE4EE"/>
              <w:bottom w:val="single" w:sz="1" w:space="0" w:color="DDE4EE"/>
              <w:right w:val="single" w:sz="1" w:space="0" w:color="DDE4EE"/>
            </w:tcBorders>
            <w:tcMar>
              <w:top w:w="80" w:type="dxa"/>
              <w:left w:w="120" w:type="dxa"/>
              <w:bottom w:w="80" w:type="dxa"/>
              <w:right w:w="120" w:type="dxa"/>
            </w:tcMar>
          </w:tcPr>
          <w:p w14:paraId="34B71FDD" w14:textId="77777777" w:rsidR="00F06132" w:rsidRDefault="00000000">
            <w:proofErr w:type="spellStart"/>
            <w:r>
              <w:rPr>
                <w:sz w:val="18"/>
                <w:szCs w:val="18"/>
              </w:rPr>
              <w:t>NiFi</w:t>
            </w:r>
            <w:proofErr w:type="spellEnd"/>
            <w:r>
              <w:rPr>
                <w:sz w:val="18"/>
                <w:szCs w:val="18"/>
              </w:rPr>
              <w:t xml:space="preserve"> has no BI capability of any kind. No dashboard builder, no chart creation, no self-service reporting. Business users cannot create or view </w:t>
            </w:r>
            <w:proofErr w:type="spellStart"/>
            <w:r>
              <w:rPr>
                <w:sz w:val="18"/>
                <w:szCs w:val="18"/>
              </w:rPr>
              <w:t>visualisations</w:t>
            </w:r>
            <w:proofErr w:type="spellEnd"/>
            <w:r>
              <w:rPr>
                <w:sz w:val="18"/>
                <w:szCs w:val="18"/>
              </w:rPr>
              <w:t xml:space="preserve"> inside </w:t>
            </w:r>
            <w:proofErr w:type="spellStart"/>
            <w:r>
              <w:rPr>
                <w:sz w:val="18"/>
                <w:szCs w:val="18"/>
              </w:rPr>
              <w:t>NiFi</w:t>
            </w:r>
            <w:proofErr w:type="spellEnd"/>
            <w:r>
              <w:rPr>
                <w:sz w:val="18"/>
                <w:szCs w:val="18"/>
              </w:rPr>
              <w:t>.</w:t>
            </w:r>
          </w:p>
        </w:tc>
      </w:tr>
      <w:tr w:rsidR="00F06132" w14:paraId="2EF7A2F1" w14:textId="77777777">
        <w:tblPrEx>
          <w:tblCellMar>
            <w:top w:w="0" w:type="dxa"/>
            <w:bottom w:w="0" w:type="dxa"/>
          </w:tblCellMar>
        </w:tblPrEx>
        <w:tc>
          <w:tcPr>
            <w:tcW w:w="1800" w:type="dxa"/>
            <w:tcBorders>
              <w:top w:val="single" w:sz="1" w:space="0" w:color="DDE4EE"/>
              <w:left w:val="single" w:sz="1" w:space="0" w:color="DDE4EE"/>
              <w:bottom w:val="single" w:sz="1" w:space="0" w:color="DDE4EE"/>
              <w:right w:val="single" w:sz="1" w:space="0" w:color="DDE4EE"/>
            </w:tcBorders>
            <w:tcMar>
              <w:top w:w="80" w:type="dxa"/>
              <w:left w:w="120" w:type="dxa"/>
              <w:bottom w:w="80" w:type="dxa"/>
              <w:right w:w="120" w:type="dxa"/>
            </w:tcMar>
          </w:tcPr>
          <w:p w14:paraId="019E6A90" w14:textId="77777777" w:rsidR="00F06132" w:rsidRDefault="00000000">
            <w:r>
              <w:rPr>
                <w:b/>
                <w:bCs/>
                <w:sz w:val="18"/>
                <w:szCs w:val="18"/>
              </w:rPr>
              <w:t>D4 — Metadata-Driven DW</w:t>
            </w:r>
          </w:p>
        </w:tc>
        <w:tc>
          <w:tcPr>
            <w:tcW w:w="1560" w:type="dxa"/>
            <w:tcBorders>
              <w:top w:val="single" w:sz="1" w:space="0" w:color="DDE4EE"/>
              <w:left w:val="single" w:sz="1" w:space="0" w:color="DDE4EE"/>
              <w:bottom w:val="single" w:sz="1" w:space="0" w:color="DDE4EE"/>
              <w:right w:val="single" w:sz="1" w:space="0" w:color="DDE4EE"/>
            </w:tcBorders>
            <w:shd w:val="clear" w:color="auto" w:fill="FFEBEE"/>
            <w:tcMar>
              <w:top w:w="80" w:type="dxa"/>
              <w:left w:w="120" w:type="dxa"/>
              <w:bottom w:w="80" w:type="dxa"/>
              <w:right w:w="120" w:type="dxa"/>
            </w:tcMar>
            <w:vAlign w:val="center"/>
          </w:tcPr>
          <w:p w14:paraId="356ACE96" w14:textId="77777777" w:rsidR="00F06132" w:rsidRDefault="00000000">
            <w:pPr>
              <w:jc w:val="center"/>
            </w:pPr>
            <w:r>
              <w:rPr>
                <w:b/>
                <w:bCs/>
                <w:color w:val="B71C1C"/>
                <w:sz w:val="18"/>
                <w:szCs w:val="18"/>
              </w:rPr>
              <w:t>Not Supported</w:t>
            </w:r>
          </w:p>
        </w:tc>
        <w:tc>
          <w:tcPr>
            <w:tcW w:w="6000" w:type="dxa"/>
            <w:tcBorders>
              <w:top w:val="single" w:sz="1" w:space="0" w:color="DDE4EE"/>
              <w:left w:val="single" w:sz="1" w:space="0" w:color="DDE4EE"/>
              <w:bottom w:val="single" w:sz="1" w:space="0" w:color="DDE4EE"/>
              <w:right w:val="single" w:sz="1" w:space="0" w:color="DDE4EE"/>
            </w:tcBorders>
            <w:tcMar>
              <w:top w:w="80" w:type="dxa"/>
              <w:left w:w="120" w:type="dxa"/>
              <w:bottom w:w="80" w:type="dxa"/>
              <w:right w:w="120" w:type="dxa"/>
            </w:tcMar>
          </w:tcPr>
          <w:p w14:paraId="5D8413C7" w14:textId="77777777" w:rsidR="00F06132" w:rsidRDefault="00000000">
            <w:proofErr w:type="spellStart"/>
            <w:r>
              <w:rPr>
                <w:sz w:val="18"/>
                <w:szCs w:val="18"/>
              </w:rPr>
              <w:t>NiFi</w:t>
            </w:r>
            <w:proofErr w:type="spellEnd"/>
            <w:r>
              <w:rPr>
                <w:sz w:val="18"/>
                <w:szCs w:val="18"/>
              </w:rPr>
              <w:t xml:space="preserve"> moves data to whatever structure exists in the target database. It has no mechanism to read source metadata and generate fact tables, dimension tables, or SCD logic. Apache Atlas integration </w:t>
            </w:r>
            <w:proofErr w:type="gramStart"/>
            <w:r>
              <w:rPr>
                <w:sz w:val="18"/>
                <w:szCs w:val="18"/>
              </w:rPr>
              <w:t>possible</w:t>
            </w:r>
            <w:proofErr w:type="gramEnd"/>
            <w:r>
              <w:rPr>
                <w:sz w:val="18"/>
                <w:szCs w:val="18"/>
              </w:rPr>
              <w:t xml:space="preserve"> for cataloging but does not trigger schema generation inside </w:t>
            </w:r>
            <w:proofErr w:type="spellStart"/>
            <w:r>
              <w:rPr>
                <w:sz w:val="18"/>
                <w:szCs w:val="18"/>
              </w:rPr>
              <w:t>NiFi</w:t>
            </w:r>
            <w:proofErr w:type="spellEnd"/>
            <w:r>
              <w:rPr>
                <w:sz w:val="18"/>
                <w:szCs w:val="18"/>
              </w:rPr>
              <w:t>.</w:t>
            </w:r>
          </w:p>
        </w:tc>
      </w:tr>
      <w:tr w:rsidR="00F06132" w14:paraId="30779E51" w14:textId="77777777">
        <w:tblPrEx>
          <w:tblCellMar>
            <w:top w:w="0" w:type="dxa"/>
            <w:bottom w:w="0" w:type="dxa"/>
          </w:tblCellMar>
        </w:tblPrEx>
        <w:tc>
          <w:tcPr>
            <w:tcW w:w="1800" w:type="dxa"/>
            <w:tcBorders>
              <w:top w:val="single" w:sz="1" w:space="0" w:color="DDE4EE"/>
              <w:left w:val="single" w:sz="1" w:space="0" w:color="DDE4EE"/>
              <w:bottom w:val="single" w:sz="1" w:space="0" w:color="DDE4EE"/>
              <w:right w:val="single" w:sz="1" w:space="0" w:color="DDE4EE"/>
            </w:tcBorders>
            <w:tcMar>
              <w:top w:w="80" w:type="dxa"/>
              <w:left w:w="120" w:type="dxa"/>
              <w:bottom w:w="80" w:type="dxa"/>
              <w:right w:w="120" w:type="dxa"/>
            </w:tcMar>
          </w:tcPr>
          <w:p w14:paraId="6D32D5BC" w14:textId="77777777" w:rsidR="00F06132" w:rsidRDefault="00000000">
            <w:r>
              <w:rPr>
                <w:b/>
                <w:bCs/>
                <w:sz w:val="18"/>
                <w:szCs w:val="18"/>
              </w:rPr>
              <w:lastRenderedPageBreak/>
              <w:t>D5 — Data Quality &amp; Lineage</w:t>
            </w:r>
          </w:p>
        </w:tc>
        <w:tc>
          <w:tcPr>
            <w:tcW w:w="1560" w:type="dxa"/>
            <w:tcBorders>
              <w:top w:val="single" w:sz="1" w:space="0" w:color="DDE4EE"/>
              <w:left w:val="single" w:sz="1" w:space="0" w:color="DDE4EE"/>
              <w:bottom w:val="single" w:sz="1" w:space="0" w:color="DDE4EE"/>
              <w:right w:val="single" w:sz="1" w:space="0" w:color="DDE4EE"/>
            </w:tcBorders>
            <w:shd w:val="clear" w:color="auto" w:fill="FFF3CD"/>
            <w:tcMar>
              <w:top w:w="80" w:type="dxa"/>
              <w:left w:w="120" w:type="dxa"/>
              <w:bottom w:w="80" w:type="dxa"/>
              <w:right w:w="120" w:type="dxa"/>
            </w:tcMar>
            <w:vAlign w:val="center"/>
          </w:tcPr>
          <w:p w14:paraId="523E7380" w14:textId="77777777" w:rsidR="00F06132" w:rsidRDefault="00000000">
            <w:pPr>
              <w:jc w:val="center"/>
            </w:pPr>
            <w:r>
              <w:rPr>
                <w:b/>
                <w:bCs/>
                <w:color w:val="7B4D00"/>
                <w:sz w:val="18"/>
                <w:szCs w:val="18"/>
              </w:rPr>
              <w:t>Partial</w:t>
            </w:r>
          </w:p>
        </w:tc>
        <w:tc>
          <w:tcPr>
            <w:tcW w:w="6000" w:type="dxa"/>
            <w:tcBorders>
              <w:top w:val="single" w:sz="1" w:space="0" w:color="DDE4EE"/>
              <w:left w:val="single" w:sz="1" w:space="0" w:color="DDE4EE"/>
              <w:bottom w:val="single" w:sz="1" w:space="0" w:color="DDE4EE"/>
              <w:right w:val="single" w:sz="1" w:space="0" w:color="DDE4EE"/>
            </w:tcBorders>
            <w:tcMar>
              <w:top w:w="80" w:type="dxa"/>
              <w:left w:w="120" w:type="dxa"/>
              <w:bottom w:w="80" w:type="dxa"/>
              <w:right w:w="120" w:type="dxa"/>
            </w:tcMar>
          </w:tcPr>
          <w:p w14:paraId="40E1C60C" w14:textId="77777777" w:rsidR="00F06132" w:rsidRDefault="00000000">
            <w:r>
              <w:rPr>
                <w:sz w:val="18"/>
                <w:szCs w:val="18"/>
              </w:rPr>
              <w:t xml:space="preserve">Data Provenance engine records every </w:t>
            </w:r>
            <w:proofErr w:type="spellStart"/>
            <w:r>
              <w:rPr>
                <w:sz w:val="18"/>
                <w:szCs w:val="18"/>
              </w:rPr>
              <w:t>FlowFile</w:t>
            </w:r>
            <w:proofErr w:type="spellEnd"/>
            <w:r>
              <w:rPr>
                <w:sz w:val="18"/>
                <w:szCs w:val="18"/>
              </w:rPr>
              <w:t xml:space="preserve"> event with full chain of custody — </w:t>
            </w:r>
            <w:proofErr w:type="spellStart"/>
            <w:r>
              <w:rPr>
                <w:sz w:val="18"/>
                <w:szCs w:val="18"/>
              </w:rPr>
              <w:t>NiFi's</w:t>
            </w:r>
            <w:proofErr w:type="spellEnd"/>
            <w:r>
              <w:rPr>
                <w:sz w:val="18"/>
                <w:szCs w:val="18"/>
              </w:rPr>
              <w:t xml:space="preserve"> standout capability. </w:t>
            </w:r>
            <w:proofErr w:type="spellStart"/>
            <w:r>
              <w:rPr>
                <w:sz w:val="18"/>
                <w:szCs w:val="18"/>
              </w:rPr>
              <w:t>ValidateRecord</w:t>
            </w:r>
            <w:proofErr w:type="spellEnd"/>
            <w:r>
              <w:rPr>
                <w:sz w:val="18"/>
                <w:szCs w:val="18"/>
              </w:rPr>
              <w:t xml:space="preserve"> validates against Avro schema (format only). No automated null/duplicate/range/anomaly checking. No quality scoring. Provenance is limited to in-</w:t>
            </w:r>
            <w:proofErr w:type="spellStart"/>
            <w:r>
              <w:rPr>
                <w:sz w:val="18"/>
                <w:szCs w:val="18"/>
              </w:rPr>
              <w:t>NiFi</w:t>
            </w:r>
            <w:proofErr w:type="spellEnd"/>
            <w:r>
              <w:rPr>
                <w:sz w:val="18"/>
                <w:szCs w:val="18"/>
              </w:rPr>
              <w:t xml:space="preserve"> lineage only.</w:t>
            </w:r>
          </w:p>
        </w:tc>
      </w:tr>
      <w:tr w:rsidR="00F06132" w14:paraId="35466426" w14:textId="77777777">
        <w:tblPrEx>
          <w:tblCellMar>
            <w:top w:w="0" w:type="dxa"/>
            <w:bottom w:w="0" w:type="dxa"/>
          </w:tblCellMar>
        </w:tblPrEx>
        <w:tc>
          <w:tcPr>
            <w:tcW w:w="1800" w:type="dxa"/>
            <w:tcBorders>
              <w:top w:val="single" w:sz="1" w:space="0" w:color="DDE4EE"/>
              <w:left w:val="single" w:sz="1" w:space="0" w:color="DDE4EE"/>
              <w:bottom w:val="single" w:sz="1" w:space="0" w:color="DDE4EE"/>
              <w:right w:val="single" w:sz="1" w:space="0" w:color="DDE4EE"/>
            </w:tcBorders>
            <w:tcMar>
              <w:top w:w="80" w:type="dxa"/>
              <w:left w:w="120" w:type="dxa"/>
              <w:bottom w:w="80" w:type="dxa"/>
              <w:right w:w="120" w:type="dxa"/>
            </w:tcMar>
          </w:tcPr>
          <w:p w14:paraId="780148BD" w14:textId="77777777" w:rsidR="00F06132" w:rsidRDefault="00000000">
            <w:r>
              <w:rPr>
                <w:b/>
                <w:bCs/>
                <w:sz w:val="18"/>
                <w:szCs w:val="18"/>
              </w:rPr>
              <w:t>D6 — KVKK / GDPR Compliance</w:t>
            </w:r>
          </w:p>
        </w:tc>
        <w:tc>
          <w:tcPr>
            <w:tcW w:w="1560" w:type="dxa"/>
            <w:tcBorders>
              <w:top w:val="single" w:sz="1" w:space="0" w:color="DDE4EE"/>
              <w:left w:val="single" w:sz="1" w:space="0" w:color="DDE4EE"/>
              <w:bottom w:val="single" w:sz="1" w:space="0" w:color="DDE4EE"/>
              <w:right w:val="single" w:sz="1" w:space="0" w:color="DDE4EE"/>
            </w:tcBorders>
            <w:shd w:val="clear" w:color="auto" w:fill="FFEBEE"/>
            <w:tcMar>
              <w:top w:w="80" w:type="dxa"/>
              <w:left w:w="120" w:type="dxa"/>
              <w:bottom w:w="80" w:type="dxa"/>
              <w:right w:w="120" w:type="dxa"/>
            </w:tcMar>
            <w:vAlign w:val="center"/>
          </w:tcPr>
          <w:p w14:paraId="64506728" w14:textId="77777777" w:rsidR="00F06132" w:rsidRDefault="00000000">
            <w:pPr>
              <w:jc w:val="center"/>
            </w:pPr>
            <w:r>
              <w:rPr>
                <w:b/>
                <w:bCs/>
                <w:color w:val="B71C1C"/>
                <w:sz w:val="18"/>
                <w:szCs w:val="18"/>
              </w:rPr>
              <w:t>Not Supported</w:t>
            </w:r>
          </w:p>
        </w:tc>
        <w:tc>
          <w:tcPr>
            <w:tcW w:w="6000" w:type="dxa"/>
            <w:tcBorders>
              <w:top w:val="single" w:sz="1" w:space="0" w:color="DDE4EE"/>
              <w:left w:val="single" w:sz="1" w:space="0" w:color="DDE4EE"/>
              <w:bottom w:val="single" w:sz="1" w:space="0" w:color="DDE4EE"/>
              <w:right w:val="single" w:sz="1" w:space="0" w:color="DDE4EE"/>
            </w:tcBorders>
            <w:tcMar>
              <w:top w:w="80" w:type="dxa"/>
              <w:left w:w="120" w:type="dxa"/>
              <w:bottom w:w="80" w:type="dxa"/>
              <w:right w:w="120" w:type="dxa"/>
            </w:tcMar>
          </w:tcPr>
          <w:p w14:paraId="7B9243F7" w14:textId="77777777" w:rsidR="00F06132" w:rsidRDefault="00000000">
            <w:r>
              <w:rPr>
                <w:sz w:val="18"/>
                <w:szCs w:val="18"/>
              </w:rPr>
              <w:t xml:space="preserve">Security controls are infrastructure-level: HTTPS/TLS, LDAP/Kerberos authentication, per-component permissions. No native column masking or </w:t>
            </w:r>
            <w:proofErr w:type="spellStart"/>
            <w:r>
              <w:rPr>
                <w:sz w:val="18"/>
                <w:szCs w:val="18"/>
              </w:rPr>
              <w:t>anonymisation</w:t>
            </w:r>
            <w:proofErr w:type="spellEnd"/>
            <w:r>
              <w:rPr>
                <w:sz w:val="18"/>
                <w:szCs w:val="18"/>
              </w:rPr>
              <w:t xml:space="preserve">. No compliance audit </w:t>
            </w:r>
            <w:proofErr w:type="gramStart"/>
            <w:r>
              <w:rPr>
                <w:sz w:val="18"/>
                <w:szCs w:val="18"/>
              </w:rPr>
              <w:t>log</w:t>
            </w:r>
            <w:proofErr w:type="gramEnd"/>
            <w:r>
              <w:rPr>
                <w:sz w:val="18"/>
                <w:szCs w:val="18"/>
              </w:rPr>
              <w:t xml:space="preserve"> in regulatory sense. No GDPR or KVKK certifications from the Apache project.</w:t>
            </w:r>
          </w:p>
        </w:tc>
      </w:tr>
      <w:tr w:rsidR="00F06132" w14:paraId="609ACF9C" w14:textId="77777777">
        <w:tblPrEx>
          <w:tblCellMar>
            <w:top w:w="0" w:type="dxa"/>
            <w:bottom w:w="0" w:type="dxa"/>
          </w:tblCellMar>
        </w:tblPrEx>
        <w:tc>
          <w:tcPr>
            <w:tcW w:w="1800" w:type="dxa"/>
            <w:tcBorders>
              <w:top w:val="single" w:sz="1" w:space="0" w:color="DDE4EE"/>
              <w:left w:val="single" w:sz="1" w:space="0" w:color="DDE4EE"/>
              <w:bottom w:val="single" w:sz="1" w:space="0" w:color="DDE4EE"/>
              <w:right w:val="single" w:sz="1" w:space="0" w:color="DDE4EE"/>
            </w:tcBorders>
            <w:tcMar>
              <w:top w:w="80" w:type="dxa"/>
              <w:left w:w="120" w:type="dxa"/>
              <w:bottom w:w="80" w:type="dxa"/>
              <w:right w:w="120" w:type="dxa"/>
            </w:tcMar>
          </w:tcPr>
          <w:p w14:paraId="687CE4BD" w14:textId="77777777" w:rsidR="00F06132" w:rsidRDefault="00000000">
            <w:r>
              <w:rPr>
                <w:b/>
                <w:bCs/>
                <w:sz w:val="18"/>
                <w:szCs w:val="18"/>
              </w:rPr>
              <w:t>D7 — Open-Source / No Vendor Lock</w:t>
            </w:r>
          </w:p>
        </w:tc>
        <w:tc>
          <w:tcPr>
            <w:tcW w:w="1560" w:type="dxa"/>
            <w:tcBorders>
              <w:top w:val="single" w:sz="1" w:space="0" w:color="DDE4EE"/>
              <w:left w:val="single" w:sz="1" w:space="0" w:color="DDE4EE"/>
              <w:bottom w:val="single" w:sz="1" w:space="0" w:color="DDE4EE"/>
              <w:right w:val="single" w:sz="1" w:space="0" w:color="DDE4EE"/>
            </w:tcBorders>
            <w:shd w:val="clear" w:color="auto" w:fill="E8F5E9"/>
            <w:tcMar>
              <w:top w:w="80" w:type="dxa"/>
              <w:left w:w="120" w:type="dxa"/>
              <w:bottom w:w="80" w:type="dxa"/>
              <w:right w:w="120" w:type="dxa"/>
            </w:tcMar>
            <w:vAlign w:val="center"/>
          </w:tcPr>
          <w:p w14:paraId="1A6005D2" w14:textId="77777777" w:rsidR="00F06132" w:rsidRDefault="00000000">
            <w:pPr>
              <w:jc w:val="center"/>
            </w:pPr>
            <w:r>
              <w:rPr>
                <w:b/>
                <w:bCs/>
                <w:color w:val="1B5E20"/>
                <w:sz w:val="18"/>
                <w:szCs w:val="18"/>
              </w:rPr>
              <w:t>Full</w:t>
            </w:r>
          </w:p>
        </w:tc>
        <w:tc>
          <w:tcPr>
            <w:tcW w:w="6000" w:type="dxa"/>
            <w:tcBorders>
              <w:top w:val="single" w:sz="1" w:space="0" w:color="DDE4EE"/>
              <w:left w:val="single" w:sz="1" w:space="0" w:color="DDE4EE"/>
              <w:bottom w:val="single" w:sz="1" w:space="0" w:color="DDE4EE"/>
              <w:right w:val="single" w:sz="1" w:space="0" w:color="DDE4EE"/>
            </w:tcBorders>
            <w:tcMar>
              <w:top w:w="80" w:type="dxa"/>
              <w:left w:w="120" w:type="dxa"/>
              <w:bottom w:w="80" w:type="dxa"/>
              <w:right w:w="120" w:type="dxa"/>
            </w:tcMar>
          </w:tcPr>
          <w:p w14:paraId="70CC16FD" w14:textId="77777777" w:rsidR="00F06132" w:rsidRDefault="00000000">
            <w:r>
              <w:rPr>
                <w:sz w:val="18"/>
                <w:szCs w:val="18"/>
              </w:rPr>
              <w:t xml:space="preserve">Apache License 2.0 — fully open-source; no vendor required for production use. Active Apache Foundation project with regular </w:t>
            </w:r>
            <w:proofErr w:type="spellStart"/>
            <w:r>
              <w:rPr>
                <w:sz w:val="18"/>
                <w:szCs w:val="18"/>
              </w:rPr>
              <w:t>NiFi</w:t>
            </w:r>
            <w:proofErr w:type="spellEnd"/>
            <w:r>
              <w:rPr>
                <w:sz w:val="18"/>
                <w:szCs w:val="18"/>
              </w:rPr>
              <w:t xml:space="preserve"> 2.x releases. Flows stored as JSON; version-controllable. Cloudera Data Flow adds managed enterprise </w:t>
            </w:r>
            <w:proofErr w:type="gramStart"/>
            <w:r>
              <w:rPr>
                <w:sz w:val="18"/>
                <w:szCs w:val="18"/>
              </w:rPr>
              <w:t>infrastructure</w:t>
            </w:r>
            <w:proofErr w:type="gramEnd"/>
            <w:r>
              <w:rPr>
                <w:sz w:val="18"/>
                <w:szCs w:val="18"/>
              </w:rPr>
              <w:t xml:space="preserve"> but the underlying </w:t>
            </w:r>
            <w:proofErr w:type="spellStart"/>
            <w:r>
              <w:rPr>
                <w:sz w:val="18"/>
                <w:szCs w:val="18"/>
              </w:rPr>
              <w:t>NiFi</w:t>
            </w:r>
            <w:proofErr w:type="spellEnd"/>
            <w:r>
              <w:rPr>
                <w:sz w:val="18"/>
                <w:szCs w:val="18"/>
              </w:rPr>
              <w:t xml:space="preserve"> remains </w:t>
            </w:r>
            <w:proofErr w:type="gramStart"/>
            <w:r>
              <w:rPr>
                <w:sz w:val="18"/>
                <w:szCs w:val="18"/>
              </w:rPr>
              <w:t>open-source</w:t>
            </w:r>
            <w:proofErr w:type="gramEnd"/>
            <w:r>
              <w:rPr>
                <w:sz w:val="18"/>
                <w:szCs w:val="18"/>
              </w:rPr>
              <w:t>.</w:t>
            </w:r>
          </w:p>
        </w:tc>
      </w:tr>
    </w:tbl>
    <w:p w14:paraId="2E1B7C7F" w14:textId="77777777" w:rsidR="00F06132" w:rsidRDefault="00F06132">
      <w:pPr>
        <w:spacing w:after="80"/>
      </w:pPr>
    </w:p>
    <w:p w14:paraId="6F83F265" w14:textId="77777777" w:rsidR="00F06132" w:rsidRDefault="00000000">
      <w:pPr>
        <w:spacing w:before="80" w:after="60"/>
      </w:pPr>
      <w:r>
        <w:rPr>
          <w:b/>
          <w:bCs/>
          <w:color w:val="1B5E20"/>
        </w:rPr>
        <w:t xml:space="preserve">Key Strength: </w:t>
      </w:r>
      <w:r>
        <w:t xml:space="preserve">Apache License 2.0 with no licensing cost and a mature, production-tested dataflow engine for system integration and data routing. Data Provenance engine provides excellent in-flow lineage traceability. The most cost-accessible production-grade tool </w:t>
      </w:r>
      <w:proofErr w:type="gramStart"/>
      <w:r>
        <w:t>in</w:t>
      </w:r>
      <w:proofErr w:type="gramEnd"/>
      <w:r>
        <w:t xml:space="preserve"> the comparison for data movement use cases.</w:t>
      </w:r>
    </w:p>
    <w:p w14:paraId="33F6F9DD" w14:textId="77777777" w:rsidR="00F06132" w:rsidRDefault="00000000">
      <w:pPr>
        <w:spacing w:before="80" w:after="120"/>
      </w:pPr>
      <w:r>
        <w:rPr>
          <w:b/>
          <w:bCs/>
          <w:color w:val="B71C1C"/>
        </w:rPr>
        <w:t xml:space="preserve">Key Limitation: </w:t>
      </w:r>
      <w:proofErr w:type="spellStart"/>
      <w:r>
        <w:t>NiFi</w:t>
      </w:r>
      <w:proofErr w:type="spellEnd"/>
      <w:r>
        <w:t xml:space="preserve"> and SUBOP address adjacent but different problems. </w:t>
      </w:r>
      <w:proofErr w:type="spellStart"/>
      <w:r>
        <w:t>NiFi</w:t>
      </w:r>
      <w:proofErr w:type="spellEnd"/>
      <w:r>
        <w:t xml:space="preserve"> excels at routing and transport; it has no BI capability, no warehouse automation, and only partial CDC (MySQL log-based only). It is not a direct substitute for any of SUBOP's five core differentiating capabilities.</w:t>
      </w:r>
    </w:p>
    <w:p w14:paraId="624A1A64" w14:textId="77777777" w:rsidR="001F1CD7" w:rsidRDefault="001F1CD7" w:rsidP="001F1CD7"/>
    <w:p w14:paraId="35538D51" w14:textId="6719C291" w:rsidR="00F06132" w:rsidRDefault="00000000" w:rsidP="001F1CD7">
      <w:r>
        <w:rPr>
          <w:b/>
          <w:bCs/>
          <w:color w:val="2E75B6"/>
          <w:sz w:val="22"/>
          <w:szCs w:val="22"/>
        </w:rPr>
        <w:t xml:space="preserve">2.4 </w:t>
      </w:r>
      <w:proofErr w:type="spellStart"/>
      <w:r>
        <w:rPr>
          <w:b/>
          <w:bCs/>
          <w:color w:val="2E75B6"/>
          <w:sz w:val="22"/>
          <w:szCs w:val="22"/>
        </w:rPr>
        <w:t>dbt</w:t>
      </w:r>
      <w:proofErr w:type="spellEnd"/>
      <w:r>
        <w:rPr>
          <w:b/>
          <w:bCs/>
          <w:color w:val="2E75B6"/>
          <w:sz w:val="22"/>
          <w:szCs w:val="22"/>
        </w:rPr>
        <w:t xml:space="preserve"> (</w:t>
      </w:r>
      <w:proofErr w:type="spellStart"/>
      <w:r>
        <w:rPr>
          <w:b/>
          <w:bCs/>
          <w:color w:val="2E75B6"/>
          <w:sz w:val="22"/>
          <w:szCs w:val="22"/>
        </w:rPr>
        <w:t>dbt</w:t>
      </w:r>
      <w:proofErr w:type="spellEnd"/>
      <w:r>
        <w:rPr>
          <w:b/>
          <w:bCs/>
          <w:color w:val="2E75B6"/>
          <w:sz w:val="22"/>
          <w:szCs w:val="22"/>
        </w:rPr>
        <w:t xml:space="preserve"> Core + </w:t>
      </w:r>
      <w:proofErr w:type="spellStart"/>
      <w:r>
        <w:rPr>
          <w:b/>
          <w:bCs/>
          <w:color w:val="2E75B6"/>
          <w:sz w:val="22"/>
          <w:szCs w:val="22"/>
        </w:rPr>
        <w:t>dbt</w:t>
      </w:r>
      <w:proofErr w:type="spellEnd"/>
      <w:r>
        <w:rPr>
          <w:b/>
          <w:bCs/>
          <w:color w:val="2E75B6"/>
          <w:sz w:val="22"/>
          <w:szCs w:val="22"/>
        </w:rPr>
        <w:t xml:space="preserve"> Cloud)</w:t>
      </w:r>
    </w:p>
    <w:p w14:paraId="61613A76" w14:textId="77777777" w:rsidR="00F06132" w:rsidRDefault="00000000">
      <w:pPr>
        <w:spacing w:before="80" w:after="80"/>
      </w:pPr>
      <w:r>
        <w:rPr>
          <w:b/>
          <w:bCs/>
          <w:color w:val="1F4E79"/>
        </w:rPr>
        <w:t xml:space="preserve">Background: </w:t>
      </w:r>
      <w:proofErr w:type="spellStart"/>
      <w:r>
        <w:t>dbt</w:t>
      </w:r>
      <w:proofErr w:type="spellEnd"/>
      <w:r>
        <w:t xml:space="preserve"> (data build tool) was created in 2016 to allow data analysts to write, test, document, and version-control SQL transformations using the data warehouse itself as the transformation engine. </w:t>
      </w:r>
      <w:proofErr w:type="spellStart"/>
      <w:r>
        <w:t>dbt</w:t>
      </w:r>
      <w:proofErr w:type="spellEnd"/>
      <w:r>
        <w:t xml:space="preserve"> Core is Apache License 2.0 and fully </w:t>
      </w:r>
      <w:proofErr w:type="gramStart"/>
      <w:r>
        <w:t>open-source</w:t>
      </w:r>
      <w:proofErr w:type="gramEnd"/>
      <w:r>
        <w:t xml:space="preserve">. </w:t>
      </w:r>
      <w:proofErr w:type="spellStart"/>
      <w:r>
        <w:t>dbt</w:t>
      </w:r>
      <w:proofErr w:type="spellEnd"/>
      <w:r>
        <w:t xml:space="preserve"> Cloud is the commercial SaaS platform adding a browser-based IDE, job scheduling, and </w:t>
      </w:r>
      <w:proofErr w:type="spellStart"/>
      <w:r>
        <w:t>dbt</w:t>
      </w:r>
      <w:proofErr w:type="spellEnd"/>
      <w:r>
        <w:t xml:space="preserve"> Explorer for visual lineage. The most critical architectural fact for the SUBOP comparison: </w:t>
      </w:r>
      <w:proofErr w:type="spellStart"/>
      <w:r>
        <w:t>dbt</w:t>
      </w:r>
      <w:proofErr w:type="spellEnd"/>
      <w:r>
        <w:t xml:space="preserve"> performs the Transform step only. It has no extraction capability (no E) and no data loading capability (no L). </w:t>
      </w:r>
      <w:proofErr w:type="spellStart"/>
      <w:r>
        <w:t>Organisations</w:t>
      </w:r>
      <w:proofErr w:type="spellEnd"/>
      <w:r>
        <w:t xml:space="preserve"> using </w:t>
      </w:r>
      <w:proofErr w:type="spellStart"/>
      <w:r>
        <w:t>dbt</w:t>
      </w:r>
      <w:proofErr w:type="spellEnd"/>
      <w:r>
        <w:t xml:space="preserve"> must separately deploy an EL tool, a CDC solution, and a BI platform — all outside </w:t>
      </w:r>
      <w:proofErr w:type="spellStart"/>
      <w:r>
        <w:t>dbt</w:t>
      </w:r>
      <w:proofErr w:type="spellEnd"/>
      <w:r>
        <w: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1560"/>
        <w:gridCol w:w="6000"/>
      </w:tblGrid>
      <w:tr w:rsidR="00F06132" w14:paraId="7B3614E0" w14:textId="77777777">
        <w:tblPrEx>
          <w:tblCellMar>
            <w:top w:w="0" w:type="dxa"/>
            <w:bottom w:w="0" w:type="dxa"/>
          </w:tblCellMar>
        </w:tblPrEx>
        <w:tc>
          <w:tcPr>
            <w:tcW w:w="1800" w:type="dxa"/>
            <w:tcBorders>
              <w:top w:val="single" w:sz="1" w:space="0" w:color="DDE4EE"/>
              <w:left w:val="single" w:sz="1" w:space="0" w:color="DDE4EE"/>
              <w:bottom w:val="single" w:sz="1" w:space="0" w:color="DDE4EE"/>
              <w:right w:val="single" w:sz="1" w:space="0" w:color="DDE4EE"/>
            </w:tcBorders>
            <w:shd w:val="clear" w:color="auto" w:fill="1F4E79"/>
            <w:tcMar>
              <w:top w:w="80" w:type="dxa"/>
              <w:left w:w="120" w:type="dxa"/>
              <w:bottom w:w="80" w:type="dxa"/>
              <w:right w:w="120" w:type="dxa"/>
            </w:tcMar>
          </w:tcPr>
          <w:p w14:paraId="6A0C9921" w14:textId="77777777" w:rsidR="00F06132" w:rsidRDefault="00000000">
            <w:r>
              <w:rPr>
                <w:b/>
                <w:bCs/>
                <w:color w:val="FFFFFF"/>
                <w:sz w:val="18"/>
                <w:szCs w:val="18"/>
              </w:rPr>
              <w:t>Dimension</w:t>
            </w:r>
          </w:p>
        </w:tc>
        <w:tc>
          <w:tcPr>
            <w:tcW w:w="1560" w:type="dxa"/>
            <w:tcBorders>
              <w:top w:val="single" w:sz="1" w:space="0" w:color="DDE4EE"/>
              <w:left w:val="single" w:sz="1" w:space="0" w:color="DDE4EE"/>
              <w:bottom w:val="single" w:sz="1" w:space="0" w:color="DDE4EE"/>
              <w:right w:val="single" w:sz="1" w:space="0" w:color="DDE4EE"/>
            </w:tcBorders>
            <w:shd w:val="clear" w:color="auto" w:fill="1F4E79"/>
            <w:tcMar>
              <w:top w:w="80" w:type="dxa"/>
              <w:left w:w="120" w:type="dxa"/>
              <w:bottom w:w="80" w:type="dxa"/>
              <w:right w:w="120" w:type="dxa"/>
            </w:tcMar>
          </w:tcPr>
          <w:p w14:paraId="005B8625" w14:textId="77777777" w:rsidR="00F06132" w:rsidRDefault="00000000">
            <w:r>
              <w:rPr>
                <w:b/>
                <w:bCs/>
                <w:color w:val="FFFFFF"/>
                <w:sz w:val="18"/>
                <w:szCs w:val="18"/>
              </w:rPr>
              <w:t>Rating</w:t>
            </w:r>
          </w:p>
        </w:tc>
        <w:tc>
          <w:tcPr>
            <w:tcW w:w="6000" w:type="dxa"/>
            <w:tcBorders>
              <w:top w:val="single" w:sz="1" w:space="0" w:color="DDE4EE"/>
              <w:left w:val="single" w:sz="1" w:space="0" w:color="DDE4EE"/>
              <w:bottom w:val="single" w:sz="1" w:space="0" w:color="DDE4EE"/>
              <w:right w:val="single" w:sz="1" w:space="0" w:color="DDE4EE"/>
            </w:tcBorders>
            <w:shd w:val="clear" w:color="auto" w:fill="1F4E79"/>
            <w:tcMar>
              <w:top w:w="80" w:type="dxa"/>
              <w:left w:w="120" w:type="dxa"/>
              <w:bottom w:w="80" w:type="dxa"/>
              <w:right w:w="120" w:type="dxa"/>
            </w:tcMar>
          </w:tcPr>
          <w:p w14:paraId="5235F648" w14:textId="77777777" w:rsidR="00F06132" w:rsidRDefault="00000000">
            <w:r>
              <w:rPr>
                <w:b/>
                <w:bCs/>
                <w:color w:val="FFFFFF"/>
                <w:sz w:val="18"/>
                <w:szCs w:val="18"/>
              </w:rPr>
              <w:t>Key Evidence</w:t>
            </w:r>
          </w:p>
        </w:tc>
      </w:tr>
      <w:tr w:rsidR="00F06132" w14:paraId="75B684BA" w14:textId="77777777">
        <w:tblPrEx>
          <w:tblCellMar>
            <w:top w:w="0" w:type="dxa"/>
            <w:bottom w:w="0" w:type="dxa"/>
          </w:tblCellMar>
        </w:tblPrEx>
        <w:tc>
          <w:tcPr>
            <w:tcW w:w="1800" w:type="dxa"/>
            <w:tcBorders>
              <w:top w:val="single" w:sz="1" w:space="0" w:color="DDE4EE"/>
              <w:left w:val="single" w:sz="1" w:space="0" w:color="DDE4EE"/>
              <w:bottom w:val="single" w:sz="1" w:space="0" w:color="DDE4EE"/>
              <w:right w:val="single" w:sz="1" w:space="0" w:color="DDE4EE"/>
            </w:tcBorders>
            <w:tcMar>
              <w:top w:w="80" w:type="dxa"/>
              <w:left w:w="120" w:type="dxa"/>
              <w:bottom w:w="80" w:type="dxa"/>
              <w:right w:w="120" w:type="dxa"/>
            </w:tcMar>
          </w:tcPr>
          <w:p w14:paraId="64CBD31A" w14:textId="77777777" w:rsidR="00F06132" w:rsidRDefault="00000000">
            <w:r>
              <w:rPr>
                <w:b/>
                <w:bCs/>
                <w:sz w:val="18"/>
                <w:szCs w:val="18"/>
              </w:rPr>
              <w:t>D1 — DB-Agnostic Abstraction</w:t>
            </w:r>
          </w:p>
        </w:tc>
        <w:tc>
          <w:tcPr>
            <w:tcW w:w="1560" w:type="dxa"/>
            <w:tcBorders>
              <w:top w:val="single" w:sz="1" w:space="0" w:color="DDE4EE"/>
              <w:left w:val="single" w:sz="1" w:space="0" w:color="DDE4EE"/>
              <w:bottom w:val="single" w:sz="1" w:space="0" w:color="DDE4EE"/>
              <w:right w:val="single" w:sz="1" w:space="0" w:color="DDE4EE"/>
            </w:tcBorders>
            <w:shd w:val="clear" w:color="auto" w:fill="FFF3CD"/>
            <w:tcMar>
              <w:top w:w="80" w:type="dxa"/>
              <w:left w:w="120" w:type="dxa"/>
              <w:bottom w:w="80" w:type="dxa"/>
              <w:right w:w="120" w:type="dxa"/>
            </w:tcMar>
            <w:vAlign w:val="center"/>
          </w:tcPr>
          <w:p w14:paraId="7A6E84DA" w14:textId="77777777" w:rsidR="00F06132" w:rsidRDefault="00000000">
            <w:pPr>
              <w:jc w:val="center"/>
            </w:pPr>
            <w:r>
              <w:rPr>
                <w:b/>
                <w:bCs/>
                <w:color w:val="7B4D00"/>
                <w:sz w:val="18"/>
                <w:szCs w:val="18"/>
              </w:rPr>
              <w:t>Partial</w:t>
            </w:r>
          </w:p>
        </w:tc>
        <w:tc>
          <w:tcPr>
            <w:tcW w:w="6000" w:type="dxa"/>
            <w:tcBorders>
              <w:top w:val="single" w:sz="1" w:space="0" w:color="DDE4EE"/>
              <w:left w:val="single" w:sz="1" w:space="0" w:color="DDE4EE"/>
              <w:bottom w:val="single" w:sz="1" w:space="0" w:color="DDE4EE"/>
              <w:right w:val="single" w:sz="1" w:space="0" w:color="DDE4EE"/>
            </w:tcBorders>
            <w:tcMar>
              <w:top w:w="80" w:type="dxa"/>
              <w:left w:w="120" w:type="dxa"/>
              <w:bottom w:w="80" w:type="dxa"/>
              <w:right w:w="120" w:type="dxa"/>
            </w:tcMar>
          </w:tcPr>
          <w:p w14:paraId="7CEB9B6C" w14:textId="77777777" w:rsidR="00F06132" w:rsidRDefault="00000000">
            <w:proofErr w:type="spellStart"/>
            <w:r>
              <w:rPr>
                <w:sz w:val="18"/>
                <w:szCs w:val="18"/>
              </w:rPr>
              <w:t>dbt</w:t>
            </w:r>
            <w:proofErr w:type="spellEnd"/>
            <w:r>
              <w:rPr>
                <w:sz w:val="18"/>
                <w:szCs w:val="18"/>
              </w:rPr>
              <w:t xml:space="preserve"> connects to warehouses via adapters (database-specific plugins). Adapter switching </w:t>
            </w:r>
            <w:proofErr w:type="gramStart"/>
            <w:r>
              <w:rPr>
                <w:sz w:val="18"/>
                <w:szCs w:val="18"/>
              </w:rPr>
              <w:t>updates</w:t>
            </w:r>
            <w:proofErr w:type="gramEnd"/>
            <w:r>
              <w:rPr>
                <w:sz w:val="18"/>
                <w:szCs w:val="18"/>
              </w:rPr>
              <w:t xml:space="preserve"> </w:t>
            </w:r>
            <w:proofErr w:type="spellStart"/>
            <w:r>
              <w:rPr>
                <w:sz w:val="18"/>
                <w:szCs w:val="18"/>
              </w:rPr>
              <w:t>profiles.yml</w:t>
            </w:r>
            <w:proofErr w:type="spellEnd"/>
            <w:r>
              <w:rPr>
                <w:sz w:val="18"/>
                <w:szCs w:val="18"/>
              </w:rPr>
              <w:t xml:space="preserve"> and standard SQL patterns are portable. However, warehouse-specific SQL syntax (JSON operators, window function variants, date functions) is not abstracted — dialect adaptation may be required when switching adapters.</w:t>
            </w:r>
          </w:p>
        </w:tc>
      </w:tr>
      <w:tr w:rsidR="00F06132" w14:paraId="4B8CDD18" w14:textId="77777777">
        <w:tblPrEx>
          <w:tblCellMar>
            <w:top w:w="0" w:type="dxa"/>
            <w:bottom w:w="0" w:type="dxa"/>
          </w:tblCellMar>
        </w:tblPrEx>
        <w:tc>
          <w:tcPr>
            <w:tcW w:w="1800" w:type="dxa"/>
            <w:tcBorders>
              <w:top w:val="single" w:sz="1" w:space="0" w:color="DDE4EE"/>
              <w:left w:val="single" w:sz="1" w:space="0" w:color="DDE4EE"/>
              <w:bottom w:val="single" w:sz="1" w:space="0" w:color="DDE4EE"/>
              <w:right w:val="single" w:sz="1" w:space="0" w:color="DDE4EE"/>
            </w:tcBorders>
            <w:tcMar>
              <w:top w:w="80" w:type="dxa"/>
              <w:left w:w="120" w:type="dxa"/>
              <w:bottom w:w="80" w:type="dxa"/>
              <w:right w:w="120" w:type="dxa"/>
            </w:tcMar>
          </w:tcPr>
          <w:p w14:paraId="760ED591" w14:textId="77777777" w:rsidR="00F06132" w:rsidRDefault="00000000">
            <w:r>
              <w:rPr>
                <w:b/>
                <w:bCs/>
                <w:sz w:val="18"/>
                <w:szCs w:val="18"/>
              </w:rPr>
              <w:t>D2 — Real-Time CDC</w:t>
            </w:r>
          </w:p>
        </w:tc>
        <w:tc>
          <w:tcPr>
            <w:tcW w:w="1560" w:type="dxa"/>
            <w:tcBorders>
              <w:top w:val="single" w:sz="1" w:space="0" w:color="DDE4EE"/>
              <w:left w:val="single" w:sz="1" w:space="0" w:color="DDE4EE"/>
              <w:bottom w:val="single" w:sz="1" w:space="0" w:color="DDE4EE"/>
              <w:right w:val="single" w:sz="1" w:space="0" w:color="DDE4EE"/>
            </w:tcBorders>
            <w:shd w:val="clear" w:color="auto" w:fill="FFEBEE"/>
            <w:tcMar>
              <w:top w:w="80" w:type="dxa"/>
              <w:left w:w="120" w:type="dxa"/>
              <w:bottom w:w="80" w:type="dxa"/>
              <w:right w:w="120" w:type="dxa"/>
            </w:tcMar>
            <w:vAlign w:val="center"/>
          </w:tcPr>
          <w:p w14:paraId="32242193" w14:textId="77777777" w:rsidR="00F06132" w:rsidRDefault="00000000">
            <w:pPr>
              <w:jc w:val="center"/>
            </w:pPr>
            <w:r>
              <w:rPr>
                <w:b/>
                <w:bCs/>
                <w:color w:val="B71C1C"/>
                <w:sz w:val="18"/>
                <w:szCs w:val="18"/>
              </w:rPr>
              <w:t>Not Supported</w:t>
            </w:r>
          </w:p>
        </w:tc>
        <w:tc>
          <w:tcPr>
            <w:tcW w:w="6000" w:type="dxa"/>
            <w:tcBorders>
              <w:top w:val="single" w:sz="1" w:space="0" w:color="DDE4EE"/>
              <w:left w:val="single" w:sz="1" w:space="0" w:color="DDE4EE"/>
              <w:bottom w:val="single" w:sz="1" w:space="0" w:color="DDE4EE"/>
              <w:right w:val="single" w:sz="1" w:space="0" w:color="DDE4EE"/>
            </w:tcBorders>
            <w:tcMar>
              <w:top w:w="80" w:type="dxa"/>
              <w:left w:w="120" w:type="dxa"/>
              <w:bottom w:w="80" w:type="dxa"/>
              <w:right w:w="120" w:type="dxa"/>
            </w:tcMar>
          </w:tcPr>
          <w:p w14:paraId="2F28CEA8" w14:textId="77777777" w:rsidR="00F06132" w:rsidRDefault="00000000">
            <w:r>
              <w:rPr>
                <w:sz w:val="18"/>
                <w:szCs w:val="18"/>
              </w:rPr>
              <w:t xml:space="preserve">Zero CDC capability — confirmed by architecture. </w:t>
            </w:r>
            <w:proofErr w:type="spellStart"/>
            <w:r>
              <w:rPr>
                <w:sz w:val="18"/>
                <w:szCs w:val="18"/>
              </w:rPr>
              <w:t>dbt</w:t>
            </w:r>
            <w:proofErr w:type="spellEnd"/>
            <w:r>
              <w:rPr>
                <w:sz w:val="18"/>
                <w:szCs w:val="18"/>
              </w:rPr>
              <w:t xml:space="preserve"> is a transform-only tool operating inside the warehouse with no connection to source database transaction logs. All CDC must be handled by an upstream EL tool before data reaches the warehouse layer.</w:t>
            </w:r>
          </w:p>
        </w:tc>
      </w:tr>
      <w:tr w:rsidR="00F06132" w14:paraId="0274DFDE" w14:textId="77777777">
        <w:tblPrEx>
          <w:tblCellMar>
            <w:top w:w="0" w:type="dxa"/>
            <w:bottom w:w="0" w:type="dxa"/>
          </w:tblCellMar>
        </w:tblPrEx>
        <w:tc>
          <w:tcPr>
            <w:tcW w:w="1800" w:type="dxa"/>
            <w:tcBorders>
              <w:top w:val="single" w:sz="1" w:space="0" w:color="DDE4EE"/>
              <w:left w:val="single" w:sz="1" w:space="0" w:color="DDE4EE"/>
              <w:bottom w:val="single" w:sz="1" w:space="0" w:color="DDE4EE"/>
              <w:right w:val="single" w:sz="1" w:space="0" w:color="DDE4EE"/>
            </w:tcBorders>
            <w:tcMar>
              <w:top w:w="80" w:type="dxa"/>
              <w:left w:w="120" w:type="dxa"/>
              <w:bottom w:w="80" w:type="dxa"/>
              <w:right w:w="120" w:type="dxa"/>
            </w:tcMar>
          </w:tcPr>
          <w:p w14:paraId="760AC84B" w14:textId="77777777" w:rsidR="00F06132" w:rsidRDefault="00000000">
            <w:r>
              <w:rPr>
                <w:b/>
                <w:bCs/>
                <w:sz w:val="18"/>
                <w:szCs w:val="18"/>
              </w:rPr>
              <w:t>D3 — Self-Service BI</w:t>
            </w:r>
          </w:p>
        </w:tc>
        <w:tc>
          <w:tcPr>
            <w:tcW w:w="1560" w:type="dxa"/>
            <w:tcBorders>
              <w:top w:val="single" w:sz="1" w:space="0" w:color="DDE4EE"/>
              <w:left w:val="single" w:sz="1" w:space="0" w:color="DDE4EE"/>
              <w:bottom w:val="single" w:sz="1" w:space="0" w:color="DDE4EE"/>
              <w:right w:val="single" w:sz="1" w:space="0" w:color="DDE4EE"/>
            </w:tcBorders>
            <w:shd w:val="clear" w:color="auto" w:fill="FFEBEE"/>
            <w:tcMar>
              <w:top w:w="80" w:type="dxa"/>
              <w:left w:w="120" w:type="dxa"/>
              <w:bottom w:w="80" w:type="dxa"/>
              <w:right w:w="120" w:type="dxa"/>
            </w:tcMar>
            <w:vAlign w:val="center"/>
          </w:tcPr>
          <w:p w14:paraId="16B2D8A3" w14:textId="77777777" w:rsidR="00F06132" w:rsidRDefault="00000000">
            <w:pPr>
              <w:jc w:val="center"/>
            </w:pPr>
            <w:r>
              <w:rPr>
                <w:b/>
                <w:bCs/>
                <w:color w:val="B71C1C"/>
                <w:sz w:val="18"/>
                <w:szCs w:val="18"/>
              </w:rPr>
              <w:t>Not Supported</w:t>
            </w:r>
          </w:p>
        </w:tc>
        <w:tc>
          <w:tcPr>
            <w:tcW w:w="6000" w:type="dxa"/>
            <w:tcBorders>
              <w:top w:val="single" w:sz="1" w:space="0" w:color="DDE4EE"/>
              <w:left w:val="single" w:sz="1" w:space="0" w:color="DDE4EE"/>
              <w:bottom w:val="single" w:sz="1" w:space="0" w:color="DDE4EE"/>
              <w:right w:val="single" w:sz="1" w:space="0" w:color="DDE4EE"/>
            </w:tcBorders>
            <w:tcMar>
              <w:top w:w="80" w:type="dxa"/>
              <w:left w:w="120" w:type="dxa"/>
              <w:bottom w:w="80" w:type="dxa"/>
              <w:right w:w="120" w:type="dxa"/>
            </w:tcMar>
          </w:tcPr>
          <w:p w14:paraId="662DB490" w14:textId="77777777" w:rsidR="00F06132" w:rsidRDefault="00000000">
            <w:r>
              <w:rPr>
                <w:sz w:val="18"/>
                <w:szCs w:val="18"/>
              </w:rPr>
              <w:t xml:space="preserve">No dashboard builder or self-service BI capability. </w:t>
            </w:r>
            <w:proofErr w:type="spellStart"/>
            <w:r>
              <w:rPr>
                <w:sz w:val="18"/>
                <w:szCs w:val="18"/>
              </w:rPr>
              <w:t>dbt</w:t>
            </w:r>
            <w:proofErr w:type="spellEnd"/>
            <w:r>
              <w:rPr>
                <w:sz w:val="18"/>
                <w:szCs w:val="18"/>
              </w:rPr>
              <w:t xml:space="preserve"> Explorer (Cloud) is a developer-facing visual DAG and data catalog — not a BI tool. An external BI platform is required for all reporting use cases.</w:t>
            </w:r>
          </w:p>
        </w:tc>
      </w:tr>
      <w:tr w:rsidR="00F06132" w14:paraId="630DFE5C" w14:textId="77777777">
        <w:tblPrEx>
          <w:tblCellMar>
            <w:top w:w="0" w:type="dxa"/>
            <w:bottom w:w="0" w:type="dxa"/>
          </w:tblCellMar>
        </w:tblPrEx>
        <w:tc>
          <w:tcPr>
            <w:tcW w:w="1800" w:type="dxa"/>
            <w:tcBorders>
              <w:top w:val="single" w:sz="1" w:space="0" w:color="DDE4EE"/>
              <w:left w:val="single" w:sz="1" w:space="0" w:color="DDE4EE"/>
              <w:bottom w:val="single" w:sz="1" w:space="0" w:color="DDE4EE"/>
              <w:right w:val="single" w:sz="1" w:space="0" w:color="DDE4EE"/>
            </w:tcBorders>
            <w:tcMar>
              <w:top w:w="80" w:type="dxa"/>
              <w:left w:w="120" w:type="dxa"/>
              <w:bottom w:w="80" w:type="dxa"/>
              <w:right w:w="120" w:type="dxa"/>
            </w:tcMar>
          </w:tcPr>
          <w:p w14:paraId="58BCFC2C" w14:textId="77777777" w:rsidR="00F06132" w:rsidRDefault="00000000">
            <w:r>
              <w:rPr>
                <w:b/>
                <w:bCs/>
                <w:sz w:val="18"/>
                <w:szCs w:val="18"/>
              </w:rPr>
              <w:t>D4 — Metadata-Driven DW</w:t>
            </w:r>
          </w:p>
        </w:tc>
        <w:tc>
          <w:tcPr>
            <w:tcW w:w="1560" w:type="dxa"/>
            <w:tcBorders>
              <w:top w:val="single" w:sz="1" w:space="0" w:color="DDE4EE"/>
              <w:left w:val="single" w:sz="1" w:space="0" w:color="DDE4EE"/>
              <w:bottom w:val="single" w:sz="1" w:space="0" w:color="DDE4EE"/>
              <w:right w:val="single" w:sz="1" w:space="0" w:color="DDE4EE"/>
            </w:tcBorders>
            <w:shd w:val="clear" w:color="auto" w:fill="FFF3CD"/>
            <w:tcMar>
              <w:top w:w="80" w:type="dxa"/>
              <w:left w:w="120" w:type="dxa"/>
              <w:bottom w:w="80" w:type="dxa"/>
              <w:right w:w="120" w:type="dxa"/>
            </w:tcMar>
            <w:vAlign w:val="center"/>
          </w:tcPr>
          <w:p w14:paraId="65230A7D" w14:textId="77777777" w:rsidR="00F06132" w:rsidRDefault="00000000">
            <w:pPr>
              <w:jc w:val="center"/>
            </w:pPr>
            <w:r>
              <w:rPr>
                <w:b/>
                <w:bCs/>
                <w:color w:val="7B4D00"/>
                <w:sz w:val="18"/>
                <w:szCs w:val="18"/>
              </w:rPr>
              <w:t>Partial</w:t>
            </w:r>
          </w:p>
        </w:tc>
        <w:tc>
          <w:tcPr>
            <w:tcW w:w="6000" w:type="dxa"/>
            <w:tcBorders>
              <w:top w:val="single" w:sz="1" w:space="0" w:color="DDE4EE"/>
              <w:left w:val="single" w:sz="1" w:space="0" w:color="DDE4EE"/>
              <w:bottom w:val="single" w:sz="1" w:space="0" w:color="DDE4EE"/>
              <w:right w:val="single" w:sz="1" w:space="0" w:color="DDE4EE"/>
            </w:tcBorders>
            <w:tcMar>
              <w:top w:w="80" w:type="dxa"/>
              <w:left w:w="120" w:type="dxa"/>
              <w:bottom w:w="80" w:type="dxa"/>
              <w:right w:w="120" w:type="dxa"/>
            </w:tcMar>
          </w:tcPr>
          <w:p w14:paraId="0C563A79" w14:textId="77777777" w:rsidR="00F06132" w:rsidRDefault="00000000">
            <w:proofErr w:type="spellStart"/>
            <w:r>
              <w:rPr>
                <w:sz w:val="18"/>
                <w:szCs w:val="18"/>
              </w:rPr>
              <w:t>dbt</w:t>
            </w:r>
            <w:proofErr w:type="spellEnd"/>
            <w:r>
              <w:rPr>
                <w:sz w:val="18"/>
                <w:szCs w:val="18"/>
              </w:rPr>
              <w:t xml:space="preserve"> automates SQL model execution (incremental logic, SCD Type 2 snapshots) but requires data engineers to write all SQL SELECT models manually. No auto-generation of fact/dimension schemas from source metadata. Execution of manually authored SQL is automated; the schema design itself is not.</w:t>
            </w:r>
          </w:p>
        </w:tc>
      </w:tr>
      <w:tr w:rsidR="00F06132" w14:paraId="106D583C" w14:textId="77777777">
        <w:tblPrEx>
          <w:tblCellMar>
            <w:top w:w="0" w:type="dxa"/>
            <w:bottom w:w="0" w:type="dxa"/>
          </w:tblCellMar>
        </w:tblPrEx>
        <w:tc>
          <w:tcPr>
            <w:tcW w:w="1800" w:type="dxa"/>
            <w:tcBorders>
              <w:top w:val="single" w:sz="1" w:space="0" w:color="DDE4EE"/>
              <w:left w:val="single" w:sz="1" w:space="0" w:color="DDE4EE"/>
              <w:bottom w:val="single" w:sz="1" w:space="0" w:color="DDE4EE"/>
              <w:right w:val="single" w:sz="1" w:space="0" w:color="DDE4EE"/>
            </w:tcBorders>
            <w:tcMar>
              <w:top w:w="80" w:type="dxa"/>
              <w:left w:w="120" w:type="dxa"/>
              <w:bottom w:w="80" w:type="dxa"/>
              <w:right w:w="120" w:type="dxa"/>
            </w:tcMar>
          </w:tcPr>
          <w:p w14:paraId="2AE3F76D" w14:textId="77777777" w:rsidR="00F06132" w:rsidRDefault="00000000">
            <w:r>
              <w:rPr>
                <w:b/>
                <w:bCs/>
                <w:sz w:val="18"/>
                <w:szCs w:val="18"/>
              </w:rPr>
              <w:t>D5 — Data Quality &amp; Lineage</w:t>
            </w:r>
          </w:p>
        </w:tc>
        <w:tc>
          <w:tcPr>
            <w:tcW w:w="1560" w:type="dxa"/>
            <w:tcBorders>
              <w:top w:val="single" w:sz="1" w:space="0" w:color="DDE4EE"/>
              <w:left w:val="single" w:sz="1" w:space="0" w:color="DDE4EE"/>
              <w:bottom w:val="single" w:sz="1" w:space="0" w:color="DDE4EE"/>
              <w:right w:val="single" w:sz="1" w:space="0" w:color="DDE4EE"/>
            </w:tcBorders>
            <w:shd w:val="clear" w:color="auto" w:fill="FFF3CD"/>
            <w:tcMar>
              <w:top w:w="80" w:type="dxa"/>
              <w:left w:w="120" w:type="dxa"/>
              <w:bottom w:w="80" w:type="dxa"/>
              <w:right w:w="120" w:type="dxa"/>
            </w:tcMar>
            <w:vAlign w:val="center"/>
          </w:tcPr>
          <w:p w14:paraId="0697C893" w14:textId="77777777" w:rsidR="00F06132" w:rsidRDefault="00000000">
            <w:pPr>
              <w:jc w:val="center"/>
            </w:pPr>
            <w:r>
              <w:rPr>
                <w:b/>
                <w:bCs/>
                <w:color w:val="7B4D00"/>
                <w:sz w:val="18"/>
                <w:szCs w:val="18"/>
              </w:rPr>
              <w:t>Partial</w:t>
            </w:r>
          </w:p>
        </w:tc>
        <w:tc>
          <w:tcPr>
            <w:tcW w:w="6000" w:type="dxa"/>
            <w:tcBorders>
              <w:top w:val="single" w:sz="1" w:space="0" w:color="DDE4EE"/>
              <w:left w:val="single" w:sz="1" w:space="0" w:color="DDE4EE"/>
              <w:bottom w:val="single" w:sz="1" w:space="0" w:color="DDE4EE"/>
              <w:right w:val="single" w:sz="1" w:space="0" w:color="DDE4EE"/>
            </w:tcBorders>
            <w:tcMar>
              <w:top w:w="80" w:type="dxa"/>
              <w:left w:w="120" w:type="dxa"/>
              <w:bottom w:w="80" w:type="dxa"/>
              <w:right w:w="120" w:type="dxa"/>
            </w:tcMar>
          </w:tcPr>
          <w:p w14:paraId="07F656D2" w14:textId="77777777" w:rsidR="00F06132" w:rsidRDefault="00000000">
            <w:r>
              <w:rPr>
                <w:sz w:val="18"/>
                <w:szCs w:val="18"/>
              </w:rPr>
              <w:t xml:space="preserve">Built-in generic tests: </w:t>
            </w:r>
            <w:proofErr w:type="spellStart"/>
            <w:r>
              <w:rPr>
                <w:sz w:val="18"/>
                <w:szCs w:val="18"/>
              </w:rPr>
              <w:t>not_null</w:t>
            </w:r>
            <w:proofErr w:type="spellEnd"/>
            <w:r>
              <w:rPr>
                <w:sz w:val="18"/>
                <w:szCs w:val="18"/>
              </w:rPr>
              <w:t xml:space="preserve">, unique, </w:t>
            </w:r>
            <w:proofErr w:type="spellStart"/>
            <w:r>
              <w:rPr>
                <w:sz w:val="18"/>
                <w:szCs w:val="18"/>
              </w:rPr>
              <w:t>accepted_values</w:t>
            </w:r>
            <w:proofErr w:type="spellEnd"/>
            <w:r>
              <w:rPr>
                <w:sz w:val="18"/>
                <w:szCs w:val="18"/>
              </w:rPr>
              <w:t xml:space="preserve">, relationships. </w:t>
            </w:r>
            <w:proofErr w:type="spellStart"/>
            <w:r>
              <w:rPr>
                <w:sz w:val="18"/>
                <w:szCs w:val="18"/>
              </w:rPr>
              <w:t>dbt</w:t>
            </w:r>
            <w:proofErr w:type="spellEnd"/>
            <w:r>
              <w:rPr>
                <w:sz w:val="18"/>
                <w:szCs w:val="18"/>
              </w:rPr>
              <w:t xml:space="preserve">-expectations package adds 30+ advanced test types. Column-level lineage in </w:t>
            </w:r>
            <w:proofErr w:type="spellStart"/>
            <w:r>
              <w:rPr>
                <w:sz w:val="18"/>
                <w:szCs w:val="18"/>
              </w:rPr>
              <w:t>dbt</w:t>
            </w:r>
            <w:proofErr w:type="spellEnd"/>
            <w:r>
              <w:rPr>
                <w:sz w:val="18"/>
                <w:szCs w:val="18"/>
              </w:rPr>
              <w:t xml:space="preserve"> Explorer (Cloud, v1.8+). DAG lineage covers the </w:t>
            </w:r>
            <w:proofErr w:type="spellStart"/>
            <w:r>
              <w:rPr>
                <w:sz w:val="18"/>
                <w:szCs w:val="18"/>
              </w:rPr>
              <w:t>dbt</w:t>
            </w:r>
            <w:proofErr w:type="spellEnd"/>
            <w:r>
              <w:rPr>
                <w:sz w:val="18"/>
                <w:szCs w:val="18"/>
              </w:rPr>
              <w:t xml:space="preserve"> model layer only — no upstream source or downstream BI tracking without manual Exposures configuration.</w:t>
            </w:r>
          </w:p>
        </w:tc>
      </w:tr>
      <w:tr w:rsidR="00F06132" w14:paraId="7AB0A784" w14:textId="77777777">
        <w:tblPrEx>
          <w:tblCellMar>
            <w:top w:w="0" w:type="dxa"/>
            <w:bottom w:w="0" w:type="dxa"/>
          </w:tblCellMar>
        </w:tblPrEx>
        <w:tc>
          <w:tcPr>
            <w:tcW w:w="1800" w:type="dxa"/>
            <w:tcBorders>
              <w:top w:val="single" w:sz="1" w:space="0" w:color="DDE4EE"/>
              <w:left w:val="single" w:sz="1" w:space="0" w:color="DDE4EE"/>
              <w:bottom w:val="single" w:sz="1" w:space="0" w:color="DDE4EE"/>
              <w:right w:val="single" w:sz="1" w:space="0" w:color="DDE4EE"/>
            </w:tcBorders>
            <w:tcMar>
              <w:top w:w="80" w:type="dxa"/>
              <w:left w:w="120" w:type="dxa"/>
              <w:bottom w:w="80" w:type="dxa"/>
              <w:right w:w="120" w:type="dxa"/>
            </w:tcMar>
          </w:tcPr>
          <w:p w14:paraId="4DDEB423" w14:textId="77777777" w:rsidR="00F06132" w:rsidRDefault="00000000">
            <w:r>
              <w:rPr>
                <w:b/>
                <w:bCs/>
                <w:sz w:val="18"/>
                <w:szCs w:val="18"/>
              </w:rPr>
              <w:lastRenderedPageBreak/>
              <w:t>D6 — KVKK / GDPR Compliance</w:t>
            </w:r>
          </w:p>
        </w:tc>
        <w:tc>
          <w:tcPr>
            <w:tcW w:w="1560" w:type="dxa"/>
            <w:tcBorders>
              <w:top w:val="single" w:sz="1" w:space="0" w:color="DDE4EE"/>
              <w:left w:val="single" w:sz="1" w:space="0" w:color="DDE4EE"/>
              <w:bottom w:val="single" w:sz="1" w:space="0" w:color="DDE4EE"/>
              <w:right w:val="single" w:sz="1" w:space="0" w:color="DDE4EE"/>
            </w:tcBorders>
            <w:shd w:val="clear" w:color="auto" w:fill="FFEBEE"/>
            <w:tcMar>
              <w:top w:w="80" w:type="dxa"/>
              <w:left w:w="120" w:type="dxa"/>
              <w:bottom w:w="80" w:type="dxa"/>
              <w:right w:w="120" w:type="dxa"/>
            </w:tcMar>
            <w:vAlign w:val="center"/>
          </w:tcPr>
          <w:p w14:paraId="73B18159" w14:textId="77777777" w:rsidR="00F06132" w:rsidRDefault="00000000">
            <w:pPr>
              <w:jc w:val="center"/>
            </w:pPr>
            <w:r>
              <w:rPr>
                <w:b/>
                <w:bCs/>
                <w:color w:val="B71C1C"/>
                <w:sz w:val="18"/>
                <w:szCs w:val="18"/>
              </w:rPr>
              <w:t>Not Supported</w:t>
            </w:r>
          </w:p>
        </w:tc>
        <w:tc>
          <w:tcPr>
            <w:tcW w:w="6000" w:type="dxa"/>
            <w:tcBorders>
              <w:top w:val="single" w:sz="1" w:space="0" w:color="DDE4EE"/>
              <w:left w:val="single" w:sz="1" w:space="0" w:color="DDE4EE"/>
              <w:bottom w:val="single" w:sz="1" w:space="0" w:color="DDE4EE"/>
              <w:right w:val="single" w:sz="1" w:space="0" w:color="DDE4EE"/>
            </w:tcBorders>
            <w:tcMar>
              <w:top w:w="80" w:type="dxa"/>
              <w:left w:w="120" w:type="dxa"/>
              <w:bottom w:w="80" w:type="dxa"/>
              <w:right w:w="120" w:type="dxa"/>
            </w:tcMar>
          </w:tcPr>
          <w:p w14:paraId="7BBC1CFA" w14:textId="77777777" w:rsidR="00F06132" w:rsidRDefault="00000000">
            <w:proofErr w:type="spellStart"/>
            <w:r>
              <w:rPr>
                <w:sz w:val="18"/>
                <w:szCs w:val="18"/>
              </w:rPr>
              <w:t>dbt</w:t>
            </w:r>
            <w:proofErr w:type="spellEnd"/>
            <w:r>
              <w:rPr>
                <w:sz w:val="18"/>
                <w:szCs w:val="18"/>
              </w:rPr>
              <w:t xml:space="preserve"> Core has no compliance tooling. Column masking and data governance must be implemented at the warehouse layer. </w:t>
            </w:r>
            <w:proofErr w:type="spellStart"/>
            <w:r>
              <w:rPr>
                <w:sz w:val="18"/>
                <w:szCs w:val="18"/>
              </w:rPr>
              <w:t>dbt</w:t>
            </w:r>
            <w:proofErr w:type="spellEnd"/>
            <w:r>
              <w:rPr>
                <w:sz w:val="18"/>
                <w:szCs w:val="18"/>
              </w:rPr>
              <w:t xml:space="preserve"> Cloud Enterprise audit log covers developer actions only — not data access events. No GDPR or KVKK compliance documentation from </w:t>
            </w:r>
            <w:proofErr w:type="spellStart"/>
            <w:r>
              <w:rPr>
                <w:sz w:val="18"/>
                <w:szCs w:val="18"/>
              </w:rPr>
              <w:t>dbt</w:t>
            </w:r>
            <w:proofErr w:type="spellEnd"/>
            <w:r>
              <w:rPr>
                <w:sz w:val="18"/>
                <w:szCs w:val="18"/>
              </w:rPr>
              <w:t xml:space="preserve"> Labs.</w:t>
            </w:r>
          </w:p>
        </w:tc>
      </w:tr>
      <w:tr w:rsidR="00F06132" w14:paraId="4F2604D4" w14:textId="77777777">
        <w:tblPrEx>
          <w:tblCellMar>
            <w:top w:w="0" w:type="dxa"/>
            <w:bottom w:w="0" w:type="dxa"/>
          </w:tblCellMar>
        </w:tblPrEx>
        <w:tc>
          <w:tcPr>
            <w:tcW w:w="1800" w:type="dxa"/>
            <w:tcBorders>
              <w:top w:val="single" w:sz="1" w:space="0" w:color="DDE4EE"/>
              <w:left w:val="single" w:sz="1" w:space="0" w:color="DDE4EE"/>
              <w:bottom w:val="single" w:sz="1" w:space="0" w:color="DDE4EE"/>
              <w:right w:val="single" w:sz="1" w:space="0" w:color="DDE4EE"/>
            </w:tcBorders>
            <w:tcMar>
              <w:top w:w="80" w:type="dxa"/>
              <w:left w:w="120" w:type="dxa"/>
              <w:bottom w:w="80" w:type="dxa"/>
              <w:right w:w="120" w:type="dxa"/>
            </w:tcMar>
          </w:tcPr>
          <w:p w14:paraId="6617672A" w14:textId="77777777" w:rsidR="00F06132" w:rsidRDefault="00000000">
            <w:r>
              <w:rPr>
                <w:b/>
                <w:bCs/>
                <w:sz w:val="18"/>
                <w:szCs w:val="18"/>
              </w:rPr>
              <w:t>D7 — Open-Source / No Vendor Lock</w:t>
            </w:r>
          </w:p>
        </w:tc>
        <w:tc>
          <w:tcPr>
            <w:tcW w:w="1560" w:type="dxa"/>
            <w:tcBorders>
              <w:top w:val="single" w:sz="1" w:space="0" w:color="DDE4EE"/>
              <w:left w:val="single" w:sz="1" w:space="0" w:color="DDE4EE"/>
              <w:bottom w:val="single" w:sz="1" w:space="0" w:color="DDE4EE"/>
              <w:right w:val="single" w:sz="1" w:space="0" w:color="DDE4EE"/>
            </w:tcBorders>
            <w:shd w:val="clear" w:color="auto" w:fill="E8F5E9"/>
            <w:tcMar>
              <w:top w:w="80" w:type="dxa"/>
              <w:left w:w="120" w:type="dxa"/>
              <w:bottom w:w="80" w:type="dxa"/>
              <w:right w:w="120" w:type="dxa"/>
            </w:tcMar>
            <w:vAlign w:val="center"/>
          </w:tcPr>
          <w:p w14:paraId="2ADDABF9" w14:textId="77777777" w:rsidR="00F06132" w:rsidRDefault="00000000">
            <w:pPr>
              <w:jc w:val="center"/>
            </w:pPr>
            <w:r>
              <w:rPr>
                <w:b/>
                <w:bCs/>
                <w:color w:val="1B5E20"/>
                <w:sz w:val="18"/>
                <w:szCs w:val="18"/>
              </w:rPr>
              <w:t>Full</w:t>
            </w:r>
          </w:p>
        </w:tc>
        <w:tc>
          <w:tcPr>
            <w:tcW w:w="6000" w:type="dxa"/>
            <w:tcBorders>
              <w:top w:val="single" w:sz="1" w:space="0" w:color="DDE4EE"/>
              <w:left w:val="single" w:sz="1" w:space="0" w:color="DDE4EE"/>
              <w:bottom w:val="single" w:sz="1" w:space="0" w:color="DDE4EE"/>
              <w:right w:val="single" w:sz="1" w:space="0" w:color="DDE4EE"/>
            </w:tcBorders>
            <w:tcMar>
              <w:top w:w="80" w:type="dxa"/>
              <w:left w:w="120" w:type="dxa"/>
              <w:bottom w:w="80" w:type="dxa"/>
              <w:right w:w="120" w:type="dxa"/>
            </w:tcMar>
          </w:tcPr>
          <w:p w14:paraId="151B30A6" w14:textId="77777777" w:rsidR="00F06132" w:rsidRDefault="00000000">
            <w:proofErr w:type="spellStart"/>
            <w:r>
              <w:rPr>
                <w:sz w:val="18"/>
                <w:szCs w:val="18"/>
              </w:rPr>
              <w:t>dbt</w:t>
            </w:r>
            <w:proofErr w:type="spellEnd"/>
            <w:r>
              <w:rPr>
                <w:sz w:val="18"/>
                <w:szCs w:val="18"/>
              </w:rPr>
              <w:t xml:space="preserve"> Core is Apache License 2.0 — fully open-source and self-hostable. SQL models are human-readable text files (.</w:t>
            </w:r>
            <w:proofErr w:type="spellStart"/>
            <w:r>
              <w:rPr>
                <w:sz w:val="18"/>
                <w:szCs w:val="18"/>
              </w:rPr>
              <w:t>sql</w:t>
            </w:r>
            <w:proofErr w:type="spellEnd"/>
            <w:r>
              <w:rPr>
                <w:sz w:val="18"/>
                <w:szCs w:val="18"/>
              </w:rPr>
              <w:t xml:space="preserve"> + Jinja2), version-controllable and portable. Significantly lower lock-in than Talend or Informatica. Main migration cost is refactoring macros and rebuilding scheduling.</w:t>
            </w:r>
          </w:p>
        </w:tc>
      </w:tr>
    </w:tbl>
    <w:p w14:paraId="00941F86" w14:textId="77777777" w:rsidR="00F06132" w:rsidRDefault="00F06132">
      <w:pPr>
        <w:spacing w:after="80"/>
      </w:pPr>
    </w:p>
    <w:p w14:paraId="4D89F760" w14:textId="77777777" w:rsidR="00F06132" w:rsidRDefault="00000000">
      <w:pPr>
        <w:spacing w:before="80" w:after="60"/>
      </w:pPr>
      <w:r>
        <w:rPr>
          <w:b/>
          <w:bCs/>
          <w:color w:val="1B5E20"/>
        </w:rPr>
        <w:t xml:space="preserve">Key Strength: </w:t>
      </w:r>
      <w:proofErr w:type="spellStart"/>
      <w:r>
        <w:t>dbt</w:t>
      </w:r>
      <w:proofErr w:type="spellEnd"/>
      <w:r>
        <w:t xml:space="preserve"> Core is the most developer-friendly open-source transformation tool in the comparison, with strong SQL testing, SCD Type 2 snapshot automation, column-level lineage in </w:t>
      </w:r>
      <w:proofErr w:type="spellStart"/>
      <w:r>
        <w:t>dbt</w:t>
      </w:r>
      <w:proofErr w:type="spellEnd"/>
      <w:r>
        <w:t xml:space="preserve"> Cloud, and transparent pricing ($0 for Core; $100/developer/month for Teams). Its </w:t>
      </w:r>
      <w:proofErr w:type="gramStart"/>
      <w:r>
        <w:t>ref(</w:t>
      </w:r>
      <w:proofErr w:type="gramEnd"/>
      <w:r>
        <w:t>) DAG model provides explicit, auditable dependency management across transformation models.</w:t>
      </w:r>
    </w:p>
    <w:p w14:paraId="40E3F159" w14:textId="77777777" w:rsidR="00F06132" w:rsidRDefault="00000000">
      <w:pPr>
        <w:spacing w:before="80" w:after="120"/>
      </w:pPr>
      <w:r>
        <w:rPr>
          <w:b/>
          <w:bCs/>
          <w:color w:val="B71C1C"/>
        </w:rPr>
        <w:t xml:space="preserve">Key Limitation: </w:t>
      </w:r>
      <w:proofErr w:type="spellStart"/>
      <w:r>
        <w:t>dbt's</w:t>
      </w:r>
      <w:proofErr w:type="spellEnd"/>
      <w:r>
        <w:t xml:space="preserve"> transform-only architecture is its fundamental constraint relative to SUBOP. </w:t>
      </w:r>
      <w:proofErr w:type="spellStart"/>
      <w:r>
        <w:t>Organisations</w:t>
      </w:r>
      <w:proofErr w:type="spellEnd"/>
      <w:r>
        <w:t xml:space="preserve"> using </w:t>
      </w:r>
      <w:proofErr w:type="spellStart"/>
      <w:r>
        <w:t>dbt</w:t>
      </w:r>
      <w:proofErr w:type="spellEnd"/>
      <w:r>
        <w:t xml:space="preserve"> still require at least one separate EL ingestion tool, one CDC solution, and one BI platform. </w:t>
      </w:r>
      <w:proofErr w:type="spellStart"/>
      <w:r>
        <w:t>dbt</w:t>
      </w:r>
      <w:proofErr w:type="spellEnd"/>
      <w:r>
        <w:t xml:space="preserve"> does not reduce the number of tools in a data stack — it </w:t>
      </w:r>
      <w:proofErr w:type="spellStart"/>
      <w:r>
        <w:t>optimises</w:t>
      </w:r>
      <w:proofErr w:type="spellEnd"/>
      <w:r>
        <w:t xml:space="preserve"> one layer of it.</w:t>
      </w:r>
    </w:p>
    <w:p w14:paraId="03AEAF9D" w14:textId="77777777" w:rsidR="00F06132" w:rsidRDefault="00000000">
      <w:pPr>
        <w:spacing w:before="160" w:after="60"/>
      </w:pPr>
      <w:r>
        <w:rPr>
          <w:b/>
          <w:bCs/>
          <w:color w:val="2E75B6"/>
          <w:sz w:val="22"/>
          <w:szCs w:val="22"/>
        </w:rPr>
        <w:t>2.5 Microsoft Power BI</w:t>
      </w:r>
    </w:p>
    <w:p w14:paraId="5F93CA10" w14:textId="77777777" w:rsidR="00F06132" w:rsidRDefault="00000000">
      <w:pPr>
        <w:spacing w:before="80" w:after="80"/>
      </w:pPr>
      <w:r>
        <w:rPr>
          <w:b/>
          <w:bCs/>
          <w:color w:val="1F4E79"/>
        </w:rPr>
        <w:t xml:space="preserve">Background: </w:t>
      </w:r>
      <w:r>
        <w:t>Microsoft Power BI is the market-leading self-service BI platform, ranked as a Leader in the Gartner Magic Quadrant for Analytics and Business Intelligence Platforms for 14 consecutive years through 2025. As of 2026, Power BI is embedded as the analytics experience within Microsoft Fabric — a unified SaaS analytics platform (GA November 2023) combining data engineering, warehousing, real-time analytics, data science, and BI. Power BI is evaluated here as the BI product it is, not as the broader Fabric ecosystem. Its core strength is self-service BI; it has no ETL, no CDC, and no warehouse automation capability.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1560"/>
        <w:gridCol w:w="6000"/>
      </w:tblGrid>
      <w:tr w:rsidR="00F06132" w14:paraId="28A818AD" w14:textId="77777777">
        <w:tblPrEx>
          <w:tblCellMar>
            <w:top w:w="0" w:type="dxa"/>
            <w:bottom w:w="0" w:type="dxa"/>
          </w:tblCellMar>
        </w:tblPrEx>
        <w:tc>
          <w:tcPr>
            <w:tcW w:w="1800" w:type="dxa"/>
            <w:tcBorders>
              <w:top w:val="single" w:sz="1" w:space="0" w:color="DDE4EE"/>
              <w:left w:val="single" w:sz="1" w:space="0" w:color="DDE4EE"/>
              <w:bottom w:val="single" w:sz="1" w:space="0" w:color="DDE4EE"/>
              <w:right w:val="single" w:sz="1" w:space="0" w:color="DDE4EE"/>
            </w:tcBorders>
            <w:shd w:val="clear" w:color="auto" w:fill="1F4E79"/>
            <w:tcMar>
              <w:top w:w="80" w:type="dxa"/>
              <w:left w:w="120" w:type="dxa"/>
              <w:bottom w:w="80" w:type="dxa"/>
              <w:right w:w="120" w:type="dxa"/>
            </w:tcMar>
          </w:tcPr>
          <w:p w14:paraId="43BBB236" w14:textId="77777777" w:rsidR="00F06132" w:rsidRDefault="00000000">
            <w:r>
              <w:rPr>
                <w:b/>
                <w:bCs/>
                <w:color w:val="FFFFFF"/>
                <w:sz w:val="18"/>
                <w:szCs w:val="18"/>
              </w:rPr>
              <w:t>Dimension</w:t>
            </w:r>
          </w:p>
        </w:tc>
        <w:tc>
          <w:tcPr>
            <w:tcW w:w="1560" w:type="dxa"/>
            <w:tcBorders>
              <w:top w:val="single" w:sz="1" w:space="0" w:color="DDE4EE"/>
              <w:left w:val="single" w:sz="1" w:space="0" w:color="DDE4EE"/>
              <w:bottom w:val="single" w:sz="1" w:space="0" w:color="DDE4EE"/>
              <w:right w:val="single" w:sz="1" w:space="0" w:color="DDE4EE"/>
            </w:tcBorders>
            <w:shd w:val="clear" w:color="auto" w:fill="1F4E79"/>
            <w:tcMar>
              <w:top w:w="80" w:type="dxa"/>
              <w:left w:w="120" w:type="dxa"/>
              <w:bottom w:w="80" w:type="dxa"/>
              <w:right w:w="120" w:type="dxa"/>
            </w:tcMar>
          </w:tcPr>
          <w:p w14:paraId="12B098C3" w14:textId="77777777" w:rsidR="00F06132" w:rsidRDefault="00000000">
            <w:r>
              <w:rPr>
                <w:b/>
                <w:bCs/>
                <w:color w:val="FFFFFF"/>
                <w:sz w:val="18"/>
                <w:szCs w:val="18"/>
              </w:rPr>
              <w:t>Rating</w:t>
            </w:r>
          </w:p>
        </w:tc>
        <w:tc>
          <w:tcPr>
            <w:tcW w:w="6000" w:type="dxa"/>
            <w:tcBorders>
              <w:top w:val="single" w:sz="1" w:space="0" w:color="DDE4EE"/>
              <w:left w:val="single" w:sz="1" w:space="0" w:color="DDE4EE"/>
              <w:bottom w:val="single" w:sz="1" w:space="0" w:color="DDE4EE"/>
              <w:right w:val="single" w:sz="1" w:space="0" w:color="DDE4EE"/>
            </w:tcBorders>
            <w:shd w:val="clear" w:color="auto" w:fill="1F4E79"/>
            <w:tcMar>
              <w:top w:w="80" w:type="dxa"/>
              <w:left w:w="120" w:type="dxa"/>
              <w:bottom w:w="80" w:type="dxa"/>
              <w:right w:w="120" w:type="dxa"/>
            </w:tcMar>
          </w:tcPr>
          <w:p w14:paraId="1BE12DD6" w14:textId="77777777" w:rsidR="00F06132" w:rsidRDefault="00000000">
            <w:r>
              <w:rPr>
                <w:b/>
                <w:bCs/>
                <w:color w:val="FFFFFF"/>
                <w:sz w:val="18"/>
                <w:szCs w:val="18"/>
              </w:rPr>
              <w:t>Key Evidence</w:t>
            </w:r>
          </w:p>
        </w:tc>
      </w:tr>
      <w:tr w:rsidR="00F06132" w14:paraId="2E3F411D" w14:textId="77777777">
        <w:tblPrEx>
          <w:tblCellMar>
            <w:top w:w="0" w:type="dxa"/>
            <w:bottom w:w="0" w:type="dxa"/>
          </w:tblCellMar>
        </w:tblPrEx>
        <w:tc>
          <w:tcPr>
            <w:tcW w:w="1800" w:type="dxa"/>
            <w:tcBorders>
              <w:top w:val="single" w:sz="1" w:space="0" w:color="DDE4EE"/>
              <w:left w:val="single" w:sz="1" w:space="0" w:color="DDE4EE"/>
              <w:bottom w:val="single" w:sz="1" w:space="0" w:color="DDE4EE"/>
              <w:right w:val="single" w:sz="1" w:space="0" w:color="DDE4EE"/>
            </w:tcBorders>
            <w:tcMar>
              <w:top w:w="80" w:type="dxa"/>
              <w:left w:w="120" w:type="dxa"/>
              <w:bottom w:w="80" w:type="dxa"/>
              <w:right w:w="120" w:type="dxa"/>
            </w:tcMar>
          </w:tcPr>
          <w:p w14:paraId="53C76596" w14:textId="77777777" w:rsidR="00F06132" w:rsidRDefault="00000000">
            <w:r>
              <w:rPr>
                <w:b/>
                <w:bCs/>
                <w:sz w:val="18"/>
                <w:szCs w:val="18"/>
              </w:rPr>
              <w:t>D1 — DB-Agnostic Abstraction</w:t>
            </w:r>
          </w:p>
        </w:tc>
        <w:tc>
          <w:tcPr>
            <w:tcW w:w="1560" w:type="dxa"/>
            <w:tcBorders>
              <w:top w:val="single" w:sz="1" w:space="0" w:color="DDE4EE"/>
              <w:left w:val="single" w:sz="1" w:space="0" w:color="DDE4EE"/>
              <w:bottom w:val="single" w:sz="1" w:space="0" w:color="DDE4EE"/>
              <w:right w:val="single" w:sz="1" w:space="0" w:color="DDE4EE"/>
            </w:tcBorders>
            <w:shd w:val="clear" w:color="auto" w:fill="FFF3CD"/>
            <w:tcMar>
              <w:top w:w="80" w:type="dxa"/>
              <w:left w:w="120" w:type="dxa"/>
              <w:bottom w:w="80" w:type="dxa"/>
              <w:right w:w="120" w:type="dxa"/>
            </w:tcMar>
            <w:vAlign w:val="center"/>
          </w:tcPr>
          <w:p w14:paraId="239102F0" w14:textId="77777777" w:rsidR="00F06132" w:rsidRDefault="00000000">
            <w:pPr>
              <w:jc w:val="center"/>
            </w:pPr>
            <w:r>
              <w:rPr>
                <w:b/>
                <w:bCs/>
                <w:color w:val="7B4D00"/>
                <w:sz w:val="18"/>
                <w:szCs w:val="18"/>
              </w:rPr>
              <w:t>Partial</w:t>
            </w:r>
          </w:p>
        </w:tc>
        <w:tc>
          <w:tcPr>
            <w:tcW w:w="6000" w:type="dxa"/>
            <w:tcBorders>
              <w:top w:val="single" w:sz="1" w:space="0" w:color="DDE4EE"/>
              <w:left w:val="single" w:sz="1" w:space="0" w:color="DDE4EE"/>
              <w:bottom w:val="single" w:sz="1" w:space="0" w:color="DDE4EE"/>
              <w:right w:val="single" w:sz="1" w:space="0" w:color="DDE4EE"/>
            </w:tcBorders>
            <w:tcMar>
              <w:top w:w="80" w:type="dxa"/>
              <w:left w:w="120" w:type="dxa"/>
              <w:bottom w:w="80" w:type="dxa"/>
              <w:right w:w="120" w:type="dxa"/>
            </w:tcMar>
          </w:tcPr>
          <w:p w14:paraId="0D2A63B1" w14:textId="77777777" w:rsidR="00F06132" w:rsidRDefault="00000000">
            <w:r>
              <w:rPr>
                <w:sz w:val="18"/>
                <w:szCs w:val="18"/>
              </w:rPr>
              <w:t xml:space="preserve">300+ connectors connect individually to Oracle, PostgreSQL, MySQL, MSSQL, and other sources. Import and </w:t>
            </w:r>
            <w:proofErr w:type="spellStart"/>
            <w:r>
              <w:rPr>
                <w:sz w:val="18"/>
                <w:szCs w:val="18"/>
              </w:rPr>
              <w:t>DirectQuery</w:t>
            </w:r>
            <w:proofErr w:type="spellEnd"/>
            <w:r>
              <w:rPr>
                <w:sz w:val="18"/>
                <w:szCs w:val="18"/>
              </w:rPr>
              <w:t xml:space="preserve"> modes each require separate per-source configuration. Power BI is a BI tool, not an ETL abstraction layer. Switching source requires reconnecting and reshaping the semantic model.</w:t>
            </w:r>
          </w:p>
        </w:tc>
      </w:tr>
      <w:tr w:rsidR="00F06132" w14:paraId="17E298C2" w14:textId="77777777">
        <w:tblPrEx>
          <w:tblCellMar>
            <w:top w:w="0" w:type="dxa"/>
            <w:bottom w:w="0" w:type="dxa"/>
          </w:tblCellMar>
        </w:tblPrEx>
        <w:tc>
          <w:tcPr>
            <w:tcW w:w="1800" w:type="dxa"/>
            <w:tcBorders>
              <w:top w:val="single" w:sz="1" w:space="0" w:color="DDE4EE"/>
              <w:left w:val="single" w:sz="1" w:space="0" w:color="DDE4EE"/>
              <w:bottom w:val="single" w:sz="1" w:space="0" w:color="DDE4EE"/>
              <w:right w:val="single" w:sz="1" w:space="0" w:color="DDE4EE"/>
            </w:tcBorders>
            <w:tcMar>
              <w:top w:w="80" w:type="dxa"/>
              <w:left w:w="120" w:type="dxa"/>
              <w:bottom w:w="80" w:type="dxa"/>
              <w:right w:w="120" w:type="dxa"/>
            </w:tcMar>
          </w:tcPr>
          <w:p w14:paraId="4BB1B7C5" w14:textId="77777777" w:rsidR="00F06132" w:rsidRDefault="00000000">
            <w:r>
              <w:rPr>
                <w:b/>
                <w:bCs/>
                <w:sz w:val="18"/>
                <w:szCs w:val="18"/>
              </w:rPr>
              <w:t>D2 — Real-Time CDC</w:t>
            </w:r>
          </w:p>
        </w:tc>
        <w:tc>
          <w:tcPr>
            <w:tcW w:w="1560" w:type="dxa"/>
            <w:tcBorders>
              <w:top w:val="single" w:sz="1" w:space="0" w:color="DDE4EE"/>
              <w:left w:val="single" w:sz="1" w:space="0" w:color="DDE4EE"/>
              <w:bottom w:val="single" w:sz="1" w:space="0" w:color="DDE4EE"/>
              <w:right w:val="single" w:sz="1" w:space="0" w:color="DDE4EE"/>
            </w:tcBorders>
            <w:shd w:val="clear" w:color="auto" w:fill="FFEBEE"/>
            <w:tcMar>
              <w:top w:w="80" w:type="dxa"/>
              <w:left w:w="120" w:type="dxa"/>
              <w:bottom w:w="80" w:type="dxa"/>
              <w:right w:w="120" w:type="dxa"/>
            </w:tcMar>
            <w:vAlign w:val="center"/>
          </w:tcPr>
          <w:p w14:paraId="7BE3F048" w14:textId="77777777" w:rsidR="00F06132" w:rsidRDefault="00000000">
            <w:pPr>
              <w:jc w:val="center"/>
            </w:pPr>
            <w:r>
              <w:rPr>
                <w:b/>
                <w:bCs/>
                <w:color w:val="B71C1C"/>
                <w:sz w:val="18"/>
                <w:szCs w:val="18"/>
              </w:rPr>
              <w:t>Not Supported</w:t>
            </w:r>
          </w:p>
        </w:tc>
        <w:tc>
          <w:tcPr>
            <w:tcW w:w="6000" w:type="dxa"/>
            <w:tcBorders>
              <w:top w:val="single" w:sz="1" w:space="0" w:color="DDE4EE"/>
              <w:left w:val="single" w:sz="1" w:space="0" w:color="DDE4EE"/>
              <w:bottom w:val="single" w:sz="1" w:space="0" w:color="DDE4EE"/>
              <w:right w:val="single" w:sz="1" w:space="0" w:color="DDE4EE"/>
            </w:tcBorders>
            <w:tcMar>
              <w:top w:w="80" w:type="dxa"/>
              <w:left w:w="120" w:type="dxa"/>
              <w:bottom w:w="80" w:type="dxa"/>
              <w:right w:w="120" w:type="dxa"/>
            </w:tcMar>
          </w:tcPr>
          <w:p w14:paraId="7285F3B0" w14:textId="77777777" w:rsidR="00F06132" w:rsidRDefault="00000000">
            <w:r>
              <w:rPr>
                <w:sz w:val="18"/>
                <w:szCs w:val="18"/>
              </w:rPr>
              <w:t xml:space="preserve">No CDC capability — confirmed by architecture. Import mode uses scheduled refresh (full or date-partitioned incremental — captures new rows only, deleted rows not tracked). </w:t>
            </w:r>
            <w:proofErr w:type="spellStart"/>
            <w:r>
              <w:rPr>
                <w:sz w:val="18"/>
                <w:szCs w:val="18"/>
              </w:rPr>
              <w:t>DirectQuery</w:t>
            </w:r>
            <w:proofErr w:type="spellEnd"/>
            <w:r>
              <w:rPr>
                <w:sz w:val="18"/>
                <w:szCs w:val="18"/>
              </w:rPr>
              <w:t xml:space="preserve"> sends live queries per user interaction. Streaming datasets accept application-pushed data via REST API; this is application-level streaming, not database-level log-based CDC.</w:t>
            </w:r>
          </w:p>
        </w:tc>
      </w:tr>
      <w:tr w:rsidR="00F06132" w14:paraId="32CEC830" w14:textId="77777777">
        <w:tblPrEx>
          <w:tblCellMar>
            <w:top w:w="0" w:type="dxa"/>
            <w:bottom w:w="0" w:type="dxa"/>
          </w:tblCellMar>
        </w:tblPrEx>
        <w:tc>
          <w:tcPr>
            <w:tcW w:w="1800" w:type="dxa"/>
            <w:tcBorders>
              <w:top w:val="single" w:sz="1" w:space="0" w:color="DDE4EE"/>
              <w:left w:val="single" w:sz="1" w:space="0" w:color="DDE4EE"/>
              <w:bottom w:val="single" w:sz="1" w:space="0" w:color="DDE4EE"/>
              <w:right w:val="single" w:sz="1" w:space="0" w:color="DDE4EE"/>
            </w:tcBorders>
            <w:tcMar>
              <w:top w:w="80" w:type="dxa"/>
              <w:left w:w="120" w:type="dxa"/>
              <w:bottom w:w="80" w:type="dxa"/>
              <w:right w:w="120" w:type="dxa"/>
            </w:tcMar>
          </w:tcPr>
          <w:p w14:paraId="6B0AFAA7" w14:textId="77777777" w:rsidR="00F06132" w:rsidRDefault="00000000">
            <w:r>
              <w:rPr>
                <w:b/>
                <w:bCs/>
                <w:sz w:val="18"/>
                <w:szCs w:val="18"/>
              </w:rPr>
              <w:t>D3 — Self-Service BI</w:t>
            </w:r>
          </w:p>
        </w:tc>
        <w:tc>
          <w:tcPr>
            <w:tcW w:w="1560" w:type="dxa"/>
            <w:tcBorders>
              <w:top w:val="single" w:sz="1" w:space="0" w:color="DDE4EE"/>
              <w:left w:val="single" w:sz="1" w:space="0" w:color="DDE4EE"/>
              <w:bottom w:val="single" w:sz="1" w:space="0" w:color="DDE4EE"/>
              <w:right w:val="single" w:sz="1" w:space="0" w:color="DDE4EE"/>
            </w:tcBorders>
            <w:shd w:val="clear" w:color="auto" w:fill="E8F5E9"/>
            <w:tcMar>
              <w:top w:w="80" w:type="dxa"/>
              <w:left w:w="120" w:type="dxa"/>
              <w:bottom w:w="80" w:type="dxa"/>
              <w:right w:w="120" w:type="dxa"/>
            </w:tcMar>
            <w:vAlign w:val="center"/>
          </w:tcPr>
          <w:p w14:paraId="1F3ED101" w14:textId="77777777" w:rsidR="00F06132" w:rsidRDefault="00000000">
            <w:pPr>
              <w:jc w:val="center"/>
            </w:pPr>
            <w:r>
              <w:rPr>
                <w:b/>
                <w:bCs/>
                <w:color w:val="1B5E20"/>
                <w:sz w:val="18"/>
                <w:szCs w:val="18"/>
              </w:rPr>
              <w:t>Full</w:t>
            </w:r>
          </w:p>
        </w:tc>
        <w:tc>
          <w:tcPr>
            <w:tcW w:w="6000" w:type="dxa"/>
            <w:tcBorders>
              <w:top w:val="single" w:sz="1" w:space="0" w:color="DDE4EE"/>
              <w:left w:val="single" w:sz="1" w:space="0" w:color="DDE4EE"/>
              <w:bottom w:val="single" w:sz="1" w:space="0" w:color="DDE4EE"/>
              <w:right w:val="single" w:sz="1" w:space="0" w:color="DDE4EE"/>
            </w:tcBorders>
            <w:tcMar>
              <w:top w:w="80" w:type="dxa"/>
              <w:left w:w="120" w:type="dxa"/>
              <w:bottom w:w="80" w:type="dxa"/>
              <w:right w:w="120" w:type="dxa"/>
            </w:tcMar>
          </w:tcPr>
          <w:p w14:paraId="47E4E26A" w14:textId="77777777" w:rsidR="00F06132" w:rsidRDefault="00000000">
            <w:r>
              <w:rPr>
                <w:sz w:val="18"/>
                <w:szCs w:val="18"/>
              </w:rPr>
              <w:t>Power BI is the self-service BI benchmark: drag-and-drop canvas, 35+ built-in visual types, 1,000+ custom visuals marketplace, Q&amp;A natural language questions, Quick Insights AI, Smart Narrative, Anomaly Detection, and Power BI Copilot (2024+). A non-technical user can create a working dashboard from warehouse data in under 15 minutes.</w:t>
            </w:r>
          </w:p>
        </w:tc>
      </w:tr>
      <w:tr w:rsidR="00F06132" w14:paraId="3E501B9E" w14:textId="77777777">
        <w:tblPrEx>
          <w:tblCellMar>
            <w:top w:w="0" w:type="dxa"/>
            <w:bottom w:w="0" w:type="dxa"/>
          </w:tblCellMar>
        </w:tblPrEx>
        <w:tc>
          <w:tcPr>
            <w:tcW w:w="1800" w:type="dxa"/>
            <w:tcBorders>
              <w:top w:val="single" w:sz="1" w:space="0" w:color="DDE4EE"/>
              <w:left w:val="single" w:sz="1" w:space="0" w:color="DDE4EE"/>
              <w:bottom w:val="single" w:sz="1" w:space="0" w:color="DDE4EE"/>
              <w:right w:val="single" w:sz="1" w:space="0" w:color="DDE4EE"/>
            </w:tcBorders>
            <w:tcMar>
              <w:top w:w="80" w:type="dxa"/>
              <w:left w:w="120" w:type="dxa"/>
              <w:bottom w:w="80" w:type="dxa"/>
              <w:right w:w="120" w:type="dxa"/>
            </w:tcMar>
          </w:tcPr>
          <w:p w14:paraId="41E29E72" w14:textId="77777777" w:rsidR="00F06132" w:rsidRDefault="00000000">
            <w:r>
              <w:rPr>
                <w:b/>
                <w:bCs/>
                <w:sz w:val="18"/>
                <w:szCs w:val="18"/>
              </w:rPr>
              <w:t>D4 — Metadata-Driven DW</w:t>
            </w:r>
          </w:p>
        </w:tc>
        <w:tc>
          <w:tcPr>
            <w:tcW w:w="1560" w:type="dxa"/>
            <w:tcBorders>
              <w:top w:val="single" w:sz="1" w:space="0" w:color="DDE4EE"/>
              <w:left w:val="single" w:sz="1" w:space="0" w:color="DDE4EE"/>
              <w:bottom w:val="single" w:sz="1" w:space="0" w:color="DDE4EE"/>
              <w:right w:val="single" w:sz="1" w:space="0" w:color="DDE4EE"/>
            </w:tcBorders>
            <w:shd w:val="clear" w:color="auto" w:fill="FFEBEE"/>
            <w:tcMar>
              <w:top w:w="80" w:type="dxa"/>
              <w:left w:w="120" w:type="dxa"/>
              <w:bottom w:w="80" w:type="dxa"/>
              <w:right w:w="120" w:type="dxa"/>
            </w:tcMar>
            <w:vAlign w:val="center"/>
          </w:tcPr>
          <w:p w14:paraId="2DE5606B" w14:textId="77777777" w:rsidR="00F06132" w:rsidRDefault="00000000">
            <w:pPr>
              <w:jc w:val="center"/>
            </w:pPr>
            <w:r>
              <w:rPr>
                <w:b/>
                <w:bCs/>
                <w:color w:val="B71C1C"/>
                <w:sz w:val="18"/>
                <w:szCs w:val="18"/>
              </w:rPr>
              <w:t>Not Supported</w:t>
            </w:r>
          </w:p>
        </w:tc>
        <w:tc>
          <w:tcPr>
            <w:tcW w:w="6000" w:type="dxa"/>
            <w:tcBorders>
              <w:top w:val="single" w:sz="1" w:space="0" w:color="DDE4EE"/>
              <w:left w:val="single" w:sz="1" w:space="0" w:color="DDE4EE"/>
              <w:bottom w:val="single" w:sz="1" w:space="0" w:color="DDE4EE"/>
              <w:right w:val="single" w:sz="1" w:space="0" w:color="DDE4EE"/>
            </w:tcBorders>
            <w:tcMar>
              <w:top w:w="80" w:type="dxa"/>
              <w:left w:w="120" w:type="dxa"/>
              <w:bottom w:w="80" w:type="dxa"/>
              <w:right w:w="120" w:type="dxa"/>
            </w:tcMar>
          </w:tcPr>
          <w:p w14:paraId="53B0BD04" w14:textId="77777777" w:rsidR="00F06132" w:rsidRDefault="00000000">
            <w:r>
              <w:rPr>
                <w:sz w:val="18"/>
                <w:szCs w:val="18"/>
              </w:rPr>
              <w:t>Power BI semantic models are designed manually in Power BI Desktop or Tabular Editor. No auto-generation of fact tables, dimension tables, or SCD logic from source metadata. The semantic model is a presentation layer, not a warehouse schema manager.</w:t>
            </w:r>
          </w:p>
        </w:tc>
      </w:tr>
      <w:tr w:rsidR="00F06132" w14:paraId="3656029C" w14:textId="77777777">
        <w:tblPrEx>
          <w:tblCellMar>
            <w:top w:w="0" w:type="dxa"/>
            <w:bottom w:w="0" w:type="dxa"/>
          </w:tblCellMar>
        </w:tblPrEx>
        <w:tc>
          <w:tcPr>
            <w:tcW w:w="1800" w:type="dxa"/>
            <w:tcBorders>
              <w:top w:val="single" w:sz="1" w:space="0" w:color="DDE4EE"/>
              <w:left w:val="single" w:sz="1" w:space="0" w:color="DDE4EE"/>
              <w:bottom w:val="single" w:sz="1" w:space="0" w:color="DDE4EE"/>
              <w:right w:val="single" w:sz="1" w:space="0" w:color="DDE4EE"/>
            </w:tcBorders>
            <w:tcMar>
              <w:top w:w="80" w:type="dxa"/>
              <w:left w:w="120" w:type="dxa"/>
              <w:bottom w:w="80" w:type="dxa"/>
              <w:right w:w="120" w:type="dxa"/>
            </w:tcMar>
          </w:tcPr>
          <w:p w14:paraId="22405C16" w14:textId="77777777" w:rsidR="00F06132" w:rsidRDefault="00000000">
            <w:r>
              <w:rPr>
                <w:b/>
                <w:bCs/>
                <w:sz w:val="18"/>
                <w:szCs w:val="18"/>
              </w:rPr>
              <w:t>D5 — Data Quality &amp; Lineage</w:t>
            </w:r>
          </w:p>
        </w:tc>
        <w:tc>
          <w:tcPr>
            <w:tcW w:w="1560" w:type="dxa"/>
            <w:tcBorders>
              <w:top w:val="single" w:sz="1" w:space="0" w:color="DDE4EE"/>
              <w:left w:val="single" w:sz="1" w:space="0" w:color="DDE4EE"/>
              <w:bottom w:val="single" w:sz="1" w:space="0" w:color="DDE4EE"/>
              <w:right w:val="single" w:sz="1" w:space="0" w:color="DDE4EE"/>
            </w:tcBorders>
            <w:shd w:val="clear" w:color="auto" w:fill="FFF3CD"/>
            <w:tcMar>
              <w:top w:w="80" w:type="dxa"/>
              <w:left w:w="120" w:type="dxa"/>
              <w:bottom w:w="80" w:type="dxa"/>
              <w:right w:w="120" w:type="dxa"/>
            </w:tcMar>
            <w:vAlign w:val="center"/>
          </w:tcPr>
          <w:p w14:paraId="1A1969BF" w14:textId="77777777" w:rsidR="00F06132" w:rsidRDefault="00000000">
            <w:pPr>
              <w:jc w:val="center"/>
            </w:pPr>
            <w:r>
              <w:rPr>
                <w:b/>
                <w:bCs/>
                <w:color w:val="7B4D00"/>
                <w:sz w:val="18"/>
                <w:szCs w:val="18"/>
              </w:rPr>
              <w:t>Partial</w:t>
            </w:r>
          </w:p>
        </w:tc>
        <w:tc>
          <w:tcPr>
            <w:tcW w:w="6000" w:type="dxa"/>
            <w:tcBorders>
              <w:top w:val="single" w:sz="1" w:space="0" w:color="DDE4EE"/>
              <w:left w:val="single" w:sz="1" w:space="0" w:color="DDE4EE"/>
              <w:bottom w:val="single" w:sz="1" w:space="0" w:color="DDE4EE"/>
              <w:right w:val="single" w:sz="1" w:space="0" w:color="DDE4EE"/>
            </w:tcBorders>
            <w:tcMar>
              <w:top w:w="80" w:type="dxa"/>
              <w:left w:w="120" w:type="dxa"/>
              <w:bottom w:w="80" w:type="dxa"/>
              <w:right w:w="120" w:type="dxa"/>
            </w:tcMar>
          </w:tcPr>
          <w:p w14:paraId="5BFA8F3D" w14:textId="77777777" w:rsidR="00F06132" w:rsidRDefault="00000000">
            <w:r>
              <w:rPr>
                <w:sz w:val="18"/>
                <w:szCs w:val="18"/>
              </w:rPr>
              <w:t>Power BI Service lineage view shows data source to dataset to report to dashboard within a single workspace. Microsoft Purview adds cross-system and column-level lineage for Azure sources (separate deployment and licensing required). No automated pipeline-level quality rule engine.</w:t>
            </w:r>
          </w:p>
        </w:tc>
      </w:tr>
      <w:tr w:rsidR="00F06132" w14:paraId="461AC37D" w14:textId="77777777">
        <w:tblPrEx>
          <w:tblCellMar>
            <w:top w:w="0" w:type="dxa"/>
            <w:bottom w:w="0" w:type="dxa"/>
          </w:tblCellMar>
        </w:tblPrEx>
        <w:tc>
          <w:tcPr>
            <w:tcW w:w="1800" w:type="dxa"/>
            <w:tcBorders>
              <w:top w:val="single" w:sz="1" w:space="0" w:color="DDE4EE"/>
              <w:left w:val="single" w:sz="1" w:space="0" w:color="DDE4EE"/>
              <w:bottom w:val="single" w:sz="1" w:space="0" w:color="DDE4EE"/>
              <w:right w:val="single" w:sz="1" w:space="0" w:color="DDE4EE"/>
            </w:tcBorders>
            <w:tcMar>
              <w:top w:w="80" w:type="dxa"/>
              <w:left w:w="120" w:type="dxa"/>
              <w:bottom w:w="80" w:type="dxa"/>
              <w:right w:w="120" w:type="dxa"/>
            </w:tcMar>
          </w:tcPr>
          <w:p w14:paraId="1CAEE048" w14:textId="77777777" w:rsidR="00F06132" w:rsidRDefault="00000000">
            <w:r>
              <w:rPr>
                <w:b/>
                <w:bCs/>
                <w:sz w:val="18"/>
                <w:szCs w:val="18"/>
              </w:rPr>
              <w:t>D6 — KVKK / GDPR Compliance</w:t>
            </w:r>
          </w:p>
        </w:tc>
        <w:tc>
          <w:tcPr>
            <w:tcW w:w="1560" w:type="dxa"/>
            <w:tcBorders>
              <w:top w:val="single" w:sz="1" w:space="0" w:color="DDE4EE"/>
              <w:left w:val="single" w:sz="1" w:space="0" w:color="DDE4EE"/>
              <w:bottom w:val="single" w:sz="1" w:space="0" w:color="DDE4EE"/>
              <w:right w:val="single" w:sz="1" w:space="0" w:color="DDE4EE"/>
            </w:tcBorders>
            <w:shd w:val="clear" w:color="auto" w:fill="FFF3CD"/>
            <w:tcMar>
              <w:top w:w="80" w:type="dxa"/>
              <w:left w:w="120" w:type="dxa"/>
              <w:bottom w:w="80" w:type="dxa"/>
              <w:right w:w="120" w:type="dxa"/>
            </w:tcMar>
            <w:vAlign w:val="center"/>
          </w:tcPr>
          <w:p w14:paraId="7BDEFA2D" w14:textId="77777777" w:rsidR="00F06132" w:rsidRDefault="00000000">
            <w:pPr>
              <w:jc w:val="center"/>
            </w:pPr>
            <w:r>
              <w:rPr>
                <w:b/>
                <w:bCs/>
                <w:color w:val="7B4D00"/>
                <w:sz w:val="18"/>
                <w:szCs w:val="18"/>
              </w:rPr>
              <w:t>Partial</w:t>
            </w:r>
          </w:p>
        </w:tc>
        <w:tc>
          <w:tcPr>
            <w:tcW w:w="6000" w:type="dxa"/>
            <w:tcBorders>
              <w:top w:val="single" w:sz="1" w:space="0" w:color="DDE4EE"/>
              <w:left w:val="single" w:sz="1" w:space="0" w:color="DDE4EE"/>
              <w:bottom w:val="single" w:sz="1" w:space="0" w:color="DDE4EE"/>
              <w:right w:val="single" w:sz="1" w:space="0" w:color="DDE4EE"/>
            </w:tcBorders>
            <w:tcMar>
              <w:top w:w="80" w:type="dxa"/>
              <w:left w:w="120" w:type="dxa"/>
              <w:bottom w:w="80" w:type="dxa"/>
              <w:right w:w="120" w:type="dxa"/>
            </w:tcMar>
          </w:tcPr>
          <w:p w14:paraId="34309040" w14:textId="77777777" w:rsidR="00F06132" w:rsidRDefault="00000000">
            <w:r>
              <w:rPr>
                <w:sz w:val="18"/>
                <w:szCs w:val="18"/>
              </w:rPr>
              <w:t xml:space="preserve">Microsoft Information Protection sensitivity labels govern dataset/report export </w:t>
            </w:r>
            <w:proofErr w:type="spellStart"/>
            <w:r>
              <w:rPr>
                <w:sz w:val="18"/>
                <w:szCs w:val="18"/>
              </w:rPr>
              <w:t>behaviour</w:t>
            </w:r>
            <w:proofErr w:type="spellEnd"/>
            <w:r>
              <w:rPr>
                <w:sz w:val="18"/>
                <w:szCs w:val="18"/>
              </w:rPr>
              <w:t xml:space="preserve">. Microsoft GDPR Data Processing Agreement covers the Service. Turkey North data center region available for KVKK data residency (Premium/Fabric only). SOC 2 Type II, ISO 27001 certified. </w:t>
            </w:r>
            <w:r>
              <w:rPr>
                <w:sz w:val="18"/>
                <w:szCs w:val="18"/>
              </w:rPr>
              <w:lastRenderedPageBreak/>
              <w:t>No native column masking — RLS controls rows only; column masking must be implemented at the source layer.</w:t>
            </w:r>
          </w:p>
        </w:tc>
      </w:tr>
      <w:tr w:rsidR="00F06132" w14:paraId="4A571F48" w14:textId="77777777">
        <w:tblPrEx>
          <w:tblCellMar>
            <w:top w:w="0" w:type="dxa"/>
            <w:bottom w:w="0" w:type="dxa"/>
          </w:tblCellMar>
        </w:tblPrEx>
        <w:tc>
          <w:tcPr>
            <w:tcW w:w="1800" w:type="dxa"/>
            <w:tcBorders>
              <w:top w:val="single" w:sz="1" w:space="0" w:color="DDE4EE"/>
              <w:left w:val="single" w:sz="1" w:space="0" w:color="DDE4EE"/>
              <w:bottom w:val="single" w:sz="1" w:space="0" w:color="DDE4EE"/>
              <w:right w:val="single" w:sz="1" w:space="0" w:color="DDE4EE"/>
            </w:tcBorders>
            <w:tcMar>
              <w:top w:w="80" w:type="dxa"/>
              <w:left w:w="120" w:type="dxa"/>
              <w:bottom w:w="80" w:type="dxa"/>
              <w:right w:w="120" w:type="dxa"/>
            </w:tcMar>
          </w:tcPr>
          <w:p w14:paraId="0BCA5CE4" w14:textId="77777777" w:rsidR="00F06132" w:rsidRDefault="00000000">
            <w:r>
              <w:rPr>
                <w:b/>
                <w:bCs/>
                <w:sz w:val="18"/>
                <w:szCs w:val="18"/>
              </w:rPr>
              <w:lastRenderedPageBreak/>
              <w:t>D7 — Open-Source / No Vendor Lock</w:t>
            </w:r>
          </w:p>
        </w:tc>
        <w:tc>
          <w:tcPr>
            <w:tcW w:w="1560" w:type="dxa"/>
            <w:tcBorders>
              <w:top w:val="single" w:sz="1" w:space="0" w:color="DDE4EE"/>
              <w:left w:val="single" w:sz="1" w:space="0" w:color="DDE4EE"/>
              <w:bottom w:val="single" w:sz="1" w:space="0" w:color="DDE4EE"/>
              <w:right w:val="single" w:sz="1" w:space="0" w:color="DDE4EE"/>
            </w:tcBorders>
            <w:shd w:val="clear" w:color="auto" w:fill="FFEBEE"/>
            <w:tcMar>
              <w:top w:w="80" w:type="dxa"/>
              <w:left w:w="120" w:type="dxa"/>
              <w:bottom w:w="80" w:type="dxa"/>
              <w:right w:w="120" w:type="dxa"/>
            </w:tcMar>
            <w:vAlign w:val="center"/>
          </w:tcPr>
          <w:p w14:paraId="6D5A5F6E" w14:textId="77777777" w:rsidR="00F06132" w:rsidRDefault="00000000">
            <w:pPr>
              <w:jc w:val="center"/>
            </w:pPr>
            <w:r>
              <w:rPr>
                <w:b/>
                <w:bCs/>
                <w:color w:val="B71C1C"/>
                <w:sz w:val="18"/>
                <w:szCs w:val="18"/>
              </w:rPr>
              <w:t>Not Supported</w:t>
            </w:r>
          </w:p>
        </w:tc>
        <w:tc>
          <w:tcPr>
            <w:tcW w:w="6000" w:type="dxa"/>
            <w:tcBorders>
              <w:top w:val="single" w:sz="1" w:space="0" w:color="DDE4EE"/>
              <w:left w:val="single" w:sz="1" w:space="0" w:color="DDE4EE"/>
              <w:bottom w:val="single" w:sz="1" w:space="0" w:color="DDE4EE"/>
              <w:right w:val="single" w:sz="1" w:space="0" w:color="DDE4EE"/>
            </w:tcBorders>
            <w:tcMar>
              <w:top w:w="80" w:type="dxa"/>
              <w:left w:w="120" w:type="dxa"/>
              <w:bottom w:w="80" w:type="dxa"/>
              <w:right w:w="120" w:type="dxa"/>
            </w:tcMar>
          </w:tcPr>
          <w:p w14:paraId="3F0BFF8A" w14:textId="77777777" w:rsidR="00F06132" w:rsidRDefault="00000000">
            <w:r>
              <w:rPr>
                <w:sz w:val="18"/>
                <w:szCs w:val="18"/>
              </w:rPr>
              <w:t>Fully proprietary Microsoft product. .</w:t>
            </w:r>
            <w:proofErr w:type="spellStart"/>
            <w:proofErr w:type="gramStart"/>
            <w:r>
              <w:rPr>
                <w:sz w:val="18"/>
                <w:szCs w:val="18"/>
              </w:rPr>
              <w:t>pbix</w:t>
            </w:r>
            <w:proofErr w:type="spellEnd"/>
            <w:r>
              <w:rPr>
                <w:sz w:val="18"/>
                <w:szCs w:val="18"/>
              </w:rPr>
              <w:t>/.</w:t>
            </w:r>
            <w:proofErr w:type="spellStart"/>
            <w:proofErr w:type="gramEnd"/>
            <w:r>
              <w:rPr>
                <w:sz w:val="18"/>
                <w:szCs w:val="18"/>
              </w:rPr>
              <w:t>pbip</w:t>
            </w:r>
            <w:proofErr w:type="spellEnd"/>
            <w:r>
              <w:rPr>
                <w:sz w:val="18"/>
                <w:szCs w:val="18"/>
              </w:rPr>
              <w:t xml:space="preserve"> file format; DAX calculation language; Power Query M language — </w:t>
            </w:r>
            <w:proofErr w:type="gramStart"/>
            <w:r>
              <w:rPr>
                <w:sz w:val="18"/>
                <w:szCs w:val="18"/>
              </w:rPr>
              <w:t>none transferable</w:t>
            </w:r>
            <w:proofErr w:type="gramEnd"/>
            <w:r>
              <w:rPr>
                <w:sz w:val="18"/>
                <w:szCs w:val="18"/>
              </w:rPr>
              <w:t xml:space="preserve"> to non-Microsoft BI tools. All reports must be rebuilt from scratch when migrating. Microsoft Fabric ecosystem deepening and Copilot AI integration further increase switching costs over time.</w:t>
            </w:r>
          </w:p>
        </w:tc>
      </w:tr>
    </w:tbl>
    <w:p w14:paraId="0B57F84F" w14:textId="77777777" w:rsidR="00F06132" w:rsidRDefault="00F06132">
      <w:pPr>
        <w:spacing w:after="80"/>
      </w:pPr>
    </w:p>
    <w:p w14:paraId="48DD986F" w14:textId="77777777" w:rsidR="00F06132" w:rsidRDefault="00000000">
      <w:pPr>
        <w:spacing w:before="80" w:after="60"/>
      </w:pPr>
      <w:r>
        <w:rPr>
          <w:b/>
          <w:bCs/>
          <w:color w:val="1B5E20"/>
        </w:rPr>
        <w:t xml:space="preserve">Key Strength: </w:t>
      </w:r>
      <w:r>
        <w:t>Power BI is the definitive self-service BI benchmark. Its drag-and-drop authoring environment, AI-assisted features (Q&amp;A, Copilot, anomaly detection), 1,000+ custom visuals, and transparent per-user pricing ($10/user/month for Pro) represent the standard that SUBOP's G6 dashboard builder module must match for non-technical users.</w:t>
      </w:r>
    </w:p>
    <w:p w14:paraId="782DBAD4" w14:textId="77777777" w:rsidR="00F06132" w:rsidRDefault="00000000">
      <w:pPr>
        <w:spacing w:before="80" w:after="120"/>
      </w:pPr>
      <w:r>
        <w:rPr>
          <w:b/>
          <w:bCs/>
          <w:color w:val="B71C1C"/>
        </w:rPr>
        <w:t xml:space="preserve">Key Limitation: </w:t>
      </w:r>
      <w:r>
        <w:t xml:space="preserve">Power BI has zero data movement, ETL, or CDC capability. </w:t>
      </w:r>
      <w:proofErr w:type="spellStart"/>
      <w:r>
        <w:t>Organisations</w:t>
      </w:r>
      <w:proofErr w:type="spellEnd"/>
      <w:r>
        <w:t xml:space="preserve"> using Power BI still require separate pipeline tools for data ingestion, transformation, and warehouse management. DAX lock-in means all BI investment is non-transferable if an </w:t>
      </w:r>
      <w:proofErr w:type="spellStart"/>
      <w:r>
        <w:t>organisation</w:t>
      </w:r>
      <w:proofErr w:type="spellEnd"/>
      <w:r>
        <w:t xml:space="preserve"> ever migrates to a different BI platform.</w:t>
      </w:r>
    </w:p>
    <w:p w14:paraId="76107458" w14:textId="77777777" w:rsidR="001F1CD7" w:rsidRDefault="001F1CD7" w:rsidP="001F1CD7"/>
    <w:p w14:paraId="038AD433" w14:textId="575F175F" w:rsidR="00F06132" w:rsidRDefault="00000000" w:rsidP="001F1CD7">
      <w:r>
        <w:rPr>
          <w:b/>
          <w:bCs/>
          <w:color w:val="1F4E79"/>
          <w:sz w:val="26"/>
          <w:szCs w:val="26"/>
        </w:rPr>
        <w:t>3. Completed 5 × 7 Feature Matrix</w:t>
      </w:r>
    </w:p>
    <w:p w14:paraId="7FFB5255" w14:textId="77777777" w:rsidR="00F06132" w:rsidRDefault="00F06132">
      <w:pPr>
        <w:spacing w:after="60"/>
      </w:pPr>
    </w:p>
    <w:p w14:paraId="679294B7" w14:textId="77777777" w:rsidR="00F06132" w:rsidRDefault="00000000">
      <w:pPr>
        <w:spacing w:before="80" w:after="100"/>
      </w:pPr>
      <w:r>
        <w:t>The matrix below presents the complete competitive ratings across all five tools and seven SUBOP capability dimensions. All research was completed in Weeks 5 and 6. No pending ratings remain.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71"/>
        <w:gridCol w:w="1776"/>
        <w:gridCol w:w="1152"/>
        <w:gridCol w:w="1160"/>
        <w:gridCol w:w="1152"/>
        <w:gridCol w:w="1152"/>
        <w:gridCol w:w="1152"/>
        <w:gridCol w:w="1345"/>
      </w:tblGrid>
      <w:tr w:rsidR="00F06132" w14:paraId="4DBCD42E" w14:textId="77777777">
        <w:tblPrEx>
          <w:tblCellMar>
            <w:top w:w="0" w:type="dxa"/>
            <w:bottom w:w="0" w:type="dxa"/>
          </w:tblCellMar>
        </w:tblPrEx>
        <w:trPr>
          <w:tblHeader/>
        </w:trPr>
        <w:tc>
          <w:tcPr>
            <w:tcW w:w="400" w:type="dxa"/>
            <w:tcBorders>
              <w:top w:val="single" w:sz="1" w:space="0" w:color="DDE4EE"/>
              <w:left w:val="single" w:sz="1" w:space="0" w:color="DDE4EE"/>
              <w:bottom w:val="single" w:sz="1" w:space="0" w:color="DDE4EE"/>
              <w:right w:val="single" w:sz="1" w:space="0" w:color="DDE4EE"/>
            </w:tcBorders>
            <w:shd w:val="clear" w:color="auto" w:fill="1F4E79"/>
            <w:tcMar>
              <w:top w:w="80" w:type="dxa"/>
              <w:left w:w="120" w:type="dxa"/>
              <w:bottom w:w="80" w:type="dxa"/>
              <w:right w:w="120" w:type="dxa"/>
            </w:tcMar>
          </w:tcPr>
          <w:p w14:paraId="7D602AD6" w14:textId="77777777" w:rsidR="00F06132" w:rsidRDefault="00000000">
            <w:pPr>
              <w:jc w:val="center"/>
            </w:pPr>
            <w:r>
              <w:rPr>
                <w:b/>
                <w:bCs/>
                <w:color w:val="FFFFFF"/>
                <w:sz w:val="18"/>
                <w:szCs w:val="18"/>
              </w:rPr>
              <w:t>#</w:t>
            </w:r>
          </w:p>
        </w:tc>
        <w:tc>
          <w:tcPr>
            <w:tcW w:w="1800" w:type="dxa"/>
            <w:tcBorders>
              <w:top w:val="single" w:sz="1" w:space="0" w:color="DDE4EE"/>
              <w:left w:val="single" w:sz="1" w:space="0" w:color="DDE4EE"/>
              <w:bottom w:val="single" w:sz="1" w:space="0" w:color="DDE4EE"/>
              <w:right w:val="single" w:sz="1" w:space="0" w:color="DDE4EE"/>
            </w:tcBorders>
            <w:shd w:val="clear" w:color="auto" w:fill="1F4E79"/>
            <w:tcMar>
              <w:top w:w="80" w:type="dxa"/>
              <w:left w:w="120" w:type="dxa"/>
              <w:bottom w:w="80" w:type="dxa"/>
              <w:right w:w="120" w:type="dxa"/>
            </w:tcMar>
          </w:tcPr>
          <w:p w14:paraId="6D584555" w14:textId="77777777" w:rsidR="00F06132" w:rsidRDefault="00000000">
            <w:r>
              <w:rPr>
                <w:b/>
                <w:bCs/>
                <w:color w:val="FFFFFF"/>
                <w:sz w:val="18"/>
                <w:szCs w:val="18"/>
              </w:rPr>
              <w:t>Dimension</w:t>
            </w:r>
          </w:p>
        </w:tc>
        <w:tc>
          <w:tcPr>
            <w:tcW w:w="1160" w:type="dxa"/>
            <w:tcBorders>
              <w:top w:val="single" w:sz="1" w:space="0" w:color="DDE4EE"/>
              <w:left w:val="single" w:sz="1" w:space="0" w:color="DDE4EE"/>
              <w:bottom w:val="single" w:sz="1" w:space="0" w:color="DDE4EE"/>
              <w:right w:val="single" w:sz="1" w:space="0" w:color="DDE4EE"/>
            </w:tcBorders>
            <w:shd w:val="clear" w:color="auto" w:fill="1F4E79"/>
            <w:tcMar>
              <w:top w:w="80" w:type="dxa"/>
              <w:left w:w="120" w:type="dxa"/>
              <w:bottom w:w="80" w:type="dxa"/>
              <w:right w:w="120" w:type="dxa"/>
            </w:tcMar>
          </w:tcPr>
          <w:p w14:paraId="6E68B5CD" w14:textId="77777777" w:rsidR="00F06132" w:rsidRDefault="00000000">
            <w:pPr>
              <w:jc w:val="center"/>
            </w:pPr>
            <w:r>
              <w:rPr>
                <w:b/>
                <w:bCs/>
                <w:color w:val="FFFFFF"/>
                <w:sz w:val="17"/>
                <w:szCs w:val="17"/>
              </w:rPr>
              <w:t>Talend</w:t>
            </w:r>
          </w:p>
        </w:tc>
        <w:tc>
          <w:tcPr>
            <w:tcW w:w="1160" w:type="dxa"/>
            <w:tcBorders>
              <w:top w:val="single" w:sz="1" w:space="0" w:color="DDE4EE"/>
              <w:left w:val="single" w:sz="1" w:space="0" w:color="DDE4EE"/>
              <w:bottom w:val="single" w:sz="1" w:space="0" w:color="DDE4EE"/>
              <w:right w:val="single" w:sz="1" w:space="0" w:color="DDE4EE"/>
            </w:tcBorders>
            <w:shd w:val="clear" w:color="auto" w:fill="1F4E79"/>
            <w:tcMar>
              <w:top w:w="80" w:type="dxa"/>
              <w:left w:w="120" w:type="dxa"/>
              <w:bottom w:w="80" w:type="dxa"/>
              <w:right w:w="120" w:type="dxa"/>
            </w:tcMar>
          </w:tcPr>
          <w:p w14:paraId="42137747" w14:textId="77777777" w:rsidR="00F06132" w:rsidRDefault="00000000">
            <w:pPr>
              <w:jc w:val="center"/>
            </w:pPr>
            <w:r>
              <w:rPr>
                <w:b/>
                <w:bCs/>
                <w:color w:val="FFFFFF"/>
                <w:sz w:val="17"/>
                <w:szCs w:val="17"/>
              </w:rPr>
              <w:t>Informatica</w:t>
            </w:r>
          </w:p>
        </w:tc>
        <w:tc>
          <w:tcPr>
            <w:tcW w:w="1160" w:type="dxa"/>
            <w:tcBorders>
              <w:top w:val="single" w:sz="1" w:space="0" w:color="DDE4EE"/>
              <w:left w:val="single" w:sz="1" w:space="0" w:color="DDE4EE"/>
              <w:bottom w:val="single" w:sz="1" w:space="0" w:color="DDE4EE"/>
              <w:right w:val="single" w:sz="1" w:space="0" w:color="DDE4EE"/>
            </w:tcBorders>
            <w:shd w:val="clear" w:color="auto" w:fill="1F4E79"/>
            <w:tcMar>
              <w:top w:w="80" w:type="dxa"/>
              <w:left w:w="120" w:type="dxa"/>
              <w:bottom w:w="80" w:type="dxa"/>
              <w:right w:w="120" w:type="dxa"/>
            </w:tcMar>
          </w:tcPr>
          <w:p w14:paraId="7FD3B7BB" w14:textId="77777777" w:rsidR="00F06132" w:rsidRDefault="00000000">
            <w:pPr>
              <w:jc w:val="center"/>
            </w:pPr>
            <w:r>
              <w:rPr>
                <w:b/>
                <w:bCs/>
                <w:color w:val="FFFFFF"/>
                <w:sz w:val="17"/>
                <w:szCs w:val="17"/>
              </w:rPr>
              <w:t xml:space="preserve">Apache </w:t>
            </w:r>
            <w:proofErr w:type="spellStart"/>
            <w:r>
              <w:rPr>
                <w:b/>
                <w:bCs/>
                <w:color w:val="FFFFFF"/>
                <w:sz w:val="17"/>
                <w:szCs w:val="17"/>
              </w:rPr>
              <w:t>NiFi</w:t>
            </w:r>
            <w:proofErr w:type="spellEnd"/>
          </w:p>
        </w:tc>
        <w:tc>
          <w:tcPr>
            <w:tcW w:w="1160" w:type="dxa"/>
            <w:tcBorders>
              <w:top w:val="single" w:sz="1" w:space="0" w:color="DDE4EE"/>
              <w:left w:val="single" w:sz="1" w:space="0" w:color="DDE4EE"/>
              <w:bottom w:val="single" w:sz="1" w:space="0" w:color="DDE4EE"/>
              <w:right w:val="single" w:sz="1" w:space="0" w:color="DDE4EE"/>
            </w:tcBorders>
            <w:shd w:val="clear" w:color="auto" w:fill="1F4E79"/>
            <w:tcMar>
              <w:top w:w="80" w:type="dxa"/>
              <w:left w:w="120" w:type="dxa"/>
              <w:bottom w:w="80" w:type="dxa"/>
              <w:right w:w="120" w:type="dxa"/>
            </w:tcMar>
          </w:tcPr>
          <w:p w14:paraId="783C7212" w14:textId="77777777" w:rsidR="00F06132" w:rsidRDefault="00000000">
            <w:pPr>
              <w:jc w:val="center"/>
            </w:pPr>
            <w:proofErr w:type="spellStart"/>
            <w:r>
              <w:rPr>
                <w:b/>
                <w:bCs/>
                <w:color w:val="FFFFFF"/>
                <w:sz w:val="17"/>
                <w:szCs w:val="17"/>
              </w:rPr>
              <w:t>dbt</w:t>
            </w:r>
            <w:proofErr w:type="spellEnd"/>
          </w:p>
        </w:tc>
        <w:tc>
          <w:tcPr>
            <w:tcW w:w="1160" w:type="dxa"/>
            <w:tcBorders>
              <w:top w:val="single" w:sz="1" w:space="0" w:color="DDE4EE"/>
              <w:left w:val="single" w:sz="1" w:space="0" w:color="DDE4EE"/>
              <w:bottom w:val="single" w:sz="1" w:space="0" w:color="DDE4EE"/>
              <w:right w:val="single" w:sz="1" w:space="0" w:color="DDE4EE"/>
            </w:tcBorders>
            <w:shd w:val="clear" w:color="auto" w:fill="1F4E79"/>
            <w:tcMar>
              <w:top w:w="80" w:type="dxa"/>
              <w:left w:w="120" w:type="dxa"/>
              <w:bottom w:w="80" w:type="dxa"/>
              <w:right w:w="120" w:type="dxa"/>
            </w:tcMar>
          </w:tcPr>
          <w:p w14:paraId="41F12788" w14:textId="77777777" w:rsidR="00F06132" w:rsidRDefault="00000000">
            <w:pPr>
              <w:jc w:val="center"/>
            </w:pPr>
            <w:r>
              <w:rPr>
                <w:b/>
                <w:bCs/>
                <w:color w:val="FFFFFF"/>
                <w:sz w:val="17"/>
                <w:szCs w:val="17"/>
              </w:rPr>
              <w:t>Power BI</w:t>
            </w:r>
          </w:p>
        </w:tc>
        <w:tc>
          <w:tcPr>
            <w:tcW w:w="1360" w:type="dxa"/>
            <w:tcBorders>
              <w:top w:val="single" w:sz="1" w:space="0" w:color="DDE4EE"/>
              <w:left w:val="single" w:sz="1" w:space="0" w:color="DDE4EE"/>
              <w:bottom w:val="single" w:sz="1" w:space="0" w:color="DDE4EE"/>
              <w:right w:val="single" w:sz="1" w:space="0" w:color="DDE4EE"/>
            </w:tcBorders>
            <w:shd w:val="clear" w:color="auto" w:fill="2E75B6"/>
            <w:tcMar>
              <w:top w:w="80" w:type="dxa"/>
              <w:left w:w="120" w:type="dxa"/>
              <w:bottom w:w="80" w:type="dxa"/>
              <w:right w:w="120" w:type="dxa"/>
            </w:tcMar>
          </w:tcPr>
          <w:p w14:paraId="5B866425" w14:textId="77777777" w:rsidR="00F06132" w:rsidRDefault="00000000">
            <w:pPr>
              <w:jc w:val="center"/>
            </w:pPr>
            <w:r>
              <w:rPr>
                <w:b/>
                <w:bCs/>
                <w:color w:val="FFFFFF"/>
                <w:sz w:val="17"/>
                <w:szCs w:val="17"/>
              </w:rPr>
              <w:t>SUBOP (Planned)</w:t>
            </w:r>
          </w:p>
        </w:tc>
      </w:tr>
      <w:tr w:rsidR="00F06132" w14:paraId="2B85BCD0" w14:textId="77777777">
        <w:tblPrEx>
          <w:tblCellMar>
            <w:top w:w="0" w:type="dxa"/>
            <w:bottom w:w="0" w:type="dxa"/>
          </w:tblCellMar>
        </w:tblPrEx>
        <w:tc>
          <w:tcPr>
            <w:tcW w:w="400" w:type="dxa"/>
            <w:tcBorders>
              <w:top w:val="single" w:sz="1" w:space="0" w:color="DDE4EE"/>
              <w:left w:val="single" w:sz="1" w:space="0" w:color="DDE4EE"/>
              <w:bottom w:val="single" w:sz="1" w:space="0" w:color="DDE4EE"/>
              <w:right w:val="single" w:sz="1" w:space="0" w:color="DDE4EE"/>
            </w:tcBorders>
            <w:shd w:val="clear" w:color="auto" w:fill="FFFFFF"/>
            <w:tcMar>
              <w:top w:w="80" w:type="dxa"/>
              <w:left w:w="120" w:type="dxa"/>
              <w:bottom w:w="80" w:type="dxa"/>
              <w:right w:w="120" w:type="dxa"/>
            </w:tcMar>
            <w:vAlign w:val="center"/>
          </w:tcPr>
          <w:p w14:paraId="6024C266" w14:textId="77777777" w:rsidR="00F06132" w:rsidRDefault="00000000">
            <w:pPr>
              <w:jc w:val="center"/>
            </w:pPr>
            <w:r>
              <w:rPr>
                <w:b/>
                <w:bCs/>
                <w:color w:val="1F4E79"/>
                <w:sz w:val="18"/>
                <w:szCs w:val="18"/>
              </w:rPr>
              <w:t>D1</w:t>
            </w:r>
          </w:p>
        </w:tc>
        <w:tc>
          <w:tcPr>
            <w:tcW w:w="1800" w:type="dxa"/>
            <w:tcBorders>
              <w:top w:val="single" w:sz="1" w:space="0" w:color="DDE4EE"/>
              <w:left w:val="single" w:sz="1" w:space="0" w:color="DDE4EE"/>
              <w:bottom w:val="single" w:sz="1" w:space="0" w:color="DDE4EE"/>
              <w:right w:val="single" w:sz="1" w:space="0" w:color="DDE4EE"/>
            </w:tcBorders>
            <w:shd w:val="clear" w:color="auto" w:fill="FFFFFF"/>
            <w:tcMar>
              <w:top w:w="80" w:type="dxa"/>
              <w:left w:w="120" w:type="dxa"/>
              <w:bottom w:w="80" w:type="dxa"/>
              <w:right w:w="120" w:type="dxa"/>
            </w:tcMar>
          </w:tcPr>
          <w:p w14:paraId="7D42AD26" w14:textId="77777777" w:rsidR="00F06132" w:rsidRDefault="00000000">
            <w:r>
              <w:rPr>
                <w:b/>
                <w:bCs/>
                <w:sz w:val="18"/>
                <w:szCs w:val="18"/>
              </w:rPr>
              <w:t>DB-Agnostic Abstraction</w:t>
            </w:r>
          </w:p>
        </w:tc>
        <w:tc>
          <w:tcPr>
            <w:tcW w:w="1160" w:type="dxa"/>
            <w:tcBorders>
              <w:top w:val="single" w:sz="1" w:space="0" w:color="DDE4EE"/>
              <w:left w:val="single" w:sz="1" w:space="0" w:color="DDE4EE"/>
              <w:bottom w:val="single" w:sz="1" w:space="0" w:color="DDE4EE"/>
              <w:right w:val="single" w:sz="1" w:space="0" w:color="DDE4EE"/>
            </w:tcBorders>
            <w:shd w:val="clear" w:color="auto" w:fill="FFF3CD"/>
            <w:tcMar>
              <w:top w:w="80" w:type="dxa"/>
              <w:left w:w="120" w:type="dxa"/>
              <w:bottom w:w="80" w:type="dxa"/>
              <w:right w:w="120" w:type="dxa"/>
            </w:tcMar>
            <w:vAlign w:val="center"/>
          </w:tcPr>
          <w:p w14:paraId="01F992CE" w14:textId="77777777" w:rsidR="00F06132" w:rsidRDefault="00000000">
            <w:pPr>
              <w:jc w:val="center"/>
            </w:pPr>
            <w:r>
              <w:rPr>
                <w:color w:val="7B4D00"/>
                <w:sz w:val="16"/>
                <w:szCs w:val="16"/>
              </w:rPr>
              <w:t>Partial</w:t>
            </w:r>
          </w:p>
        </w:tc>
        <w:tc>
          <w:tcPr>
            <w:tcW w:w="1160" w:type="dxa"/>
            <w:tcBorders>
              <w:top w:val="single" w:sz="1" w:space="0" w:color="DDE4EE"/>
              <w:left w:val="single" w:sz="1" w:space="0" w:color="DDE4EE"/>
              <w:bottom w:val="single" w:sz="1" w:space="0" w:color="DDE4EE"/>
              <w:right w:val="single" w:sz="1" w:space="0" w:color="DDE4EE"/>
            </w:tcBorders>
            <w:shd w:val="clear" w:color="auto" w:fill="FFF3CD"/>
            <w:tcMar>
              <w:top w:w="80" w:type="dxa"/>
              <w:left w:w="120" w:type="dxa"/>
              <w:bottom w:w="80" w:type="dxa"/>
              <w:right w:w="120" w:type="dxa"/>
            </w:tcMar>
            <w:vAlign w:val="center"/>
          </w:tcPr>
          <w:p w14:paraId="5E819006" w14:textId="77777777" w:rsidR="00F06132" w:rsidRDefault="00000000">
            <w:pPr>
              <w:jc w:val="center"/>
            </w:pPr>
            <w:r>
              <w:rPr>
                <w:color w:val="7B4D00"/>
                <w:sz w:val="16"/>
                <w:szCs w:val="16"/>
              </w:rPr>
              <w:t>Partial</w:t>
            </w:r>
          </w:p>
        </w:tc>
        <w:tc>
          <w:tcPr>
            <w:tcW w:w="1160" w:type="dxa"/>
            <w:tcBorders>
              <w:top w:val="single" w:sz="1" w:space="0" w:color="DDE4EE"/>
              <w:left w:val="single" w:sz="1" w:space="0" w:color="DDE4EE"/>
              <w:bottom w:val="single" w:sz="1" w:space="0" w:color="DDE4EE"/>
              <w:right w:val="single" w:sz="1" w:space="0" w:color="DDE4EE"/>
            </w:tcBorders>
            <w:shd w:val="clear" w:color="auto" w:fill="FFF3CD"/>
            <w:tcMar>
              <w:top w:w="80" w:type="dxa"/>
              <w:left w:w="120" w:type="dxa"/>
              <w:bottom w:w="80" w:type="dxa"/>
              <w:right w:w="120" w:type="dxa"/>
            </w:tcMar>
            <w:vAlign w:val="center"/>
          </w:tcPr>
          <w:p w14:paraId="2B7F0FF3" w14:textId="77777777" w:rsidR="00F06132" w:rsidRDefault="00000000">
            <w:pPr>
              <w:jc w:val="center"/>
            </w:pPr>
            <w:r>
              <w:rPr>
                <w:color w:val="7B4D00"/>
                <w:sz w:val="16"/>
                <w:szCs w:val="16"/>
              </w:rPr>
              <w:t>Partial</w:t>
            </w:r>
          </w:p>
        </w:tc>
        <w:tc>
          <w:tcPr>
            <w:tcW w:w="1160" w:type="dxa"/>
            <w:tcBorders>
              <w:top w:val="single" w:sz="1" w:space="0" w:color="DDE4EE"/>
              <w:left w:val="single" w:sz="1" w:space="0" w:color="DDE4EE"/>
              <w:bottom w:val="single" w:sz="1" w:space="0" w:color="DDE4EE"/>
              <w:right w:val="single" w:sz="1" w:space="0" w:color="DDE4EE"/>
            </w:tcBorders>
            <w:shd w:val="clear" w:color="auto" w:fill="FFF3CD"/>
            <w:tcMar>
              <w:top w:w="80" w:type="dxa"/>
              <w:left w:w="120" w:type="dxa"/>
              <w:bottom w:w="80" w:type="dxa"/>
              <w:right w:w="120" w:type="dxa"/>
            </w:tcMar>
            <w:vAlign w:val="center"/>
          </w:tcPr>
          <w:p w14:paraId="4493989F" w14:textId="77777777" w:rsidR="00F06132" w:rsidRDefault="00000000">
            <w:pPr>
              <w:jc w:val="center"/>
            </w:pPr>
            <w:r>
              <w:rPr>
                <w:color w:val="7B4D00"/>
                <w:sz w:val="16"/>
                <w:szCs w:val="16"/>
              </w:rPr>
              <w:t>Partial</w:t>
            </w:r>
          </w:p>
        </w:tc>
        <w:tc>
          <w:tcPr>
            <w:tcW w:w="1160" w:type="dxa"/>
            <w:tcBorders>
              <w:top w:val="single" w:sz="1" w:space="0" w:color="DDE4EE"/>
              <w:left w:val="single" w:sz="1" w:space="0" w:color="DDE4EE"/>
              <w:bottom w:val="single" w:sz="1" w:space="0" w:color="DDE4EE"/>
              <w:right w:val="single" w:sz="1" w:space="0" w:color="DDE4EE"/>
            </w:tcBorders>
            <w:shd w:val="clear" w:color="auto" w:fill="FFF3CD"/>
            <w:tcMar>
              <w:top w:w="80" w:type="dxa"/>
              <w:left w:w="120" w:type="dxa"/>
              <w:bottom w:w="80" w:type="dxa"/>
              <w:right w:w="120" w:type="dxa"/>
            </w:tcMar>
            <w:vAlign w:val="center"/>
          </w:tcPr>
          <w:p w14:paraId="6D52E034" w14:textId="77777777" w:rsidR="00F06132" w:rsidRDefault="00000000">
            <w:pPr>
              <w:jc w:val="center"/>
            </w:pPr>
            <w:r>
              <w:rPr>
                <w:color w:val="7B4D00"/>
                <w:sz w:val="16"/>
                <w:szCs w:val="16"/>
              </w:rPr>
              <w:t>Partial</w:t>
            </w:r>
          </w:p>
        </w:tc>
        <w:tc>
          <w:tcPr>
            <w:tcW w:w="1360" w:type="dxa"/>
            <w:tcBorders>
              <w:top w:val="single" w:sz="1" w:space="0" w:color="DDE4EE"/>
              <w:left w:val="single" w:sz="1" w:space="0" w:color="DDE4EE"/>
              <w:bottom w:val="single" w:sz="1" w:space="0" w:color="DDE4EE"/>
              <w:right w:val="single" w:sz="1" w:space="0" w:color="DDE4EE"/>
            </w:tcBorders>
            <w:shd w:val="clear" w:color="auto" w:fill="D6E4F0"/>
            <w:tcMar>
              <w:top w:w="80" w:type="dxa"/>
              <w:left w:w="120" w:type="dxa"/>
              <w:bottom w:w="80" w:type="dxa"/>
              <w:right w:w="120" w:type="dxa"/>
            </w:tcMar>
            <w:vAlign w:val="center"/>
          </w:tcPr>
          <w:p w14:paraId="1F701FEE" w14:textId="77777777" w:rsidR="00F06132" w:rsidRDefault="00000000">
            <w:pPr>
              <w:jc w:val="center"/>
            </w:pPr>
            <w:r>
              <w:rPr>
                <w:b/>
                <w:bCs/>
                <w:color w:val="1F4E79"/>
                <w:sz w:val="16"/>
                <w:szCs w:val="16"/>
              </w:rPr>
              <w:t>Full (Planned)</w:t>
            </w:r>
          </w:p>
        </w:tc>
      </w:tr>
      <w:tr w:rsidR="00F06132" w14:paraId="6FA18AB7" w14:textId="77777777">
        <w:tblPrEx>
          <w:tblCellMar>
            <w:top w:w="0" w:type="dxa"/>
            <w:bottom w:w="0" w:type="dxa"/>
          </w:tblCellMar>
        </w:tblPrEx>
        <w:tc>
          <w:tcPr>
            <w:tcW w:w="400" w:type="dxa"/>
            <w:tcBorders>
              <w:top w:val="single" w:sz="1" w:space="0" w:color="DDE4EE"/>
              <w:left w:val="single" w:sz="1" w:space="0" w:color="DDE4EE"/>
              <w:bottom w:val="single" w:sz="1" w:space="0" w:color="DDE4EE"/>
              <w:right w:val="single" w:sz="1" w:space="0" w:color="DDE4EE"/>
            </w:tcBorders>
            <w:shd w:val="clear" w:color="auto" w:fill="D6E4F0"/>
            <w:tcMar>
              <w:top w:w="80" w:type="dxa"/>
              <w:left w:w="120" w:type="dxa"/>
              <w:bottom w:w="80" w:type="dxa"/>
              <w:right w:w="120" w:type="dxa"/>
            </w:tcMar>
            <w:vAlign w:val="center"/>
          </w:tcPr>
          <w:p w14:paraId="44A938C0" w14:textId="77777777" w:rsidR="00F06132" w:rsidRDefault="00000000">
            <w:pPr>
              <w:jc w:val="center"/>
            </w:pPr>
            <w:r>
              <w:rPr>
                <w:b/>
                <w:bCs/>
                <w:color w:val="1F4E79"/>
                <w:sz w:val="18"/>
                <w:szCs w:val="18"/>
              </w:rPr>
              <w:t>D2</w:t>
            </w:r>
          </w:p>
        </w:tc>
        <w:tc>
          <w:tcPr>
            <w:tcW w:w="1800" w:type="dxa"/>
            <w:tcBorders>
              <w:top w:val="single" w:sz="1" w:space="0" w:color="DDE4EE"/>
              <w:left w:val="single" w:sz="1" w:space="0" w:color="DDE4EE"/>
              <w:bottom w:val="single" w:sz="1" w:space="0" w:color="DDE4EE"/>
              <w:right w:val="single" w:sz="1" w:space="0" w:color="DDE4EE"/>
            </w:tcBorders>
            <w:shd w:val="clear" w:color="auto" w:fill="D6E4F0"/>
            <w:tcMar>
              <w:top w:w="80" w:type="dxa"/>
              <w:left w:w="120" w:type="dxa"/>
              <w:bottom w:w="80" w:type="dxa"/>
              <w:right w:w="120" w:type="dxa"/>
            </w:tcMar>
          </w:tcPr>
          <w:p w14:paraId="2AF2F8A4" w14:textId="77777777" w:rsidR="00F06132" w:rsidRDefault="00000000">
            <w:r>
              <w:rPr>
                <w:b/>
                <w:bCs/>
                <w:sz w:val="18"/>
                <w:szCs w:val="18"/>
              </w:rPr>
              <w:t>Real-Time CDC</w:t>
            </w:r>
          </w:p>
        </w:tc>
        <w:tc>
          <w:tcPr>
            <w:tcW w:w="1160" w:type="dxa"/>
            <w:tcBorders>
              <w:top w:val="single" w:sz="1" w:space="0" w:color="DDE4EE"/>
              <w:left w:val="single" w:sz="1" w:space="0" w:color="DDE4EE"/>
              <w:bottom w:val="single" w:sz="1" w:space="0" w:color="DDE4EE"/>
              <w:right w:val="single" w:sz="1" w:space="0" w:color="DDE4EE"/>
            </w:tcBorders>
            <w:shd w:val="clear" w:color="auto" w:fill="FFF3CD"/>
            <w:tcMar>
              <w:top w:w="80" w:type="dxa"/>
              <w:left w:w="120" w:type="dxa"/>
              <w:bottom w:w="80" w:type="dxa"/>
              <w:right w:w="120" w:type="dxa"/>
            </w:tcMar>
            <w:vAlign w:val="center"/>
          </w:tcPr>
          <w:p w14:paraId="46396BB7" w14:textId="77777777" w:rsidR="00F06132" w:rsidRDefault="00000000">
            <w:pPr>
              <w:jc w:val="center"/>
            </w:pPr>
            <w:r>
              <w:rPr>
                <w:color w:val="7B4D00"/>
                <w:sz w:val="16"/>
                <w:szCs w:val="16"/>
              </w:rPr>
              <w:t>Partial</w:t>
            </w:r>
          </w:p>
        </w:tc>
        <w:tc>
          <w:tcPr>
            <w:tcW w:w="1160" w:type="dxa"/>
            <w:tcBorders>
              <w:top w:val="single" w:sz="1" w:space="0" w:color="DDE4EE"/>
              <w:left w:val="single" w:sz="1" w:space="0" w:color="DDE4EE"/>
              <w:bottom w:val="single" w:sz="1" w:space="0" w:color="DDE4EE"/>
              <w:right w:val="single" w:sz="1" w:space="0" w:color="DDE4EE"/>
            </w:tcBorders>
            <w:shd w:val="clear" w:color="auto" w:fill="E8F5E9"/>
            <w:tcMar>
              <w:top w:w="80" w:type="dxa"/>
              <w:left w:w="120" w:type="dxa"/>
              <w:bottom w:w="80" w:type="dxa"/>
              <w:right w:w="120" w:type="dxa"/>
            </w:tcMar>
            <w:vAlign w:val="center"/>
          </w:tcPr>
          <w:p w14:paraId="23E637E7" w14:textId="77777777" w:rsidR="00F06132" w:rsidRDefault="00000000">
            <w:pPr>
              <w:jc w:val="center"/>
            </w:pPr>
            <w:r>
              <w:rPr>
                <w:color w:val="1B5E20"/>
                <w:sz w:val="16"/>
                <w:szCs w:val="16"/>
              </w:rPr>
              <w:t>Full</w:t>
            </w:r>
          </w:p>
        </w:tc>
        <w:tc>
          <w:tcPr>
            <w:tcW w:w="1160" w:type="dxa"/>
            <w:tcBorders>
              <w:top w:val="single" w:sz="1" w:space="0" w:color="DDE4EE"/>
              <w:left w:val="single" w:sz="1" w:space="0" w:color="DDE4EE"/>
              <w:bottom w:val="single" w:sz="1" w:space="0" w:color="DDE4EE"/>
              <w:right w:val="single" w:sz="1" w:space="0" w:color="DDE4EE"/>
            </w:tcBorders>
            <w:shd w:val="clear" w:color="auto" w:fill="FFF3CD"/>
            <w:tcMar>
              <w:top w:w="80" w:type="dxa"/>
              <w:left w:w="120" w:type="dxa"/>
              <w:bottom w:w="80" w:type="dxa"/>
              <w:right w:w="120" w:type="dxa"/>
            </w:tcMar>
            <w:vAlign w:val="center"/>
          </w:tcPr>
          <w:p w14:paraId="51FB6C63" w14:textId="77777777" w:rsidR="00F06132" w:rsidRDefault="00000000">
            <w:pPr>
              <w:jc w:val="center"/>
            </w:pPr>
            <w:r>
              <w:rPr>
                <w:color w:val="7B4D00"/>
                <w:sz w:val="16"/>
                <w:szCs w:val="16"/>
              </w:rPr>
              <w:t>Partial</w:t>
            </w:r>
          </w:p>
        </w:tc>
        <w:tc>
          <w:tcPr>
            <w:tcW w:w="1160" w:type="dxa"/>
            <w:tcBorders>
              <w:top w:val="single" w:sz="1" w:space="0" w:color="DDE4EE"/>
              <w:left w:val="single" w:sz="1" w:space="0" w:color="DDE4EE"/>
              <w:bottom w:val="single" w:sz="1" w:space="0" w:color="DDE4EE"/>
              <w:right w:val="single" w:sz="1" w:space="0" w:color="DDE4EE"/>
            </w:tcBorders>
            <w:shd w:val="clear" w:color="auto" w:fill="FFEBEE"/>
            <w:tcMar>
              <w:top w:w="80" w:type="dxa"/>
              <w:left w:w="120" w:type="dxa"/>
              <w:bottom w:w="80" w:type="dxa"/>
              <w:right w:w="120" w:type="dxa"/>
            </w:tcMar>
            <w:vAlign w:val="center"/>
          </w:tcPr>
          <w:p w14:paraId="3579F924" w14:textId="77777777" w:rsidR="00F06132" w:rsidRDefault="00000000">
            <w:pPr>
              <w:jc w:val="center"/>
            </w:pPr>
            <w:r>
              <w:rPr>
                <w:color w:val="B71C1C"/>
                <w:sz w:val="16"/>
                <w:szCs w:val="16"/>
              </w:rPr>
              <w:t>Not Supported</w:t>
            </w:r>
          </w:p>
        </w:tc>
        <w:tc>
          <w:tcPr>
            <w:tcW w:w="1160" w:type="dxa"/>
            <w:tcBorders>
              <w:top w:val="single" w:sz="1" w:space="0" w:color="DDE4EE"/>
              <w:left w:val="single" w:sz="1" w:space="0" w:color="DDE4EE"/>
              <w:bottom w:val="single" w:sz="1" w:space="0" w:color="DDE4EE"/>
              <w:right w:val="single" w:sz="1" w:space="0" w:color="DDE4EE"/>
            </w:tcBorders>
            <w:shd w:val="clear" w:color="auto" w:fill="FFEBEE"/>
            <w:tcMar>
              <w:top w:w="80" w:type="dxa"/>
              <w:left w:w="120" w:type="dxa"/>
              <w:bottom w:w="80" w:type="dxa"/>
              <w:right w:w="120" w:type="dxa"/>
            </w:tcMar>
            <w:vAlign w:val="center"/>
          </w:tcPr>
          <w:p w14:paraId="2357B87D" w14:textId="77777777" w:rsidR="00F06132" w:rsidRDefault="00000000">
            <w:pPr>
              <w:jc w:val="center"/>
            </w:pPr>
            <w:r>
              <w:rPr>
                <w:color w:val="B71C1C"/>
                <w:sz w:val="16"/>
                <w:szCs w:val="16"/>
              </w:rPr>
              <w:t>Not Supported</w:t>
            </w:r>
          </w:p>
        </w:tc>
        <w:tc>
          <w:tcPr>
            <w:tcW w:w="1360" w:type="dxa"/>
            <w:tcBorders>
              <w:top w:val="single" w:sz="1" w:space="0" w:color="DDE4EE"/>
              <w:left w:val="single" w:sz="1" w:space="0" w:color="DDE4EE"/>
              <w:bottom w:val="single" w:sz="1" w:space="0" w:color="DDE4EE"/>
              <w:right w:val="single" w:sz="1" w:space="0" w:color="DDE4EE"/>
            </w:tcBorders>
            <w:shd w:val="clear" w:color="auto" w:fill="D6E4F0"/>
            <w:tcMar>
              <w:top w:w="80" w:type="dxa"/>
              <w:left w:w="120" w:type="dxa"/>
              <w:bottom w:w="80" w:type="dxa"/>
              <w:right w:w="120" w:type="dxa"/>
            </w:tcMar>
            <w:vAlign w:val="center"/>
          </w:tcPr>
          <w:p w14:paraId="774D6827" w14:textId="77777777" w:rsidR="00F06132" w:rsidRDefault="00000000">
            <w:pPr>
              <w:jc w:val="center"/>
            </w:pPr>
            <w:r>
              <w:rPr>
                <w:b/>
                <w:bCs/>
                <w:color w:val="1F4E79"/>
                <w:sz w:val="16"/>
                <w:szCs w:val="16"/>
              </w:rPr>
              <w:t>Full (Planned)</w:t>
            </w:r>
          </w:p>
        </w:tc>
      </w:tr>
      <w:tr w:rsidR="00F06132" w14:paraId="7A3EAE2F" w14:textId="77777777">
        <w:tblPrEx>
          <w:tblCellMar>
            <w:top w:w="0" w:type="dxa"/>
            <w:bottom w:w="0" w:type="dxa"/>
          </w:tblCellMar>
        </w:tblPrEx>
        <w:tc>
          <w:tcPr>
            <w:tcW w:w="400" w:type="dxa"/>
            <w:tcBorders>
              <w:top w:val="single" w:sz="1" w:space="0" w:color="DDE4EE"/>
              <w:left w:val="single" w:sz="1" w:space="0" w:color="DDE4EE"/>
              <w:bottom w:val="single" w:sz="1" w:space="0" w:color="DDE4EE"/>
              <w:right w:val="single" w:sz="1" w:space="0" w:color="DDE4EE"/>
            </w:tcBorders>
            <w:shd w:val="clear" w:color="auto" w:fill="FFFFFF"/>
            <w:tcMar>
              <w:top w:w="80" w:type="dxa"/>
              <w:left w:w="120" w:type="dxa"/>
              <w:bottom w:w="80" w:type="dxa"/>
              <w:right w:w="120" w:type="dxa"/>
            </w:tcMar>
            <w:vAlign w:val="center"/>
          </w:tcPr>
          <w:p w14:paraId="235373B6" w14:textId="77777777" w:rsidR="00F06132" w:rsidRDefault="00000000">
            <w:pPr>
              <w:jc w:val="center"/>
            </w:pPr>
            <w:r>
              <w:rPr>
                <w:b/>
                <w:bCs/>
                <w:color w:val="1F4E79"/>
                <w:sz w:val="18"/>
                <w:szCs w:val="18"/>
              </w:rPr>
              <w:t>D3</w:t>
            </w:r>
          </w:p>
        </w:tc>
        <w:tc>
          <w:tcPr>
            <w:tcW w:w="1800" w:type="dxa"/>
            <w:tcBorders>
              <w:top w:val="single" w:sz="1" w:space="0" w:color="DDE4EE"/>
              <w:left w:val="single" w:sz="1" w:space="0" w:color="DDE4EE"/>
              <w:bottom w:val="single" w:sz="1" w:space="0" w:color="DDE4EE"/>
              <w:right w:val="single" w:sz="1" w:space="0" w:color="DDE4EE"/>
            </w:tcBorders>
            <w:shd w:val="clear" w:color="auto" w:fill="FFFFFF"/>
            <w:tcMar>
              <w:top w:w="80" w:type="dxa"/>
              <w:left w:w="120" w:type="dxa"/>
              <w:bottom w:w="80" w:type="dxa"/>
              <w:right w:w="120" w:type="dxa"/>
            </w:tcMar>
          </w:tcPr>
          <w:p w14:paraId="538ACFE1" w14:textId="77777777" w:rsidR="00F06132" w:rsidRDefault="00000000">
            <w:r>
              <w:rPr>
                <w:b/>
                <w:bCs/>
                <w:sz w:val="18"/>
                <w:szCs w:val="18"/>
              </w:rPr>
              <w:t>Self-Service BI</w:t>
            </w:r>
          </w:p>
        </w:tc>
        <w:tc>
          <w:tcPr>
            <w:tcW w:w="1160" w:type="dxa"/>
            <w:tcBorders>
              <w:top w:val="single" w:sz="1" w:space="0" w:color="DDE4EE"/>
              <w:left w:val="single" w:sz="1" w:space="0" w:color="DDE4EE"/>
              <w:bottom w:val="single" w:sz="1" w:space="0" w:color="DDE4EE"/>
              <w:right w:val="single" w:sz="1" w:space="0" w:color="DDE4EE"/>
            </w:tcBorders>
            <w:shd w:val="clear" w:color="auto" w:fill="FFEBEE"/>
            <w:tcMar>
              <w:top w:w="80" w:type="dxa"/>
              <w:left w:w="120" w:type="dxa"/>
              <w:bottom w:w="80" w:type="dxa"/>
              <w:right w:w="120" w:type="dxa"/>
            </w:tcMar>
            <w:vAlign w:val="center"/>
          </w:tcPr>
          <w:p w14:paraId="0F55BE83" w14:textId="77777777" w:rsidR="00F06132" w:rsidRDefault="00000000">
            <w:pPr>
              <w:jc w:val="center"/>
            </w:pPr>
            <w:r>
              <w:rPr>
                <w:color w:val="B71C1C"/>
                <w:sz w:val="16"/>
                <w:szCs w:val="16"/>
              </w:rPr>
              <w:t>Not Supported</w:t>
            </w:r>
          </w:p>
        </w:tc>
        <w:tc>
          <w:tcPr>
            <w:tcW w:w="1160" w:type="dxa"/>
            <w:tcBorders>
              <w:top w:val="single" w:sz="1" w:space="0" w:color="DDE4EE"/>
              <w:left w:val="single" w:sz="1" w:space="0" w:color="DDE4EE"/>
              <w:bottom w:val="single" w:sz="1" w:space="0" w:color="DDE4EE"/>
              <w:right w:val="single" w:sz="1" w:space="0" w:color="DDE4EE"/>
            </w:tcBorders>
            <w:shd w:val="clear" w:color="auto" w:fill="FFEBEE"/>
            <w:tcMar>
              <w:top w:w="80" w:type="dxa"/>
              <w:left w:w="120" w:type="dxa"/>
              <w:bottom w:w="80" w:type="dxa"/>
              <w:right w:w="120" w:type="dxa"/>
            </w:tcMar>
            <w:vAlign w:val="center"/>
          </w:tcPr>
          <w:p w14:paraId="677A5DE9" w14:textId="77777777" w:rsidR="00F06132" w:rsidRDefault="00000000">
            <w:pPr>
              <w:jc w:val="center"/>
            </w:pPr>
            <w:r>
              <w:rPr>
                <w:color w:val="B71C1C"/>
                <w:sz w:val="16"/>
                <w:szCs w:val="16"/>
              </w:rPr>
              <w:t>Not Supported</w:t>
            </w:r>
          </w:p>
        </w:tc>
        <w:tc>
          <w:tcPr>
            <w:tcW w:w="1160" w:type="dxa"/>
            <w:tcBorders>
              <w:top w:val="single" w:sz="1" w:space="0" w:color="DDE4EE"/>
              <w:left w:val="single" w:sz="1" w:space="0" w:color="DDE4EE"/>
              <w:bottom w:val="single" w:sz="1" w:space="0" w:color="DDE4EE"/>
              <w:right w:val="single" w:sz="1" w:space="0" w:color="DDE4EE"/>
            </w:tcBorders>
            <w:shd w:val="clear" w:color="auto" w:fill="FFEBEE"/>
            <w:tcMar>
              <w:top w:w="80" w:type="dxa"/>
              <w:left w:w="120" w:type="dxa"/>
              <w:bottom w:w="80" w:type="dxa"/>
              <w:right w:w="120" w:type="dxa"/>
            </w:tcMar>
            <w:vAlign w:val="center"/>
          </w:tcPr>
          <w:p w14:paraId="5C71A7EF" w14:textId="77777777" w:rsidR="00F06132" w:rsidRDefault="00000000">
            <w:pPr>
              <w:jc w:val="center"/>
            </w:pPr>
            <w:r>
              <w:rPr>
                <w:color w:val="B71C1C"/>
                <w:sz w:val="16"/>
                <w:szCs w:val="16"/>
              </w:rPr>
              <w:t>Not Supported</w:t>
            </w:r>
          </w:p>
        </w:tc>
        <w:tc>
          <w:tcPr>
            <w:tcW w:w="1160" w:type="dxa"/>
            <w:tcBorders>
              <w:top w:val="single" w:sz="1" w:space="0" w:color="DDE4EE"/>
              <w:left w:val="single" w:sz="1" w:space="0" w:color="DDE4EE"/>
              <w:bottom w:val="single" w:sz="1" w:space="0" w:color="DDE4EE"/>
              <w:right w:val="single" w:sz="1" w:space="0" w:color="DDE4EE"/>
            </w:tcBorders>
            <w:shd w:val="clear" w:color="auto" w:fill="FFEBEE"/>
            <w:tcMar>
              <w:top w:w="80" w:type="dxa"/>
              <w:left w:w="120" w:type="dxa"/>
              <w:bottom w:w="80" w:type="dxa"/>
              <w:right w:w="120" w:type="dxa"/>
            </w:tcMar>
            <w:vAlign w:val="center"/>
          </w:tcPr>
          <w:p w14:paraId="0F445212" w14:textId="77777777" w:rsidR="00F06132" w:rsidRDefault="00000000">
            <w:pPr>
              <w:jc w:val="center"/>
            </w:pPr>
            <w:r>
              <w:rPr>
                <w:color w:val="B71C1C"/>
                <w:sz w:val="16"/>
                <w:szCs w:val="16"/>
              </w:rPr>
              <w:t>Not Supported</w:t>
            </w:r>
          </w:p>
        </w:tc>
        <w:tc>
          <w:tcPr>
            <w:tcW w:w="1160" w:type="dxa"/>
            <w:tcBorders>
              <w:top w:val="single" w:sz="1" w:space="0" w:color="DDE4EE"/>
              <w:left w:val="single" w:sz="1" w:space="0" w:color="DDE4EE"/>
              <w:bottom w:val="single" w:sz="1" w:space="0" w:color="DDE4EE"/>
              <w:right w:val="single" w:sz="1" w:space="0" w:color="DDE4EE"/>
            </w:tcBorders>
            <w:shd w:val="clear" w:color="auto" w:fill="E8F5E9"/>
            <w:tcMar>
              <w:top w:w="80" w:type="dxa"/>
              <w:left w:w="120" w:type="dxa"/>
              <w:bottom w:w="80" w:type="dxa"/>
              <w:right w:w="120" w:type="dxa"/>
            </w:tcMar>
            <w:vAlign w:val="center"/>
          </w:tcPr>
          <w:p w14:paraId="4B0D32A3" w14:textId="77777777" w:rsidR="00F06132" w:rsidRDefault="00000000">
            <w:pPr>
              <w:jc w:val="center"/>
            </w:pPr>
            <w:r>
              <w:rPr>
                <w:color w:val="1B5E20"/>
                <w:sz w:val="16"/>
                <w:szCs w:val="16"/>
              </w:rPr>
              <w:t>Full</w:t>
            </w:r>
          </w:p>
        </w:tc>
        <w:tc>
          <w:tcPr>
            <w:tcW w:w="1360" w:type="dxa"/>
            <w:tcBorders>
              <w:top w:val="single" w:sz="1" w:space="0" w:color="DDE4EE"/>
              <w:left w:val="single" w:sz="1" w:space="0" w:color="DDE4EE"/>
              <w:bottom w:val="single" w:sz="1" w:space="0" w:color="DDE4EE"/>
              <w:right w:val="single" w:sz="1" w:space="0" w:color="DDE4EE"/>
            </w:tcBorders>
            <w:shd w:val="clear" w:color="auto" w:fill="D6E4F0"/>
            <w:tcMar>
              <w:top w:w="80" w:type="dxa"/>
              <w:left w:w="120" w:type="dxa"/>
              <w:bottom w:w="80" w:type="dxa"/>
              <w:right w:w="120" w:type="dxa"/>
            </w:tcMar>
            <w:vAlign w:val="center"/>
          </w:tcPr>
          <w:p w14:paraId="545C7699" w14:textId="77777777" w:rsidR="00F06132" w:rsidRDefault="00000000">
            <w:pPr>
              <w:jc w:val="center"/>
            </w:pPr>
            <w:r>
              <w:rPr>
                <w:b/>
                <w:bCs/>
                <w:color w:val="1F4E79"/>
                <w:sz w:val="16"/>
                <w:szCs w:val="16"/>
              </w:rPr>
              <w:t>Full (Planned)</w:t>
            </w:r>
          </w:p>
        </w:tc>
      </w:tr>
      <w:tr w:rsidR="00F06132" w14:paraId="0B09C7F1" w14:textId="77777777">
        <w:tblPrEx>
          <w:tblCellMar>
            <w:top w:w="0" w:type="dxa"/>
            <w:bottom w:w="0" w:type="dxa"/>
          </w:tblCellMar>
        </w:tblPrEx>
        <w:tc>
          <w:tcPr>
            <w:tcW w:w="400" w:type="dxa"/>
            <w:tcBorders>
              <w:top w:val="single" w:sz="1" w:space="0" w:color="DDE4EE"/>
              <w:left w:val="single" w:sz="1" w:space="0" w:color="DDE4EE"/>
              <w:bottom w:val="single" w:sz="1" w:space="0" w:color="DDE4EE"/>
              <w:right w:val="single" w:sz="1" w:space="0" w:color="DDE4EE"/>
            </w:tcBorders>
            <w:shd w:val="clear" w:color="auto" w:fill="D6E4F0"/>
            <w:tcMar>
              <w:top w:w="80" w:type="dxa"/>
              <w:left w:w="120" w:type="dxa"/>
              <w:bottom w:w="80" w:type="dxa"/>
              <w:right w:w="120" w:type="dxa"/>
            </w:tcMar>
            <w:vAlign w:val="center"/>
          </w:tcPr>
          <w:p w14:paraId="51AD42C6" w14:textId="77777777" w:rsidR="00F06132" w:rsidRDefault="00000000">
            <w:pPr>
              <w:jc w:val="center"/>
            </w:pPr>
            <w:r>
              <w:rPr>
                <w:b/>
                <w:bCs/>
                <w:color w:val="1F4E79"/>
                <w:sz w:val="18"/>
                <w:szCs w:val="18"/>
              </w:rPr>
              <w:t>D4</w:t>
            </w:r>
          </w:p>
        </w:tc>
        <w:tc>
          <w:tcPr>
            <w:tcW w:w="1800" w:type="dxa"/>
            <w:tcBorders>
              <w:top w:val="single" w:sz="1" w:space="0" w:color="DDE4EE"/>
              <w:left w:val="single" w:sz="1" w:space="0" w:color="DDE4EE"/>
              <w:bottom w:val="single" w:sz="1" w:space="0" w:color="DDE4EE"/>
              <w:right w:val="single" w:sz="1" w:space="0" w:color="DDE4EE"/>
            </w:tcBorders>
            <w:shd w:val="clear" w:color="auto" w:fill="D6E4F0"/>
            <w:tcMar>
              <w:top w:w="80" w:type="dxa"/>
              <w:left w:w="120" w:type="dxa"/>
              <w:bottom w:w="80" w:type="dxa"/>
              <w:right w:w="120" w:type="dxa"/>
            </w:tcMar>
          </w:tcPr>
          <w:p w14:paraId="7EE78FF3" w14:textId="77777777" w:rsidR="00F06132" w:rsidRDefault="00000000">
            <w:r>
              <w:rPr>
                <w:b/>
                <w:bCs/>
                <w:sz w:val="18"/>
                <w:szCs w:val="18"/>
              </w:rPr>
              <w:t>Metadata-Driven DW</w:t>
            </w:r>
          </w:p>
        </w:tc>
        <w:tc>
          <w:tcPr>
            <w:tcW w:w="1160" w:type="dxa"/>
            <w:tcBorders>
              <w:top w:val="single" w:sz="1" w:space="0" w:color="DDE4EE"/>
              <w:left w:val="single" w:sz="1" w:space="0" w:color="DDE4EE"/>
              <w:bottom w:val="single" w:sz="1" w:space="0" w:color="DDE4EE"/>
              <w:right w:val="single" w:sz="1" w:space="0" w:color="DDE4EE"/>
            </w:tcBorders>
            <w:shd w:val="clear" w:color="auto" w:fill="FFEBEE"/>
            <w:tcMar>
              <w:top w:w="80" w:type="dxa"/>
              <w:left w:w="120" w:type="dxa"/>
              <w:bottom w:w="80" w:type="dxa"/>
              <w:right w:w="120" w:type="dxa"/>
            </w:tcMar>
            <w:vAlign w:val="center"/>
          </w:tcPr>
          <w:p w14:paraId="148A5E4F" w14:textId="77777777" w:rsidR="00F06132" w:rsidRDefault="00000000">
            <w:pPr>
              <w:jc w:val="center"/>
            </w:pPr>
            <w:r>
              <w:rPr>
                <w:color w:val="B71C1C"/>
                <w:sz w:val="16"/>
                <w:szCs w:val="16"/>
              </w:rPr>
              <w:t>Not Supported</w:t>
            </w:r>
          </w:p>
        </w:tc>
        <w:tc>
          <w:tcPr>
            <w:tcW w:w="1160" w:type="dxa"/>
            <w:tcBorders>
              <w:top w:val="single" w:sz="1" w:space="0" w:color="DDE4EE"/>
              <w:left w:val="single" w:sz="1" w:space="0" w:color="DDE4EE"/>
              <w:bottom w:val="single" w:sz="1" w:space="0" w:color="DDE4EE"/>
              <w:right w:val="single" w:sz="1" w:space="0" w:color="DDE4EE"/>
            </w:tcBorders>
            <w:shd w:val="clear" w:color="auto" w:fill="FFF3CD"/>
            <w:tcMar>
              <w:top w:w="80" w:type="dxa"/>
              <w:left w:w="120" w:type="dxa"/>
              <w:bottom w:w="80" w:type="dxa"/>
              <w:right w:w="120" w:type="dxa"/>
            </w:tcMar>
            <w:vAlign w:val="center"/>
          </w:tcPr>
          <w:p w14:paraId="1B50A816" w14:textId="77777777" w:rsidR="00F06132" w:rsidRDefault="00000000">
            <w:pPr>
              <w:jc w:val="center"/>
            </w:pPr>
            <w:r>
              <w:rPr>
                <w:color w:val="7B4D00"/>
                <w:sz w:val="16"/>
                <w:szCs w:val="16"/>
              </w:rPr>
              <w:t>Partial</w:t>
            </w:r>
          </w:p>
        </w:tc>
        <w:tc>
          <w:tcPr>
            <w:tcW w:w="1160" w:type="dxa"/>
            <w:tcBorders>
              <w:top w:val="single" w:sz="1" w:space="0" w:color="DDE4EE"/>
              <w:left w:val="single" w:sz="1" w:space="0" w:color="DDE4EE"/>
              <w:bottom w:val="single" w:sz="1" w:space="0" w:color="DDE4EE"/>
              <w:right w:val="single" w:sz="1" w:space="0" w:color="DDE4EE"/>
            </w:tcBorders>
            <w:shd w:val="clear" w:color="auto" w:fill="FFEBEE"/>
            <w:tcMar>
              <w:top w:w="80" w:type="dxa"/>
              <w:left w:w="120" w:type="dxa"/>
              <w:bottom w:w="80" w:type="dxa"/>
              <w:right w:w="120" w:type="dxa"/>
            </w:tcMar>
            <w:vAlign w:val="center"/>
          </w:tcPr>
          <w:p w14:paraId="004D0DFE" w14:textId="77777777" w:rsidR="00F06132" w:rsidRDefault="00000000">
            <w:pPr>
              <w:jc w:val="center"/>
            </w:pPr>
            <w:r>
              <w:rPr>
                <w:color w:val="B71C1C"/>
                <w:sz w:val="16"/>
                <w:szCs w:val="16"/>
              </w:rPr>
              <w:t>Not Supported</w:t>
            </w:r>
          </w:p>
        </w:tc>
        <w:tc>
          <w:tcPr>
            <w:tcW w:w="1160" w:type="dxa"/>
            <w:tcBorders>
              <w:top w:val="single" w:sz="1" w:space="0" w:color="DDE4EE"/>
              <w:left w:val="single" w:sz="1" w:space="0" w:color="DDE4EE"/>
              <w:bottom w:val="single" w:sz="1" w:space="0" w:color="DDE4EE"/>
              <w:right w:val="single" w:sz="1" w:space="0" w:color="DDE4EE"/>
            </w:tcBorders>
            <w:shd w:val="clear" w:color="auto" w:fill="FFF3CD"/>
            <w:tcMar>
              <w:top w:w="80" w:type="dxa"/>
              <w:left w:w="120" w:type="dxa"/>
              <w:bottom w:w="80" w:type="dxa"/>
              <w:right w:w="120" w:type="dxa"/>
            </w:tcMar>
            <w:vAlign w:val="center"/>
          </w:tcPr>
          <w:p w14:paraId="271E6D04" w14:textId="77777777" w:rsidR="00F06132" w:rsidRDefault="00000000">
            <w:pPr>
              <w:jc w:val="center"/>
            </w:pPr>
            <w:r>
              <w:rPr>
                <w:color w:val="7B4D00"/>
                <w:sz w:val="16"/>
                <w:szCs w:val="16"/>
              </w:rPr>
              <w:t>Partial</w:t>
            </w:r>
          </w:p>
        </w:tc>
        <w:tc>
          <w:tcPr>
            <w:tcW w:w="1160" w:type="dxa"/>
            <w:tcBorders>
              <w:top w:val="single" w:sz="1" w:space="0" w:color="DDE4EE"/>
              <w:left w:val="single" w:sz="1" w:space="0" w:color="DDE4EE"/>
              <w:bottom w:val="single" w:sz="1" w:space="0" w:color="DDE4EE"/>
              <w:right w:val="single" w:sz="1" w:space="0" w:color="DDE4EE"/>
            </w:tcBorders>
            <w:shd w:val="clear" w:color="auto" w:fill="FFEBEE"/>
            <w:tcMar>
              <w:top w:w="80" w:type="dxa"/>
              <w:left w:w="120" w:type="dxa"/>
              <w:bottom w:w="80" w:type="dxa"/>
              <w:right w:w="120" w:type="dxa"/>
            </w:tcMar>
            <w:vAlign w:val="center"/>
          </w:tcPr>
          <w:p w14:paraId="5548FE95" w14:textId="77777777" w:rsidR="00F06132" w:rsidRDefault="00000000">
            <w:pPr>
              <w:jc w:val="center"/>
            </w:pPr>
            <w:r>
              <w:rPr>
                <w:color w:val="B71C1C"/>
                <w:sz w:val="16"/>
                <w:szCs w:val="16"/>
              </w:rPr>
              <w:t>Not Supported</w:t>
            </w:r>
          </w:p>
        </w:tc>
        <w:tc>
          <w:tcPr>
            <w:tcW w:w="1360" w:type="dxa"/>
            <w:tcBorders>
              <w:top w:val="single" w:sz="1" w:space="0" w:color="DDE4EE"/>
              <w:left w:val="single" w:sz="1" w:space="0" w:color="DDE4EE"/>
              <w:bottom w:val="single" w:sz="1" w:space="0" w:color="DDE4EE"/>
              <w:right w:val="single" w:sz="1" w:space="0" w:color="DDE4EE"/>
            </w:tcBorders>
            <w:shd w:val="clear" w:color="auto" w:fill="D6E4F0"/>
            <w:tcMar>
              <w:top w:w="80" w:type="dxa"/>
              <w:left w:w="120" w:type="dxa"/>
              <w:bottom w:w="80" w:type="dxa"/>
              <w:right w:w="120" w:type="dxa"/>
            </w:tcMar>
            <w:vAlign w:val="center"/>
          </w:tcPr>
          <w:p w14:paraId="6C5B70F8" w14:textId="77777777" w:rsidR="00F06132" w:rsidRDefault="00000000">
            <w:pPr>
              <w:jc w:val="center"/>
            </w:pPr>
            <w:r>
              <w:rPr>
                <w:b/>
                <w:bCs/>
                <w:color w:val="1F4E79"/>
                <w:sz w:val="16"/>
                <w:szCs w:val="16"/>
              </w:rPr>
              <w:t>Full (Planned)</w:t>
            </w:r>
          </w:p>
        </w:tc>
      </w:tr>
      <w:tr w:rsidR="00F06132" w14:paraId="512E325E" w14:textId="77777777">
        <w:tblPrEx>
          <w:tblCellMar>
            <w:top w:w="0" w:type="dxa"/>
            <w:bottom w:w="0" w:type="dxa"/>
          </w:tblCellMar>
        </w:tblPrEx>
        <w:tc>
          <w:tcPr>
            <w:tcW w:w="400" w:type="dxa"/>
            <w:tcBorders>
              <w:top w:val="single" w:sz="1" w:space="0" w:color="DDE4EE"/>
              <w:left w:val="single" w:sz="1" w:space="0" w:color="DDE4EE"/>
              <w:bottom w:val="single" w:sz="1" w:space="0" w:color="DDE4EE"/>
              <w:right w:val="single" w:sz="1" w:space="0" w:color="DDE4EE"/>
            </w:tcBorders>
            <w:shd w:val="clear" w:color="auto" w:fill="FFFFFF"/>
            <w:tcMar>
              <w:top w:w="80" w:type="dxa"/>
              <w:left w:w="120" w:type="dxa"/>
              <w:bottom w:w="80" w:type="dxa"/>
              <w:right w:w="120" w:type="dxa"/>
            </w:tcMar>
            <w:vAlign w:val="center"/>
          </w:tcPr>
          <w:p w14:paraId="1148271E" w14:textId="77777777" w:rsidR="00F06132" w:rsidRDefault="00000000">
            <w:pPr>
              <w:jc w:val="center"/>
            </w:pPr>
            <w:r>
              <w:rPr>
                <w:b/>
                <w:bCs/>
                <w:color w:val="1F4E79"/>
                <w:sz w:val="18"/>
                <w:szCs w:val="18"/>
              </w:rPr>
              <w:t>D5</w:t>
            </w:r>
          </w:p>
        </w:tc>
        <w:tc>
          <w:tcPr>
            <w:tcW w:w="1800" w:type="dxa"/>
            <w:tcBorders>
              <w:top w:val="single" w:sz="1" w:space="0" w:color="DDE4EE"/>
              <w:left w:val="single" w:sz="1" w:space="0" w:color="DDE4EE"/>
              <w:bottom w:val="single" w:sz="1" w:space="0" w:color="DDE4EE"/>
              <w:right w:val="single" w:sz="1" w:space="0" w:color="DDE4EE"/>
            </w:tcBorders>
            <w:shd w:val="clear" w:color="auto" w:fill="FFFFFF"/>
            <w:tcMar>
              <w:top w:w="80" w:type="dxa"/>
              <w:left w:w="120" w:type="dxa"/>
              <w:bottom w:w="80" w:type="dxa"/>
              <w:right w:w="120" w:type="dxa"/>
            </w:tcMar>
          </w:tcPr>
          <w:p w14:paraId="18117714" w14:textId="77777777" w:rsidR="00F06132" w:rsidRDefault="00000000">
            <w:r>
              <w:rPr>
                <w:b/>
                <w:bCs/>
                <w:sz w:val="18"/>
                <w:szCs w:val="18"/>
              </w:rPr>
              <w:t>Data Quality &amp; Lineage</w:t>
            </w:r>
          </w:p>
        </w:tc>
        <w:tc>
          <w:tcPr>
            <w:tcW w:w="1160" w:type="dxa"/>
            <w:tcBorders>
              <w:top w:val="single" w:sz="1" w:space="0" w:color="DDE4EE"/>
              <w:left w:val="single" w:sz="1" w:space="0" w:color="DDE4EE"/>
              <w:bottom w:val="single" w:sz="1" w:space="0" w:color="DDE4EE"/>
              <w:right w:val="single" w:sz="1" w:space="0" w:color="DDE4EE"/>
            </w:tcBorders>
            <w:shd w:val="clear" w:color="auto" w:fill="FFF3CD"/>
            <w:tcMar>
              <w:top w:w="80" w:type="dxa"/>
              <w:left w:w="120" w:type="dxa"/>
              <w:bottom w:w="80" w:type="dxa"/>
              <w:right w:w="120" w:type="dxa"/>
            </w:tcMar>
            <w:vAlign w:val="center"/>
          </w:tcPr>
          <w:p w14:paraId="7111F12F" w14:textId="77777777" w:rsidR="00F06132" w:rsidRDefault="00000000">
            <w:pPr>
              <w:jc w:val="center"/>
            </w:pPr>
            <w:r>
              <w:rPr>
                <w:color w:val="7B4D00"/>
                <w:sz w:val="16"/>
                <w:szCs w:val="16"/>
              </w:rPr>
              <w:t>Partial</w:t>
            </w:r>
          </w:p>
        </w:tc>
        <w:tc>
          <w:tcPr>
            <w:tcW w:w="1160" w:type="dxa"/>
            <w:tcBorders>
              <w:top w:val="single" w:sz="1" w:space="0" w:color="DDE4EE"/>
              <w:left w:val="single" w:sz="1" w:space="0" w:color="DDE4EE"/>
              <w:bottom w:val="single" w:sz="1" w:space="0" w:color="DDE4EE"/>
              <w:right w:val="single" w:sz="1" w:space="0" w:color="DDE4EE"/>
            </w:tcBorders>
            <w:shd w:val="clear" w:color="auto" w:fill="E8F5E9"/>
            <w:tcMar>
              <w:top w:w="80" w:type="dxa"/>
              <w:left w:w="120" w:type="dxa"/>
              <w:bottom w:w="80" w:type="dxa"/>
              <w:right w:w="120" w:type="dxa"/>
            </w:tcMar>
            <w:vAlign w:val="center"/>
          </w:tcPr>
          <w:p w14:paraId="585E9DBF" w14:textId="77777777" w:rsidR="00F06132" w:rsidRDefault="00000000">
            <w:pPr>
              <w:jc w:val="center"/>
            </w:pPr>
            <w:r>
              <w:rPr>
                <w:color w:val="1B5E20"/>
                <w:sz w:val="16"/>
                <w:szCs w:val="16"/>
              </w:rPr>
              <w:t>Full</w:t>
            </w:r>
          </w:p>
        </w:tc>
        <w:tc>
          <w:tcPr>
            <w:tcW w:w="1160" w:type="dxa"/>
            <w:tcBorders>
              <w:top w:val="single" w:sz="1" w:space="0" w:color="DDE4EE"/>
              <w:left w:val="single" w:sz="1" w:space="0" w:color="DDE4EE"/>
              <w:bottom w:val="single" w:sz="1" w:space="0" w:color="DDE4EE"/>
              <w:right w:val="single" w:sz="1" w:space="0" w:color="DDE4EE"/>
            </w:tcBorders>
            <w:shd w:val="clear" w:color="auto" w:fill="FFF3CD"/>
            <w:tcMar>
              <w:top w:w="80" w:type="dxa"/>
              <w:left w:w="120" w:type="dxa"/>
              <w:bottom w:w="80" w:type="dxa"/>
              <w:right w:w="120" w:type="dxa"/>
            </w:tcMar>
            <w:vAlign w:val="center"/>
          </w:tcPr>
          <w:p w14:paraId="40D68406" w14:textId="77777777" w:rsidR="00F06132" w:rsidRDefault="00000000">
            <w:pPr>
              <w:jc w:val="center"/>
            </w:pPr>
            <w:r>
              <w:rPr>
                <w:color w:val="7B4D00"/>
                <w:sz w:val="16"/>
                <w:szCs w:val="16"/>
              </w:rPr>
              <w:t>Partial</w:t>
            </w:r>
          </w:p>
        </w:tc>
        <w:tc>
          <w:tcPr>
            <w:tcW w:w="1160" w:type="dxa"/>
            <w:tcBorders>
              <w:top w:val="single" w:sz="1" w:space="0" w:color="DDE4EE"/>
              <w:left w:val="single" w:sz="1" w:space="0" w:color="DDE4EE"/>
              <w:bottom w:val="single" w:sz="1" w:space="0" w:color="DDE4EE"/>
              <w:right w:val="single" w:sz="1" w:space="0" w:color="DDE4EE"/>
            </w:tcBorders>
            <w:shd w:val="clear" w:color="auto" w:fill="FFF3CD"/>
            <w:tcMar>
              <w:top w:w="80" w:type="dxa"/>
              <w:left w:w="120" w:type="dxa"/>
              <w:bottom w:w="80" w:type="dxa"/>
              <w:right w:w="120" w:type="dxa"/>
            </w:tcMar>
            <w:vAlign w:val="center"/>
          </w:tcPr>
          <w:p w14:paraId="0093B9A4" w14:textId="77777777" w:rsidR="00F06132" w:rsidRDefault="00000000">
            <w:pPr>
              <w:jc w:val="center"/>
            </w:pPr>
            <w:r>
              <w:rPr>
                <w:color w:val="7B4D00"/>
                <w:sz w:val="16"/>
                <w:szCs w:val="16"/>
              </w:rPr>
              <w:t>Partial</w:t>
            </w:r>
          </w:p>
        </w:tc>
        <w:tc>
          <w:tcPr>
            <w:tcW w:w="1160" w:type="dxa"/>
            <w:tcBorders>
              <w:top w:val="single" w:sz="1" w:space="0" w:color="DDE4EE"/>
              <w:left w:val="single" w:sz="1" w:space="0" w:color="DDE4EE"/>
              <w:bottom w:val="single" w:sz="1" w:space="0" w:color="DDE4EE"/>
              <w:right w:val="single" w:sz="1" w:space="0" w:color="DDE4EE"/>
            </w:tcBorders>
            <w:shd w:val="clear" w:color="auto" w:fill="FFF3CD"/>
            <w:tcMar>
              <w:top w:w="80" w:type="dxa"/>
              <w:left w:w="120" w:type="dxa"/>
              <w:bottom w:w="80" w:type="dxa"/>
              <w:right w:w="120" w:type="dxa"/>
            </w:tcMar>
            <w:vAlign w:val="center"/>
          </w:tcPr>
          <w:p w14:paraId="3E458BCA" w14:textId="77777777" w:rsidR="00F06132" w:rsidRDefault="00000000">
            <w:pPr>
              <w:jc w:val="center"/>
            </w:pPr>
            <w:r>
              <w:rPr>
                <w:color w:val="7B4D00"/>
                <w:sz w:val="16"/>
                <w:szCs w:val="16"/>
              </w:rPr>
              <w:t>Partial</w:t>
            </w:r>
          </w:p>
        </w:tc>
        <w:tc>
          <w:tcPr>
            <w:tcW w:w="1360" w:type="dxa"/>
            <w:tcBorders>
              <w:top w:val="single" w:sz="1" w:space="0" w:color="DDE4EE"/>
              <w:left w:val="single" w:sz="1" w:space="0" w:color="DDE4EE"/>
              <w:bottom w:val="single" w:sz="1" w:space="0" w:color="DDE4EE"/>
              <w:right w:val="single" w:sz="1" w:space="0" w:color="DDE4EE"/>
            </w:tcBorders>
            <w:shd w:val="clear" w:color="auto" w:fill="D6E4F0"/>
            <w:tcMar>
              <w:top w:w="80" w:type="dxa"/>
              <w:left w:w="120" w:type="dxa"/>
              <w:bottom w:w="80" w:type="dxa"/>
              <w:right w:w="120" w:type="dxa"/>
            </w:tcMar>
            <w:vAlign w:val="center"/>
          </w:tcPr>
          <w:p w14:paraId="0D109B9B" w14:textId="77777777" w:rsidR="00F06132" w:rsidRDefault="00000000">
            <w:pPr>
              <w:jc w:val="center"/>
            </w:pPr>
            <w:r>
              <w:rPr>
                <w:b/>
                <w:bCs/>
                <w:color w:val="1F4E79"/>
                <w:sz w:val="16"/>
                <w:szCs w:val="16"/>
              </w:rPr>
              <w:t>Full (Planned)</w:t>
            </w:r>
          </w:p>
        </w:tc>
      </w:tr>
      <w:tr w:rsidR="00F06132" w14:paraId="37FDD50C" w14:textId="77777777">
        <w:tblPrEx>
          <w:tblCellMar>
            <w:top w:w="0" w:type="dxa"/>
            <w:bottom w:w="0" w:type="dxa"/>
          </w:tblCellMar>
        </w:tblPrEx>
        <w:tc>
          <w:tcPr>
            <w:tcW w:w="400" w:type="dxa"/>
            <w:tcBorders>
              <w:top w:val="single" w:sz="1" w:space="0" w:color="DDE4EE"/>
              <w:left w:val="single" w:sz="1" w:space="0" w:color="DDE4EE"/>
              <w:bottom w:val="single" w:sz="1" w:space="0" w:color="DDE4EE"/>
              <w:right w:val="single" w:sz="1" w:space="0" w:color="DDE4EE"/>
            </w:tcBorders>
            <w:shd w:val="clear" w:color="auto" w:fill="D6E4F0"/>
            <w:tcMar>
              <w:top w:w="80" w:type="dxa"/>
              <w:left w:w="120" w:type="dxa"/>
              <w:bottom w:w="80" w:type="dxa"/>
              <w:right w:w="120" w:type="dxa"/>
            </w:tcMar>
            <w:vAlign w:val="center"/>
          </w:tcPr>
          <w:p w14:paraId="744F2EAA" w14:textId="77777777" w:rsidR="00F06132" w:rsidRDefault="00000000">
            <w:pPr>
              <w:jc w:val="center"/>
            </w:pPr>
            <w:r>
              <w:rPr>
                <w:b/>
                <w:bCs/>
                <w:color w:val="1F4E79"/>
                <w:sz w:val="18"/>
                <w:szCs w:val="18"/>
              </w:rPr>
              <w:t>D6</w:t>
            </w:r>
          </w:p>
        </w:tc>
        <w:tc>
          <w:tcPr>
            <w:tcW w:w="1800" w:type="dxa"/>
            <w:tcBorders>
              <w:top w:val="single" w:sz="1" w:space="0" w:color="DDE4EE"/>
              <w:left w:val="single" w:sz="1" w:space="0" w:color="DDE4EE"/>
              <w:bottom w:val="single" w:sz="1" w:space="0" w:color="DDE4EE"/>
              <w:right w:val="single" w:sz="1" w:space="0" w:color="DDE4EE"/>
            </w:tcBorders>
            <w:shd w:val="clear" w:color="auto" w:fill="D6E4F0"/>
            <w:tcMar>
              <w:top w:w="80" w:type="dxa"/>
              <w:left w:w="120" w:type="dxa"/>
              <w:bottom w:w="80" w:type="dxa"/>
              <w:right w:w="120" w:type="dxa"/>
            </w:tcMar>
          </w:tcPr>
          <w:p w14:paraId="1CBE2CE4" w14:textId="77777777" w:rsidR="00F06132" w:rsidRDefault="00000000">
            <w:r>
              <w:rPr>
                <w:b/>
                <w:bCs/>
                <w:sz w:val="18"/>
                <w:szCs w:val="18"/>
              </w:rPr>
              <w:t>KVKK / GDPR Compliance</w:t>
            </w:r>
          </w:p>
        </w:tc>
        <w:tc>
          <w:tcPr>
            <w:tcW w:w="1160" w:type="dxa"/>
            <w:tcBorders>
              <w:top w:val="single" w:sz="1" w:space="0" w:color="DDE4EE"/>
              <w:left w:val="single" w:sz="1" w:space="0" w:color="DDE4EE"/>
              <w:bottom w:val="single" w:sz="1" w:space="0" w:color="DDE4EE"/>
              <w:right w:val="single" w:sz="1" w:space="0" w:color="DDE4EE"/>
            </w:tcBorders>
            <w:shd w:val="clear" w:color="auto" w:fill="FFF3CD"/>
            <w:tcMar>
              <w:top w:w="80" w:type="dxa"/>
              <w:left w:w="120" w:type="dxa"/>
              <w:bottom w:w="80" w:type="dxa"/>
              <w:right w:w="120" w:type="dxa"/>
            </w:tcMar>
            <w:vAlign w:val="center"/>
          </w:tcPr>
          <w:p w14:paraId="46CCE77E" w14:textId="77777777" w:rsidR="00F06132" w:rsidRDefault="00000000">
            <w:pPr>
              <w:jc w:val="center"/>
            </w:pPr>
            <w:r>
              <w:rPr>
                <w:color w:val="7B4D00"/>
                <w:sz w:val="16"/>
                <w:szCs w:val="16"/>
              </w:rPr>
              <w:t>Partial</w:t>
            </w:r>
          </w:p>
        </w:tc>
        <w:tc>
          <w:tcPr>
            <w:tcW w:w="1160" w:type="dxa"/>
            <w:tcBorders>
              <w:top w:val="single" w:sz="1" w:space="0" w:color="DDE4EE"/>
              <w:left w:val="single" w:sz="1" w:space="0" w:color="DDE4EE"/>
              <w:bottom w:val="single" w:sz="1" w:space="0" w:color="DDE4EE"/>
              <w:right w:val="single" w:sz="1" w:space="0" w:color="DDE4EE"/>
            </w:tcBorders>
            <w:shd w:val="clear" w:color="auto" w:fill="E8F5E9"/>
            <w:tcMar>
              <w:top w:w="80" w:type="dxa"/>
              <w:left w:w="120" w:type="dxa"/>
              <w:bottom w:w="80" w:type="dxa"/>
              <w:right w:w="120" w:type="dxa"/>
            </w:tcMar>
            <w:vAlign w:val="center"/>
          </w:tcPr>
          <w:p w14:paraId="3DD99D3F" w14:textId="77777777" w:rsidR="00F06132" w:rsidRDefault="00000000">
            <w:pPr>
              <w:jc w:val="center"/>
            </w:pPr>
            <w:r>
              <w:rPr>
                <w:color w:val="1B5E20"/>
                <w:sz w:val="16"/>
                <w:szCs w:val="16"/>
              </w:rPr>
              <w:t>Full</w:t>
            </w:r>
          </w:p>
        </w:tc>
        <w:tc>
          <w:tcPr>
            <w:tcW w:w="1160" w:type="dxa"/>
            <w:tcBorders>
              <w:top w:val="single" w:sz="1" w:space="0" w:color="DDE4EE"/>
              <w:left w:val="single" w:sz="1" w:space="0" w:color="DDE4EE"/>
              <w:bottom w:val="single" w:sz="1" w:space="0" w:color="DDE4EE"/>
              <w:right w:val="single" w:sz="1" w:space="0" w:color="DDE4EE"/>
            </w:tcBorders>
            <w:shd w:val="clear" w:color="auto" w:fill="FFEBEE"/>
            <w:tcMar>
              <w:top w:w="80" w:type="dxa"/>
              <w:left w:w="120" w:type="dxa"/>
              <w:bottom w:w="80" w:type="dxa"/>
              <w:right w:w="120" w:type="dxa"/>
            </w:tcMar>
            <w:vAlign w:val="center"/>
          </w:tcPr>
          <w:p w14:paraId="607256DF" w14:textId="77777777" w:rsidR="00F06132" w:rsidRDefault="00000000">
            <w:pPr>
              <w:jc w:val="center"/>
            </w:pPr>
            <w:r>
              <w:rPr>
                <w:color w:val="B71C1C"/>
                <w:sz w:val="16"/>
                <w:szCs w:val="16"/>
              </w:rPr>
              <w:t>Not Supported</w:t>
            </w:r>
          </w:p>
        </w:tc>
        <w:tc>
          <w:tcPr>
            <w:tcW w:w="1160" w:type="dxa"/>
            <w:tcBorders>
              <w:top w:val="single" w:sz="1" w:space="0" w:color="DDE4EE"/>
              <w:left w:val="single" w:sz="1" w:space="0" w:color="DDE4EE"/>
              <w:bottom w:val="single" w:sz="1" w:space="0" w:color="DDE4EE"/>
              <w:right w:val="single" w:sz="1" w:space="0" w:color="DDE4EE"/>
            </w:tcBorders>
            <w:shd w:val="clear" w:color="auto" w:fill="FFEBEE"/>
            <w:tcMar>
              <w:top w:w="80" w:type="dxa"/>
              <w:left w:w="120" w:type="dxa"/>
              <w:bottom w:w="80" w:type="dxa"/>
              <w:right w:w="120" w:type="dxa"/>
            </w:tcMar>
            <w:vAlign w:val="center"/>
          </w:tcPr>
          <w:p w14:paraId="1D7B92D0" w14:textId="77777777" w:rsidR="00F06132" w:rsidRDefault="00000000">
            <w:pPr>
              <w:jc w:val="center"/>
            </w:pPr>
            <w:r>
              <w:rPr>
                <w:color w:val="B71C1C"/>
                <w:sz w:val="16"/>
                <w:szCs w:val="16"/>
              </w:rPr>
              <w:t>Not Supported</w:t>
            </w:r>
          </w:p>
        </w:tc>
        <w:tc>
          <w:tcPr>
            <w:tcW w:w="1160" w:type="dxa"/>
            <w:tcBorders>
              <w:top w:val="single" w:sz="1" w:space="0" w:color="DDE4EE"/>
              <w:left w:val="single" w:sz="1" w:space="0" w:color="DDE4EE"/>
              <w:bottom w:val="single" w:sz="1" w:space="0" w:color="DDE4EE"/>
              <w:right w:val="single" w:sz="1" w:space="0" w:color="DDE4EE"/>
            </w:tcBorders>
            <w:shd w:val="clear" w:color="auto" w:fill="FFF3CD"/>
            <w:tcMar>
              <w:top w:w="80" w:type="dxa"/>
              <w:left w:w="120" w:type="dxa"/>
              <w:bottom w:w="80" w:type="dxa"/>
              <w:right w:w="120" w:type="dxa"/>
            </w:tcMar>
            <w:vAlign w:val="center"/>
          </w:tcPr>
          <w:p w14:paraId="28BBFB53" w14:textId="77777777" w:rsidR="00F06132" w:rsidRDefault="00000000">
            <w:pPr>
              <w:jc w:val="center"/>
            </w:pPr>
            <w:r>
              <w:rPr>
                <w:color w:val="7B4D00"/>
                <w:sz w:val="16"/>
                <w:szCs w:val="16"/>
              </w:rPr>
              <w:t>Partial</w:t>
            </w:r>
          </w:p>
        </w:tc>
        <w:tc>
          <w:tcPr>
            <w:tcW w:w="1360" w:type="dxa"/>
            <w:tcBorders>
              <w:top w:val="single" w:sz="1" w:space="0" w:color="DDE4EE"/>
              <w:left w:val="single" w:sz="1" w:space="0" w:color="DDE4EE"/>
              <w:bottom w:val="single" w:sz="1" w:space="0" w:color="DDE4EE"/>
              <w:right w:val="single" w:sz="1" w:space="0" w:color="DDE4EE"/>
            </w:tcBorders>
            <w:shd w:val="clear" w:color="auto" w:fill="D6E4F0"/>
            <w:tcMar>
              <w:top w:w="80" w:type="dxa"/>
              <w:left w:w="120" w:type="dxa"/>
              <w:bottom w:w="80" w:type="dxa"/>
              <w:right w:w="120" w:type="dxa"/>
            </w:tcMar>
            <w:vAlign w:val="center"/>
          </w:tcPr>
          <w:p w14:paraId="4EA556C0" w14:textId="77777777" w:rsidR="00F06132" w:rsidRDefault="00000000">
            <w:pPr>
              <w:jc w:val="center"/>
            </w:pPr>
            <w:r>
              <w:rPr>
                <w:b/>
                <w:bCs/>
                <w:color w:val="1F4E79"/>
                <w:sz w:val="16"/>
                <w:szCs w:val="16"/>
              </w:rPr>
              <w:t>Full (Planned)</w:t>
            </w:r>
          </w:p>
        </w:tc>
      </w:tr>
      <w:tr w:rsidR="00F06132" w14:paraId="13054F76" w14:textId="77777777">
        <w:tblPrEx>
          <w:tblCellMar>
            <w:top w:w="0" w:type="dxa"/>
            <w:bottom w:w="0" w:type="dxa"/>
          </w:tblCellMar>
        </w:tblPrEx>
        <w:tc>
          <w:tcPr>
            <w:tcW w:w="400" w:type="dxa"/>
            <w:tcBorders>
              <w:top w:val="single" w:sz="1" w:space="0" w:color="DDE4EE"/>
              <w:left w:val="single" w:sz="1" w:space="0" w:color="DDE4EE"/>
              <w:bottom w:val="single" w:sz="1" w:space="0" w:color="DDE4EE"/>
              <w:right w:val="single" w:sz="1" w:space="0" w:color="DDE4EE"/>
            </w:tcBorders>
            <w:shd w:val="clear" w:color="auto" w:fill="FFFFFF"/>
            <w:tcMar>
              <w:top w:w="80" w:type="dxa"/>
              <w:left w:w="120" w:type="dxa"/>
              <w:bottom w:w="80" w:type="dxa"/>
              <w:right w:w="120" w:type="dxa"/>
            </w:tcMar>
            <w:vAlign w:val="center"/>
          </w:tcPr>
          <w:p w14:paraId="1FE30A46" w14:textId="77777777" w:rsidR="00F06132" w:rsidRDefault="00000000">
            <w:pPr>
              <w:jc w:val="center"/>
            </w:pPr>
            <w:r>
              <w:rPr>
                <w:b/>
                <w:bCs/>
                <w:color w:val="1F4E79"/>
                <w:sz w:val="18"/>
                <w:szCs w:val="18"/>
              </w:rPr>
              <w:t>D7</w:t>
            </w:r>
          </w:p>
        </w:tc>
        <w:tc>
          <w:tcPr>
            <w:tcW w:w="1800" w:type="dxa"/>
            <w:tcBorders>
              <w:top w:val="single" w:sz="1" w:space="0" w:color="DDE4EE"/>
              <w:left w:val="single" w:sz="1" w:space="0" w:color="DDE4EE"/>
              <w:bottom w:val="single" w:sz="1" w:space="0" w:color="DDE4EE"/>
              <w:right w:val="single" w:sz="1" w:space="0" w:color="DDE4EE"/>
            </w:tcBorders>
            <w:shd w:val="clear" w:color="auto" w:fill="FFFFFF"/>
            <w:tcMar>
              <w:top w:w="80" w:type="dxa"/>
              <w:left w:w="120" w:type="dxa"/>
              <w:bottom w:w="80" w:type="dxa"/>
              <w:right w:w="120" w:type="dxa"/>
            </w:tcMar>
          </w:tcPr>
          <w:p w14:paraId="640DDBE5" w14:textId="77777777" w:rsidR="00F06132" w:rsidRDefault="00000000">
            <w:r>
              <w:rPr>
                <w:b/>
                <w:bCs/>
                <w:sz w:val="18"/>
                <w:szCs w:val="18"/>
              </w:rPr>
              <w:t>Open-Source / No Vendor Lock</w:t>
            </w:r>
          </w:p>
        </w:tc>
        <w:tc>
          <w:tcPr>
            <w:tcW w:w="1160" w:type="dxa"/>
            <w:tcBorders>
              <w:top w:val="single" w:sz="1" w:space="0" w:color="DDE4EE"/>
              <w:left w:val="single" w:sz="1" w:space="0" w:color="DDE4EE"/>
              <w:bottom w:val="single" w:sz="1" w:space="0" w:color="DDE4EE"/>
              <w:right w:val="single" w:sz="1" w:space="0" w:color="DDE4EE"/>
            </w:tcBorders>
            <w:shd w:val="clear" w:color="auto" w:fill="FFEBEE"/>
            <w:tcMar>
              <w:top w:w="80" w:type="dxa"/>
              <w:left w:w="120" w:type="dxa"/>
              <w:bottom w:w="80" w:type="dxa"/>
              <w:right w:w="120" w:type="dxa"/>
            </w:tcMar>
            <w:vAlign w:val="center"/>
          </w:tcPr>
          <w:p w14:paraId="02B9D070" w14:textId="77777777" w:rsidR="00F06132" w:rsidRDefault="00000000">
            <w:pPr>
              <w:jc w:val="center"/>
            </w:pPr>
            <w:r>
              <w:rPr>
                <w:color w:val="B71C1C"/>
                <w:sz w:val="16"/>
                <w:szCs w:val="16"/>
              </w:rPr>
              <w:t>Not Supported</w:t>
            </w:r>
          </w:p>
        </w:tc>
        <w:tc>
          <w:tcPr>
            <w:tcW w:w="1160" w:type="dxa"/>
            <w:tcBorders>
              <w:top w:val="single" w:sz="1" w:space="0" w:color="DDE4EE"/>
              <w:left w:val="single" w:sz="1" w:space="0" w:color="DDE4EE"/>
              <w:bottom w:val="single" w:sz="1" w:space="0" w:color="DDE4EE"/>
              <w:right w:val="single" w:sz="1" w:space="0" w:color="DDE4EE"/>
            </w:tcBorders>
            <w:shd w:val="clear" w:color="auto" w:fill="FFEBEE"/>
            <w:tcMar>
              <w:top w:w="80" w:type="dxa"/>
              <w:left w:w="120" w:type="dxa"/>
              <w:bottom w:w="80" w:type="dxa"/>
              <w:right w:w="120" w:type="dxa"/>
            </w:tcMar>
            <w:vAlign w:val="center"/>
          </w:tcPr>
          <w:p w14:paraId="2D7E0FE9" w14:textId="77777777" w:rsidR="00F06132" w:rsidRDefault="00000000">
            <w:pPr>
              <w:jc w:val="center"/>
            </w:pPr>
            <w:r>
              <w:rPr>
                <w:color w:val="B71C1C"/>
                <w:sz w:val="16"/>
                <w:szCs w:val="16"/>
              </w:rPr>
              <w:t>Not Supported</w:t>
            </w:r>
          </w:p>
        </w:tc>
        <w:tc>
          <w:tcPr>
            <w:tcW w:w="1160" w:type="dxa"/>
            <w:tcBorders>
              <w:top w:val="single" w:sz="1" w:space="0" w:color="DDE4EE"/>
              <w:left w:val="single" w:sz="1" w:space="0" w:color="DDE4EE"/>
              <w:bottom w:val="single" w:sz="1" w:space="0" w:color="DDE4EE"/>
              <w:right w:val="single" w:sz="1" w:space="0" w:color="DDE4EE"/>
            </w:tcBorders>
            <w:shd w:val="clear" w:color="auto" w:fill="E8F5E9"/>
            <w:tcMar>
              <w:top w:w="80" w:type="dxa"/>
              <w:left w:w="120" w:type="dxa"/>
              <w:bottom w:w="80" w:type="dxa"/>
              <w:right w:w="120" w:type="dxa"/>
            </w:tcMar>
            <w:vAlign w:val="center"/>
          </w:tcPr>
          <w:p w14:paraId="58353277" w14:textId="77777777" w:rsidR="00F06132" w:rsidRDefault="00000000">
            <w:pPr>
              <w:jc w:val="center"/>
            </w:pPr>
            <w:r>
              <w:rPr>
                <w:color w:val="1B5E20"/>
                <w:sz w:val="16"/>
                <w:szCs w:val="16"/>
              </w:rPr>
              <w:t>Full</w:t>
            </w:r>
          </w:p>
        </w:tc>
        <w:tc>
          <w:tcPr>
            <w:tcW w:w="1160" w:type="dxa"/>
            <w:tcBorders>
              <w:top w:val="single" w:sz="1" w:space="0" w:color="DDE4EE"/>
              <w:left w:val="single" w:sz="1" w:space="0" w:color="DDE4EE"/>
              <w:bottom w:val="single" w:sz="1" w:space="0" w:color="DDE4EE"/>
              <w:right w:val="single" w:sz="1" w:space="0" w:color="DDE4EE"/>
            </w:tcBorders>
            <w:shd w:val="clear" w:color="auto" w:fill="E8F5E9"/>
            <w:tcMar>
              <w:top w:w="80" w:type="dxa"/>
              <w:left w:w="120" w:type="dxa"/>
              <w:bottom w:w="80" w:type="dxa"/>
              <w:right w:w="120" w:type="dxa"/>
            </w:tcMar>
            <w:vAlign w:val="center"/>
          </w:tcPr>
          <w:p w14:paraId="0BDDE164" w14:textId="77777777" w:rsidR="00F06132" w:rsidRDefault="00000000">
            <w:pPr>
              <w:jc w:val="center"/>
            </w:pPr>
            <w:r>
              <w:rPr>
                <w:color w:val="1B5E20"/>
                <w:sz w:val="16"/>
                <w:szCs w:val="16"/>
              </w:rPr>
              <w:t>Full</w:t>
            </w:r>
          </w:p>
        </w:tc>
        <w:tc>
          <w:tcPr>
            <w:tcW w:w="1160" w:type="dxa"/>
            <w:tcBorders>
              <w:top w:val="single" w:sz="1" w:space="0" w:color="DDE4EE"/>
              <w:left w:val="single" w:sz="1" w:space="0" w:color="DDE4EE"/>
              <w:bottom w:val="single" w:sz="1" w:space="0" w:color="DDE4EE"/>
              <w:right w:val="single" w:sz="1" w:space="0" w:color="DDE4EE"/>
            </w:tcBorders>
            <w:shd w:val="clear" w:color="auto" w:fill="FFEBEE"/>
            <w:tcMar>
              <w:top w:w="80" w:type="dxa"/>
              <w:left w:w="120" w:type="dxa"/>
              <w:bottom w:w="80" w:type="dxa"/>
              <w:right w:w="120" w:type="dxa"/>
            </w:tcMar>
            <w:vAlign w:val="center"/>
          </w:tcPr>
          <w:p w14:paraId="5A1C6ADB" w14:textId="77777777" w:rsidR="00F06132" w:rsidRDefault="00000000">
            <w:pPr>
              <w:jc w:val="center"/>
            </w:pPr>
            <w:r>
              <w:rPr>
                <w:color w:val="B71C1C"/>
                <w:sz w:val="16"/>
                <w:szCs w:val="16"/>
              </w:rPr>
              <w:t>Not Supported</w:t>
            </w:r>
          </w:p>
        </w:tc>
        <w:tc>
          <w:tcPr>
            <w:tcW w:w="1360" w:type="dxa"/>
            <w:tcBorders>
              <w:top w:val="single" w:sz="1" w:space="0" w:color="DDE4EE"/>
              <w:left w:val="single" w:sz="1" w:space="0" w:color="DDE4EE"/>
              <w:bottom w:val="single" w:sz="1" w:space="0" w:color="DDE4EE"/>
              <w:right w:val="single" w:sz="1" w:space="0" w:color="DDE4EE"/>
            </w:tcBorders>
            <w:shd w:val="clear" w:color="auto" w:fill="D6E4F0"/>
            <w:tcMar>
              <w:top w:w="80" w:type="dxa"/>
              <w:left w:w="120" w:type="dxa"/>
              <w:bottom w:w="80" w:type="dxa"/>
              <w:right w:w="120" w:type="dxa"/>
            </w:tcMar>
            <w:vAlign w:val="center"/>
          </w:tcPr>
          <w:p w14:paraId="0F3C2FE0" w14:textId="77777777" w:rsidR="00F06132" w:rsidRDefault="00000000">
            <w:pPr>
              <w:jc w:val="center"/>
            </w:pPr>
            <w:r>
              <w:rPr>
                <w:b/>
                <w:bCs/>
                <w:color w:val="1F4E79"/>
                <w:sz w:val="16"/>
                <w:szCs w:val="16"/>
              </w:rPr>
              <w:t>Full (Planned)</w:t>
            </w:r>
          </w:p>
        </w:tc>
      </w:tr>
    </w:tbl>
    <w:p w14:paraId="4DC6265A" w14:textId="77777777" w:rsidR="00F06132" w:rsidRDefault="00F06132">
      <w:pPr>
        <w:spacing w:after="80"/>
      </w:pPr>
    </w:p>
    <w:p w14:paraId="45BA2549" w14:textId="77777777" w:rsidR="00F06132" w:rsidRDefault="00000000">
      <w:pPr>
        <w:spacing w:before="80" w:after="60"/>
      </w:pPr>
      <w:r>
        <w:rPr>
          <w:b/>
          <w:bCs/>
          <w:color w:val="1F4E79"/>
        </w:rPr>
        <w:t>Rating Key: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7560"/>
      </w:tblGrid>
      <w:tr w:rsidR="00F06132" w14:paraId="49411C4E" w14:textId="77777777">
        <w:tblPrEx>
          <w:tblCellMar>
            <w:top w:w="0" w:type="dxa"/>
            <w:bottom w:w="0" w:type="dxa"/>
          </w:tblCellMar>
        </w:tblPrEx>
        <w:tc>
          <w:tcPr>
            <w:tcW w:w="1800" w:type="dxa"/>
            <w:tcBorders>
              <w:top w:val="single" w:sz="1" w:space="0" w:color="DDE4EE"/>
              <w:left w:val="single" w:sz="1" w:space="0" w:color="DDE4EE"/>
              <w:bottom w:val="single" w:sz="1" w:space="0" w:color="DDE4EE"/>
              <w:right w:val="single" w:sz="1" w:space="0" w:color="DDE4EE"/>
            </w:tcBorders>
            <w:shd w:val="clear" w:color="auto" w:fill="E8F5E9"/>
            <w:tcMar>
              <w:top w:w="80" w:type="dxa"/>
              <w:left w:w="120" w:type="dxa"/>
              <w:bottom w:w="80" w:type="dxa"/>
              <w:right w:w="120" w:type="dxa"/>
            </w:tcMar>
          </w:tcPr>
          <w:p w14:paraId="11352C27" w14:textId="77777777" w:rsidR="00F06132" w:rsidRDefault="00000000">
            <w:pPr>
              <w:jc w:val="center"/>
            </w:pPr>
            <w:r>
              <w:rPr>
                <w:b/>
                <w:bCs/>
                <w:color w:val="1B5E20"/>
                <w:sz w:val="18"/>
                <w:szCs w:val="18"/>
              </w:rPr>
              <w:t>Full</w:t>
            </w:r>
          </w:p>
        </w:tc>
        <w:tc>
          <w:tcPr>
            <w:tcW w:w="7560" w:type="dxa"/>
            <w:tcBorders>
              <w:top w:val="single" w:sz="1" w:space="0" w:color="DDE4EE"/>
              <w:left w:val="single" w:sz="1" w:space="0" w:color="DDE4EE"/>
              <w:bottom w:val="single" w:sz="1" w:space="0" w:color="DDE4EE"/>
              <w:right w:val="single" w:sz="1" w:space="0" w:color="DDE4EE"/>
            </w:tcBorders>
            <w:tcMar>
              <w:top w:w="80" w:type="dxa"/>
              <w:left w:w="120" w:type="dxa"/>
              <w:bottom w:w="80" w:type="dxa"/>
              <w:right w:w="120" w:type="dxa"/>
            </w:tcMar>
          </w:tcPr>
          <w:p w14:paraId="3FEB8459" w14:textId="77777777" w:rsidR="00F06132" w:rsidRDefault="00000000">
            <w:r>
              <w:rPr>
                <w:sz w:val="18"/>
                <w:szCs w:val="18"/>
              </w:rPr>
              <w:t>The tool fully satisfies this dimension with documented, production-grade capability.</w:t>
            </w:r>
          </w:p>
        </w:tc>
      </w:tr>
      <w:tr w:rsidR="00F06132" w14:paraId="2EAC6B2C" w14:textId="77777777">
        <w:tblPrEx>
          <w:tblCellMar>
            <w:top w:w="0" w:type="dxa"/>
            <w:bottom w:w="0" w:type="dxa"/>
          </w:tblCellMar>
        </w:tblPrEx>
        <w:tc>
          <w:tcPr>
            <w:tcW w:w="1800" w:type="dxa"/>
            <w:tcBorders>
              <w:top w:val="single" w:sz="1" w:space="0" w:color="DDE4EE"/>
              <w:left w:val="single" w:sz="1" w:space="0" w:color="DDE4EE"/>
              <w:bottom w:val="single" w:sz="1" w:space="0" w:color="DDE4EE"/>
              <w:right w:val="single" w:sz="1" w:space="0" w:color="DDE4EE"/>
            </w:tcBorders>
            <w:shd w:val="clear" w:color="auto" w:fill="FFF3CD"/>
            <w:tcMar>
              <w:top w:w="80" w:type="dxa"/>
              <w:left w:w="120" w:type="dxa"/>
              <w:bottom w:w="80" w:type="dxa"/>
              <w:right w:w="120" w:type="dxa"/>
            </w:tcMar>
          </w:tcPr>
          <w:p w14:paraId="61E7AB3C" w14:textId="77777777" w:rsidR="00F06132" w:rsidRDefault="00000000">
            <w:pPr>
              <w:jc w:val="center"/>
            </w:pPr>
            <w:r>
              <w:rPr>
                <w:b/>
                <w:bCs/>
                <w:color w:val="7B4D00"/>
                <w:sz w:val="18"/>
                <w:szCs w:val="18"/>
              </w:rPr>
              <w:t>Partial</w:t>
            </w:r>
          </w:p>
        </w:tc>
        <w:tc>
          <w:tcPr>
            <w:tcW w:w="7560" w:type="dxa"/>
            <w:tcBorders>
              <w:top w:val="single" w:sz="1" w:space="0" w:color="DDE4EE"/>
              <w:left w:val="single" w:sz="1" w:space="0" w:color="DDE4EE"/>
              <w:bottom w:val="single" w:sz="1" w:space="0" w:color="DDE4EE"/>
              <w:right w:val="single" w:sz="1" w:space="0" w:color="DDE4EE"/>
            </w:tcBorders>
            <w:tcMar>
              <w:top w:w="80" w:type="dxa"/>
              <w:left w:w="120" w:type="dxa"/>
              <w:bottom w:w="80" w:type="dxa"/>
              <w:right w:w="120" w:type="dxa"/>
            </w:tcMar>
          </w:tcPr>
          <w:p w14:paraId="0FA100E8" w14:textId="77777777" w:rsidR="00F06132" w:rsidRDefault="00000000">
            <w:r>
              <w:rPr>
                <w:sz w:val="18"/>
                <w:szCs w:val="18"/>
              </w:rPr>
              <w:t>The tool addresses part of this dimension — limited in scope, tier-locked, or requires add-ons.</w:t>
            </w:r>
          </w:p>
        </w:tc>
      </w:tr>
      <w:tr w:rsidR="00F06132" w14:paraId="1FEC8054" w14:textId="77777777">
        <w:tblPrEx>
          <w:tblCellMar>
            <w:top w:w="0" w:type="dxa"/>
            <w:bottom w:w="0" w:type="dxa"/>
          </w:tblCellMar>
        </w:tblPrEx>
        <w:tc>
          <w:tcPr>
            <w:tcW w:w="1800" w:type="dxa"/>
            <w:tcBorders>
              <w:top w:val="single" w:sz="1" w:space="0" w:color="DDE4EE"/>
              <w:left w:val="single" w:sz="1" w:space="0" w:color="DDE4EE"/>
              <w:bottom w:val="single" w:sz="1" w:space="0" w:color="DDE4EE"/>
              <w:right w:val="single" w:sz="1" w:space="0" w:color="DDE4EE"/>
            </w:tcBorders>
            <w:shd w:val="clear" w:color="auto" w:fill="FFEBEE"/>
            <w:tcMar>
              <w:top w:w="80" w:type="dxa"/>
              <w:left w:w="120" w:type="dxa"/>
              <w:bottom w:w="80" w:type="dxa"/>
              <w:right w:w="120" w:type="dxa"/>
            </w:tcMar>
          </w:tcPr>
          <w:p w14:paraId="279834E1" w14:textId="77777777" w:rsidR="00F06132" w:rsidRDefault="00000000">
            <w:pPr>
              <w:jc w:val="center"/>
            </w:pPr>
            <w:r>
              <w:rPr>
                <w:b/>
                <w:bCs/>
                <w:color w:val="B71C1C"/>
                <w:sz w:val="18"/>
                <w:szCs w:val="18"/>
              </w:rPr>
              <w:t>Not Supported</w:t>
            </w:r>
          </w:p>
        </w:tc>
        <w:tc>
          <w:tcPr>
            <w:tcW w:w="7560" w:type="dxa"/>
            <w:tcBorders>
              <w:top w:val="single" w:sz="1" w:space="0" w:color="DDE4EE"/>
              <w:left w:val="single" w:sz="1" w:space="0" w:color="DDE4EE"/>
              <w:bottom w:val="single" w:sz="1" w:space="0" w:color="DDE4EE"/>
              <w:right w:val="single" w:sz="1" w:space="0" w:color="DDE4EE"/>
            </w:tcBorders>
            <w:tcMar>
              <w:top w:w="80" w:type="dxa"/>
              <w:left w:w="120" w:type="dxa"/>
              <w:bottom w:w="80" w:type="dxa"/>
              <w:right w:w="120" w:type="dxa"/>
            </w:tcMar>
          </w:tcPr>
          <w:p w14:paraId="15315091" w14:textId="77777777" w:rsidR="00F06132" w:rsidRDefault="00000000">
            <w:r>
              <w:rPr>
                <w:sz w:val="18"/>
                <w:szCs w:val="18"/>
              </w:rPr>
              <w:t>The tool does not offer this capability. Confirmed by product documentation.</w:t>
            </w:r>
          </w:p>
        </w:tc>
      </w:tr>
      <w:tr w:rsidR="00F06132" w14:paraId="6624403D" w14:textId="77777777">
        <w:tblPrEx>
          <w:tblCellMar>
            <w:top w:w="0" w:type="dxa"/>
            <w:bottom w:w="0" w:type="dxa"/>
          </w:tblCellMar>
        </w:tblPrEx>
        <w:tc>
          <w:tcPr>
            <w:tcW w:w="1800" w:type="dxa"/>
            <w:tcBorders>
              <w:top w:val="single" w:sz="1" w:space="0" w:color="DDE4EE"/>
              <w:left w:val="single" w:sz="1" w:space="0" w:color="DDE4EE"/>
              <w:bottom w:val="single" w:sz="1" w:space="0" w:color="DDE4EE"/>
              <w:right w:val="single" w:sz="1" w:space="0" w:color="DDE4EE"/>
            </w:tcBorders>
            <w:shd w:val="clear" w:color="auto" w:fill="D6E4F0"/>
            <w:tcMar>
              <w:top w:w="80" w:type="dxa"/>
              <w:left w:w="120" w:type="dxa"/>
              <w:bottom w:w="80" w:type="dxa"/>
              <w:right w:w="120" w:type="dxa"/>
            </w:tcMar>
          </w:tcPr>
          <w:p w14:paraId="4F03CC17" w14:textId="77777777" w:rsidR="00F06132" w:rsidRDefault="00000000">
            <w:pPr>
              <w:jc w:val="center"/>
            </w:pPr>
            <w:r>
              <w:rPr>
                <w:b/>
                <w:bCs/>
                <w:color w:val="1F4E79"/>
                <w:sz w:val="18"/>
                <w:szCs w:val="18"/>
              </w:rPr>
              <w:t>Full (Planned)</w:t>
            </w:r>
          </w:p>
        </w:tc>
        <w:tc>
          <w:tcPr>
            <w:tcW w:w="7560" w:type="dxa"/>
            <w:tcBorders>
              <w:top w:val="single" w:sz="1" w:space="0" w:color="DDE4EE"/>
              <w:left w:val="single" w:sz="1" w:space="0" w:color="DDE4EE"/>
              <w:bottom w:val="single" w:sz="1" w:space="0" w:color="DDE4EE"/>
              <w:right w:val="single" w:sz="1" w:space="0" w:color="DDE4EE"/>
            </w:tcBorders>
            <w:tcMar>
              <w:top w:w="80" w:type="dxa"/>
              <w:left w:w="120" w:type="dxa"/>
              <w:bottom w:w="80" w:type="dxa"/>
              <w:right w:w="120" w:type="dxa"/>
            </w:tcMar>
          </w:tcPr>
          <w:p w14:paraId="5FB96353" w14:textId="77777777" w:rsidR="00F06132" w:rsidRDefault="00000000">
            <w:r>
              <w:rPr>
                <w:sz w:val="18"/>
                <w:szCs w:val="18"/>
              </w:rPr>
              <w:t>SUBOP plans to deliver full support for this dimension by the stated milestone deadline.</w:t>
            </w:r>
          </w:p>
        </w:tc>
      </w:tr>
    </w:tbl>
    <w:p w14:paraId="17C1633E" w14:textId="77777777" w:rsidR="00F06132" w:rsidRDefault="00F06132">
      <w:pPr>
        <w:spacing w:after="120"/>
      </w:pPr>
    </w:p>
    <w:p w14:paraId="7108F765" w14:textId="77777777" w:rsidR="00F06132" w:rsidRDefault="00000000">
      <w:r>
        <w:br w:type="page"/>
      </w:r>
    </w:p>
    <w:p w14:paraId="0007CE8A" w14:textId="77777777" w:rsidR="00F06132" w:rsidRDefault="00000000">
      <w:pPr>
        <w:pBdr>
          <w:bottom w:val="single" w:sz="6" w:space="2" w:color="2E75B6"/>
        </w:pBdr>
        <w:spacing w:before="200" w:after="100"/>
      </w:pPr>
      <w:r>
        <w:rPr>
          <w:b/>
          <w:bCs/>
          <w:color w:val="1F4E79"/>
          <w:sz w:val="26"/>
          <w:szCs w:val="26"/>
        </w:rPr>
        <w:lastRenderedPageBreak/>
        <w:t>4. Capability Gap Analysis</w:t>
      </w:r>
    </w:p>
    <w:p w14:paraId="468B2686" w14:textId="77777777" w:rsidR="00F06132" w:rsidRDefault="00F06132">
      <w:pPr>
        <w:spacing w:after="60"/>
      </w:pPr>
    </w:p>
    <w:p w14:paraId="6351CAD4" w14:textId="77777777" w:rsidR="00F06132" w:rsidRDefault="00000000">
      <w:pPr>
        <w:spacing w:before="80" w:after="100"/>
      </w:pPr>
      <w:r>
        <w:t>For each of the seven dimensions, this section identifies which tools close the gap, which leave it open, and what SUBOP's implementation target is based on confirmed research.</w:t>
      </w:r>
    </w:p>
    <w:p w14:paraId="53DF20EC" w14:textId="77777777" w:rsidR="00F06132" w:rsidRDefault="00000000">
      <w:pPr>
        <w:spacing w:before="160" w:after="60"/>
      </w:pPr>
      <w:r>
        <w:rPr>
          <w:b/>
          <w:bCs/>
          <w:color w:val="2E75B6"/>
          <w:sz w:val="22"/>
          <w:szCs w:val="22"/>
        </w:rPr>
        <w:t>D1 — Database-Agnostic Abstraction</w:t>
      </w:r>
    </w:p>
    <w:p w14:paraId="31FEEBE1" w14:textId="77777777" w:rsidR="00F06132" w:rsidRDefault="00000000">
      <w:pPr>
        <w:spacing w:before="80" w:after="60"/>
      </w:pPr>
      <w:r>
        <w:t xml:space="preserve">D1 is the most universally unmet dimension across the comparison. All five tools receive only Partial ratings — none provides zero-code-change ETL execution across database engines. Talend and Informatica require per-connector reconfiguration when switching database engines; both rely on individual adapter logic rather than a shared abstraction layer. Apache </w:t>
      </w:r>
      <w:proofErr w:type="spellStart"/>
      <w:r>
        <w:t>NiFi</w:t>
      </w:r>
      <w:proofErr w:type="spellEnd"/>
      <w:r>
        <w:t xml:space="preserve"> requires driver JAR replacement and SQL review per processor when switching JDBC engines. </w:t>
      </w:r>
      <w:proofErr w:type="spellStart"/>
      <w:r>
        <w:t>dbt</w:t>
      </w:r>
      <w:proofErr w:type="spellEnd"/>
      <w:r>
        <w:t xml:space="preserve"> requires adapter switching and may require SQL model rewriting when warehouse-specific syntax was used. Power BI is a BI tool, not an ETL abstraction layer, and does not address this dimension meaningfully.</w:t>
      </w:r>
    </w:p>
    <w:p w14:paraId="1BABF108" w14:textId="77777777" w:rsidR="00F06132" w:rsidRDefault="00000000">
      <w:pPr>
        <w:spacing w:before="80" w:after="100"/>
      </w:pPr>
      <w:r>
        <w:t xml:space="preserve">SUBOP's implementation target (G1, Milestone 4): a single </w:t>
      </w:r>
      <w:proofErr w:type="spellStart"/>
      <w:r>
        <w:t>ConnectionConfig</w:t>
      </w:r>
      <w:proofErr w:type="spellEnd"/>
      <w:r>
        <w:t xml:space="preserve"> interface and unified </w:t>
      </w:r>
      <w:proofErr w:type="spellStart"/>
      <w:r>
        <w:t>execute_query</w:t>
      </w:r>
      <w:proofErr w:type="spellEnd"/>
      <w:r>
        <w:t>/</w:t>
      </w:r>
      <w:proofErr w:type="spellStart"/>
      <w:r>
        <w:t>execute_write</w:t>
      </w:r>
      <w:proofErr w:type="spellEnd"/>
      <w:r>
        <w:t xml:space="preserve"> layer that runs identical ETL pipeline code against Oracle, PostgreSQL, MySQL, and MSSQL with zero code change at the pipeline level. The Adapter pattern — recommended in Omer's M2 abstraction layer research — confirms this implementation approach is viable. Success criterion: ETL pipelines written once execute correctly across all supported database engines with no modifications.</w:t>
      </w:r>
    </w:p>
    <w:p w14:paraId="2E4A6EAA" w14:textId="77777777" w:rsidR="00F06132" w:rsidRDefault="00000000">
      <w:pPr>
        <w:spacing w:before="160" w:after="60"/>
      </w:pPr>
      <w:r>
        <w:rPr>
          <w:b/>
          <w:bCs/>
          <w:color w:val="2E75B6"/>
          <w:sz w:val="22"/>
          <w:szCs w:val="22"/>
        </w:rPr>
        <w:t>D2 — Real-Time CDC (Change Data Capture)</w:t>
      </w:r>
    </w:p>
    <w:p w14:paraId="7884306B" w14:textId="77777777" w:rsidR="00F06132" w:rsidRDefault="00000000">
      <w:pPr>
        <w:spacing w:before="80" w:after="60"/>
      </w:pPr>
      <w:r>
        <w:t xml:space="preserve">Only Informatica achieves Full support for D2 through its </w:t>
      </w:r>
      <w:proofErr w:type="spellStart"/>
      <w:r>
        <w:t>PowerExchange</w:t>
      </w:r>
      <w:proofErr w:type="spellEnd"/>
      <w:r>
        <w:t xml:space="preserve"> CDC product, which reads transaction logs natively for Oracle (</w:t>
      </w:r>
      <w:proofErr w:type="spellStart"/>
      <w:r>
        <w:t>LogMiner</w:t>
      </w:r>
      <w:proofErr w:type="spellEnd"/>
      <w:r>
        <w:t>), PostgreSQL (WAL), MySQL (</w:t>
      </w:r>
      <w:proofErr w:type="spellStart"/>
      <w:r>
        <w:t>binlog</w:t>
      </w:r>
      <w:proofErr w:type="spellEnd"/>
      <w:r>
        <w:t xml:space="preserve">), and MSSQL (CT). Informatica is the benchmark for D2 but requires separate licensing and is accessible only to enterprises with very high data infrastructure budgets. Apache </w:t>
      </w:r>
      <w:proofErr w:type="spellStart"/>
      <w:r>
        <w:t>NiFi</w:t>
      </w:r>
      <w:proofErr w:type="spellEnd"/>
      <w:r>
        <w:t xml:space="preserve"> achieves Partial: log-based CDC is available for MySQL only via </w:t>
      </w:r>
      <w:proofErr w:type="spellStart"/>
      <w:r>
        <w:t>CaptureChangeMySQL</w:t>
      </w:r>
      <w:proofErr w:type="spellEnd"/>
      <w:r>
        <w:t xml:space="preserve">; PostgreSQL, Oracle, and MSSQL require external </w:t>
      </w:r>
      <w:proofErr w:type="spellStart"/>
      <w:r>
        <w:t>Debezium</w:t>
      </w:r>
      <w:proofErr w:type="spellEnd"/>
      <w:r>
        <w:t xml:space="preserve">. Talend's CDC is proprietary, </w:t>
      </w:r>
      <w:proofErr w:type="gramStart"/>
      <w:r>
        <w:t>tier</w:t>
      </w:r>
      <w:proofErr w:type="gramEnd"/>
      <w:r>
        <w:t xml:space="preserve">-locked, and lacks published latency guarantees. </w:t>
      </w:r>
      <w:proofErr w:type="spellStart"/>
      <w:r>
        <w:t>dbt</w:t>
      </w:r>
      <w:proofErr w:type="spellEnd"/>
      <w:r>
        <w:t xml:space="preserve"> and Power BI have no CDC capability whatsoever.</w:t>
      </w:r>
    </w:p>
    <w:p w14:paraId="02426FB6" w14:textId="77777777" w:rsidR="00F06132" w:rsidRDefault="00000000">
      <w:pPr>
        <w:spacing w:before="80" w:after="100"/>
      </w:pPr>
      <w:r>
        <w:t xml:space="preserve">SUBOP's implementation target (G4, Milestone 7): </w:t>
      </w:r>
      <w:proofErr w:type="spellStart"/>
      <w:r>
        <w:t>Debezium</w:t>
      </w:r>
      <w:proofErr w:type="spellEnd"/>
      <w:r>
        <w:t xml:space="preserve"> + Kafka CDC module delivering sub-30-second end-to-end latency for PostgreSQL and MySQL, with Oracle CDC researched as a stretch goal. The </w:t>
      </w:r>
      <w:proofErr w:type="spellStart"/>
      <w:r>
        <w:t>NiFi</w:t>
      </w:r>
      <w:proofErr w:type="spellEnd"/>
      <w:r>
        <w:t xml:space="preserve"> research confirms that the </w:t>
      </w:r>
      <w:proofErr w:type="spellStart"/>
      <w:r>
        <w:t>Debezium</w:t>
      </w:r>
      <w:proofErr w:type="spellEnd"/>
      <w:r>
        <w:t xml:space="preserve"> + Kafka architecture SUBOP plans is the industry-standard approach for open-source multi-database CDC — </w:t>
      </w:r>
      <w:proofErr w:type="spellStart"/>
      <w:r>
        <w:t>NiFi</w:t>
      </w:r>
      <w:proofErr w:type="spellEnd"/>
      <w:r>
        <w:t xml:space="preserve"> itself recommends this pattern for databases beyond MySQL. SUBOP will deliver comparable technical capability to Informatica's </w:t>
      </w:r>
      <w:proofErr w:type="spellStart"/>
      <w:r>
        <w:t>PowerExchange</w:t>
      </w:r>
      <w:proofErr w:type="spellEnd"/>
      <w:r>
        <w:t>, using open-source components, without additional licensing.</w:t>
      </w:r>
    </w:p>
    <w:p w14:paraId="49C44FE4" w14:textId="77777777" w:rsidR="00F06132" w:rsidRDefault="00000000">
      <w:pPr>
        <w:spacing w:before="160" w:after="60"/>
      </w:pPr>
      <w:r>
        <w:rPr>
          <w:b/>
          <w:bCs/>
          <w:color w:val="2E75B6"/>
          <w:sz w:val="22"/>
          <w:szCs w:val="22"/>
        </w:rPr>
        <w:t>D3 — Self-Service Business Intelligence</w:t>
      </w:r>
    </w:p>
    <w:p w14:paraId="0B39AF35" w14:textId="77777777" w:rsidR="00F06132" w:rsidRDefault="00000000">
      <w:pPr>
        <w:spacing w:before="80" w:after="60"/>
      </w:pPr>
      <w:r>
        <w:t xml:space="preserve">Only Power BI achieves Full support for D3. Its drag-and-drop authoring environment, 35+ built-in visual types, 1,000+ custom visuals, and AI-powered features (Q&amp;A, Copilot, anomaly detection) define the benchmark for self-service BI. All four remaining tools — Talend, Informatica, Apache </w:t>
      </w:r>
      <w:proofErr w:type="spellStart"/>
      <w:r>
        <w:t>NiFi</w:t>
      </w:r>
      <w:proofErr w:type="spellEnd"/>
      <w:r>
        <w:t xml:space="preserve">, and </w:t>
      </w:r>
      <w:proofErr w:type="spellStart"/>
      <w:r>
        <w:t>dbt</w:t>
      </w:r>
      <w:proofErr w:type="spellEnd"/>
      <w:r>
        <w:t xml:space="preserve"> — have no native BI dashboard capability. Business users working with any of these four tools must additionally license and deploy a separate BI platform to create reports and dashboards.</w:t>
      </w:r>
    </w:p>
    <w:p w14:paraId="3F033269" w14:textId="77777777" w:rsidR="00F06132" w:rsidRDefault="00000000">
      <w:pPr>
        <w:spacing w:before="80" w:after="100"/>
      </w:pPr>
      <w:r>
        <w:t>SUBOP's implementation target (G6, Milestone 9): a self-service dashboard builder enabling non-technical users to create working dashboards from warehouse data in under 15 minutes without SQL knowledge. The SUBOP Design System v1 (Beyza's M2 deliverable) provides the visual foundation and component specifications for this module. The unique competitive advantage SUBOP offers beyond Power BI is the combination of D3 with D1, D2, and D4 in a single integrated platform — no competitor provides this combination.</w:t>
      </w:r>
    </w:p>
    <w:p w14:paraId="78B1BBC9" w14:textId="77777777" w:rsidR="00F06132" w:rsidRDefault="00000000">
      <w:pPr>
        <w:spacing w:before="160" w:after="60"/>
      </w:pPr>
      <w:r>
        <w:rPr>
          <w:b/>
          <w:bCs/>
          <w:color w:val="2E75B6"/>
          <w:sz w:val="22"/>
          <w:szCs w:val="22"/>
        </w:rPr>
        <w:t>D4 — Metadata-Driven Data Warehouse</w:t>
      </w:r>
    </w:p>
    <w:p w14:paraId="557DFF76" w14:textId="77777777" w:rsidR="00F06132" w:rsidRDefault="00000000">
      <w:pPr>
        <w:spacing w:before="80" w:after="60"/>
      </w:pPr>
      <w:r>
        <w:t xml:space="preserve">D4 is the most widely unmet dimension in </w:t>
      </w:r>
      <w:proofErr w:type="gramStart"/>
      <w:r>
        <w:t>the comparison</w:t>
      </w:r>
      <w:proofErr w:type="gramEnd"/>
      <w:r>
        <w:t xml:space="preserve">. Three of five tools receive Not Supported ratings: Talend, Apache </w:t>
      </w:r>
      <w:proofErr w:type="spellStart"/>
      <w:r>
        <w:t>NiFi</w:t>
      </w:r>
      <w:proofErr w:type="spellEnd"/>
      <w:r>
        <w:t xml:space="preserve">, and Power BI. The two Partial ratings — Informatica and </w:t>
      </w:r>
      <w:proofErr w:type="spellStart"/>
      <w:r>
        <w:t>dbt</w:t>
      </w:r>
      <w:proofErr w:type="spellEnd"/>
      <w:r>
        <w:t xml:space="preserve"> — address adjacent capabilities rather than the dimension's core requirement. Informatica's CLAIRE AI automates ETL mapping recommendations and metadata discovery but does not auto-generate fact/dimension warehouse schemas. </w:t>
      </w:r>
      <w:proofErr w:type="spellStart"/>
      <w:r>
        <w:t>dbt</w:t>
      </w:r>
      <w:proofErr w:type="spellEnd"/>
      <w:r>
        <w:t xml:space="preserve"> automates the execution of SCD Type 2 snapshots and incremental models but requires data engineers to write all SQL models manually; the schema design is not derived from metadata.</w:t>
      </w:r>
    </w:p>
    <w:p w14:paraId="5DBE2C01" w14:textId="77777777" w:rsidR="00F06132" w:rsidRDefault="00000000">
      <w:pPr>
        <w:spacing w:before="80" w:after="100"/>
      </w:pPr>
      <w:r>
        <w:t xml:space="preserve">SUBOP's implementation target (G5, Milestone 8): automatic generation of fact tables, dimension tables, SCD Type 2 logic, and schema versioning from source metadata definitions — producing a data warehouse schema at least 80% faster than a manually written equivalent. This is the only dimension in the analysis where SUBOP </w:t>
      </w:r>
      <w:r>
        <w:lastRenderedPageBreak/>
        <w:t>plans to deliver a capability that no evaluated competitor currently achieves at the Full level. It represents the strongest product differentiation opportunity in the competitive landscape.</w:t>
      </w:r>
    </w:p>
    <w:p w14:paraId="63AB0FE8" w14:textId="77777777" w:rsidR="00F06132" w:rsidRDefault="00000000">
      <w:pPr>
        <w:spacing w:before="160" w:after="60"/>
      </w:pPr>
      <w:r>
        <w:rPr>
          <w:b/>
          <w:bCs/>
          <w:color w:val="2E75B6"/>
          <w:sz w:val="22"/>
          <w:szCs w:val="22"/>
        </w:rPr>
        <w:t>D5 — Data Quality and Lineage</w:t>
      </w:r>
    </w:p>
    <w:p w14:paraId="348E268D" w14:textId="77777777" w:rsidR="00F06132" w:rsidRDefault="00000000">
      <w:pPr>
        <w:spacing w:before="80" w:after="60"/>
      </w:pPr>
      <w:r>
        <w:t xml:space="preserve">Only Informatica achieves Full support for D5, setting the competitive benchmark through the CLAIRE AI engine's 225+ data classification library, automated quality scoring across pipelines, and AI-powered end-to-end lineage from source systems through ETL steps to downstream targets. All other tools in the comparison receive Partial ratings. Talend's data quality tooling is genuinely </w:t>
      </w:r>
      <w:proofErr w:type="gramStart"/>
      <w:r>
        <w:t>strong</w:t>
      </w:r>
      <w:proofErr w:type="gramEnd"/>
      <w:r>
        <w:t xml:space="preserve"> but lineage is limited to Talend job boundaries. Apache </w:t>
      </w:r>
      <w:proofErr w:type="spellStart"/>
      <w:r>
        <w:t>NiFi's</w:t>
      </w:r>
      <w:proofErr w:type="spellEnd"/>
      <w:r>
        <w:t xml:space="preserve"> Data Provenance engine tracks in-flow events comprehensively but lineage does not extend beyond </w:t>
      </w:r>
      <w:proofErr w:type="spellStart"/>
      <w:r>
        <w:t>NiFi</w:t>
      </w:r>
      <w:proofErr w:type="spellEnd"/>
      <w:r>
        <w:t xml:space="preserve">. </w:t>
      </w:r>
      <w:proofErr w:type="spellStart"/>
      <w:r>
        <w:t>dbt's</w:t>
      </w:r>
      <w:proofErr w:type="spellEnd"/>
      <w:r>
        <w:t xml:space="preserve"> testing framework is solid and column-level lineage is available in Cloud tier, but lineage covers only the </w:t>
      </w:r>
      <w:proofErr w:type="spellStart"/>
      <w:r>
        <w:t>dbt</w:t>
      </w:r>
      <w:proofErr w:type="spellEnd"/>
      <w:r>
        <w:t xml:space="preserve"> model layer. Power BI provides workspace </w:t>
      </w:r>
      <w:proofErr w:type="gramStart"/>
      <w:r>
        <w:t>lineage</w:t>
      </w:r>
      <w:proofErr w:type="gramEnd"/>
      <w:r>
        <w:t xml:space="preserve"> but full cross-system lineage requires Microsoft Purview.</w:t>
      </w:r>
    </w:p>
    <w:p w14:paraId="4C69BEF2" w14:textId="77777777" w:rsidR="00F06132" w:rsidRDefault="00000000">
      <w:pPr>
        <w:spacing w:before="80" w:after="100"/>
      </w:pPr>
      <w:r>
        <w:t>SUBOP's implementation target (G7 and G8, Milestone 10): automated quality rules running on every pipeline execution with a per-dataset quality score, anomaly flagging, and alert notifications; combined with full source-to-dashboard lineage traceability and a searchable data asset catalog. The governance module scope is directly informed by Informatica's CDGC capability as the benchmark.</w:t>
      </w:r>
    </w:p>
    <w:p w14:paraId="0FCF2DF2" w14:textId="77777777" w:rsidR="00F06132" w:rsidRDefault="00000000">
      <w:pPr>
        <w:spacing w:before="160" w:after="60"/>
      </w:pPr>
      <w:r>
        <w:rPr>
          <w:b/>
          <w:bCs/>
          <w:color w:val="2E75B6"/>
          <w:sz w:val="22"/>
          <w:szCs w:val="22"/>
        </w:rPr>
        <w:t>D6 — KVKK / GDPR Compliance Tooling</w:t>
      </w:r>
    </w:p>
    <w:p w14:paraId="1A226333" w14:textId="77777777" w:rsidR="00F06132" w:rsidRDefault="00000000">
      <w:pPr>
        <w:spacing w:before="80" w:after="60"/>
      </w:pPr>
      <w:r>
        <w:t xml:space="preserve">Informatica achieves Full support for D6 with its 225+ compliance classification library, GDPR Data Processing Agreement, full audit trail, and SOC 2 Type II certification. Power BI achieves Partial through Microsoft Information Protection sensitivity labels, GDPR DPA, EU and Turkey North data residency, and SOC 2 Type II certification — but lacks native column masking and requires Microsoft Purview for full compliance governance. Talend achieves </w:t>
      </w:r>
      <w:proofErr w:type="gramStart"/>
      <w:r>
        <w:t>Partial</w:t>
      </w:r>
      <w:proofErr w:type="gramEnd"/>
      <w:r>
        <w:t xml:space="preserve"> through masking and audit logging in higher tiers but has no KVKK-specific documentation. Apache </w:t>
      </w:r>
      <w:proofErr w:type="spellStart"/>
      <w:r>
        <w:t>NiFi</w:t>
      </w:r>
      <w:proofErr w:type="spellEnd"/>
      <w:r>
        <w:t xml:space="preserve"> and </w:t>
      </w:r>
      <w:proofErr w:type="spellStart"/>
      <w:r>
        <w:t>dbt</w:t>
      </w:r>
      <w:proofErr w:type="spellEnd"/>
      <w:r>
        <w:t xml:space="preserve"> both receive Not Supported: </w:t>
      </w:r>
      <w:proofErr w:type="spellStart"/>
      <w:r>
        <w:t>NiFi</w:t>
      </w:r>
      <w:proofErr w:type="spellEnd"/>
      <w:r>
        <w:t xml:space="preserve"> provides only infrastructure-level security controls with no data governance compliance tooling; </w:t>
      </w:r>
      <w:proofErr w:type="spellStart"/>
      <w:r>
        <w:t>dbt</w:t>
      </w:r>
      <w:proofErr w:type="spellEnd"/>
      <w:r>
        <w:t xml:space="preserve"> delegates all compliance to the warehouse layer.</w:t>
      </w:r>
    </w:p>
    <w:p w14:paraId="34445D8A" w14:textId="77777777" w:rsidR="00F06132" w:rsidRDefault="00000000">
      <w:pPr>
        <w:spacing w:before="80" w:after="100"/>
      </w:pPr>
      <w:r>
        <w:t xml:space="preserve">SUBOP's implementation target (G9, Milestone 11): role-based access control, column-level masking, </w:t>
      </w:r>
      <w:proofErr w:type="spellStart"/>
      <w:r>
        <w:t>anonymisation</w:t>
      </w:r>
      <w:proofErr w:type="spellEnd"/>
      <w:r>
        <w:t>, full audit logging for all user and system actions, and documented KVKK and GDPR compliance. KVKK compliance documentation is a genuine differentiator for SUBOP's Turkish target market — no competitor in the analysis provides KVKK-specific certification or documentation. The KVKK and GDPR compliance research from Week 6 feeds the M11 security module specification directly.</w:t>
      </w:r>
    </w:p>
    <w:p w14:paraId="3DC551F2" w14:textId="77777777" w:rsidR="00F06132" w:rsidRDefault="00000000">
      <w:pPr>
        <w:spacing w:before="160" w:after="60"/>
      </w:pPr>
      <w:r>
        <w:rPr>
          <w:b/>
          <w:bCs/>
          <w:color w:val="2E75B6"/>
          <w:sz w:val="22"/>
          <w:szCs w:val="22"/>
        </w:rPr>
        <w:t>D7 — Open-Source / No Vendor Lock</w:t>
      </w:r>
    </w:p>
    <w:p w14:paraId="55E59072" w14:textId="77777777" w:rsidR="00F06132" w:rsidRDefault="00000000">
      <w:pPr>
        <w:spacing w:before="80" w:after="60"/>
      </w:pPr>
      <w:r>
        <w:t xml:space="preserve">Apache </w:t>
      </w:r>
      <w:proofErr w:type="spellStart"/>
      <w:r>
        <w:t>NiFi</w:t>
      </w:r>
      <w:proofErr w:type="spellEnd"/>
      <w:r>
        <w:t xml:space="preserve"> and </w:t>
      </w:r>
      <w:proofErr w:type="spellStart"/>
      <w:r>
        <w:t>dbt</w:t>
      </w:r>
      <w:proofErr w:type="spellEnd"/>
      <w:r>
        <w:t xml:space="preserve"> are the only two tools in </w:t>
      </w:r>
      <w:proofErr w:type="gramStart"/>
      <w:r>
        <w:t>the comparison</w:t>
      </w:r>
      <w:proofErr w:type="gramEnd"/>
      <w:r>
        <w:t xml:space="preserve"> </w:t>
      </w:r>
      <w:proofErr w:type="gramStart"/>
      <w:r>
        <w:t>receiving</w:t>
      </w:r>
      <w:proofErr w:type="gramEnd"/>
      <w:r>
        <w:t xml:space="preserve"> Full ratings on D7. Both are licensed under Apache License 2.0, are fully self-hostable without commercial </w:t>
      </w:r>
      <w:proofErr w:type="spellStart"/>
      <w:r>
        <w:t>licences</w:t>
      </w:r>
      <w:proofErr w:type="spellEnd"/>
      <w:r>
        <w:t>, and maintain active open-source communities. Talend and Informatica both receive Not Supported: Talend permanently discontinued its open-source edition in January 2024; Informatica has never been open-source. Power BI is fully proprietary with DAX lock-in meaning all BI investment is non-transferable to any other platform.</w:t>
      </w:r>
    </w:p>
    <w:p w14:paraId="62E355F4" w14:textId="77777777" w:rsidR="00F06132" w:rsidRDefault="00000000">
      <w:pPr>
        <w:spacing w:before="80" w:after="120"/>
      </w:pPr>
      <w:r>
        <w:t xml:space="preserve">SUBOP's implementation target: Apache License 2.0 or equivalent permissive </w:t>
      </w:r>
      <w:proofErr w:type="spellStart"/>
      <w:r>
        <w:t>licence</w:t>
      </w:r>
      <w:proofErr w:type="spellEnd"/>
      <w:r>
        <w:t xml:space="preserve"> for the core platform, with all source code on GitHub and no proprietary binary formats for pipeline definitions. SUBOP's open-source positioning aligns it with </w:t>
      </w:r>
      <w:proofErr w:type="spellStart"/>
      <w:r>
        <w:t>NiFi</w:t>
      </w:r>
      <w:proofErr w:type="spellEnd"/>
      <w:r>
        <w:t xml:space="preserve"> and </w:t>
      </w:r>
      <w:proofErr w:type="spellStart"/>
      <w:r>
        <w:t>dbt</w:t>
      </w:r>
      <w:proofErr w:type="spellEnd"/>
      <w:r>
        <w:t xml:space="preserve"> on D7 while delivering capabilities (D1, D2, D3, D4) that </w:t>
      </w:r>
      <w:proofErr w:type="spellStart"/>
      <w:r>
        <w:t>NiFi</w:t>
      </w:r>
      <w:proofErr w:type="spellEnd"/>
      <w:r>
        <w:t xml:space="preserve"> and </w:t>
      </w:r>
      <w:proofErr w:type="spellStart"/>
      <w:r>
        <w:t>dbt</w:t>
      </w:r>
      <w:proofErr w:type="spellEnd"/>
      <w:r>
        <w:t xml:space="preserve"> individually cannot. The cost accessibility confirmed by the </w:t>
      </w:r>
      <w:proofErr w:type="spellStart"/>
      <w:r>
        <w:t>NiFi</w:t>
      </w:r>
      <w:proofErr w:type="spellEnd"/>
      <w:r>
        <w:t xml:space="preserve"> and </w:t>
      </w:r>
      <w:proofErr w:type="spellStart"/>
      <w:r>
        <w:t>dbt</w:t>
      </w:r>
      <w:proofErr w:type="spellEnd"/>
      <w:r>
        <w:t xml:space="preserve"> research supports SUBOP's target market of mid-market </w:t>
      </w:r>
      <w:proofErr w:type="spellStart"/>
      <w:r>
        <w:t>organisations</w:t>
      </w:r>
      <w:proofErr w:type="spellEnd"/>
      <w:r>
        <w:t xml:space="preserve"> priced out of Talend and Informatica.</w:t>
      </w:r>
    </w:p>
    <w:p w14:paraId="46656B19" w14:textId="77777777" w:rsidR="00F06132" w:rsidRDefault="00000000">
      <w:r>
        <w:br w:type="page"/>
      </w:r>
    </w:p>
    <w:p w14:paraId="3BCA88C8" w14:textId="77777777" w:rsidR="00F06132" w:rsidRDefault="00000000">
      <w:pPr>
        <w:pBdr>
          <w:bottom w:val="single" w:sz="6" w:space="2" w:color="2E75B6"/>
        </w:pBdr>
        <w:spacing w:before="200" w:after="100"/>
      </w:pPr>
      <w:r>
        <w:rPr>
          <w:b/>
          <w:bCs/>
          <w:color w:val="1F4E79"/>
          <w:sz w:val="26"/>
          <w:szCs w:val="26"/>
        </w:rPr>
        <w:lastRenderedPageBreak/>
        <w:t>5. SUBOP Positioning Statement</w:t>
      </w:r>
    </w:p>
    <w:p w14:paraId="63EE2D4E" w14:textId="77777777" w:rsidR="00F06132" w:rsidRDefault="00F06132">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F06132" w14:paraId="7C6870D4" w14:textId="77777777">
        <w:tblPrEx>
          <w:tblCellMar>
            <w:top w:w="0" w:type="dxa"/>
            <w:bottom w:w="0" w:type="dxa"/>
          </w:tblCellMar>
        </w:tblPrEx>
        <w:tc>
          <w:tcPr>
            <w:tcW w:w="9360" w:type="dxa"/>
            <w:tcBorders>
              <w:top w:val="single" w:sz="8" w:space="0" w:color="1F4E79"/>
              <w:left w:val="single" w:sz="8" w:space="0" w:color="1F4E79"/>
              <w:bottom w:val="single" w:sz="8" w:space="0" w:color="1F4E79"/>
              <w:right w:val="single" w:sz="8" w:space="0" w:color="1F4E79"/>
            </w:tcBorders>
            <w:shd w:val="clear" w:color="auto" w:fill="D6E4F0"/>
            <w:tcMar>
              <w:top w:w="160" w:type="dxa"/>
              <w:left w:w="200" w:type="dxa"/>
              <w:bottom w:w="160" w:type="dxa"/>
              <w:right w:w="200" w:type="dxa"/>
            </w:tcMar>
          </w:tcPr>
          <w:p w14:paraId="434D0292" w14:textId="77777777" w:rsidR="00F06132" w:rsidRDefault="00000000">
            <w:pPr>
              <w:spacing w:line="300" w:lineRule="auto"/>
              <w:jc w:val="both"/>
            </w:pPr>
            <w:r>
              <w:rPr>
                <w:b/>
                <w:bCs/>
                <w:i/>
                <w:iCs/>
                <w:color w:val="1F4E79"/>
              </w:rPr>
              <w:t xml:space="preserve">SUBOP is the only platform in the evaluated competitive landscape targeting Full support across all seven capability dimensions — database-agnostic abstraction, real-time CDC, self-service BI, metadata-driven warehouse automation, data quality and lineage, KVKK/GDPR compliance, and open-source accessibility — within a single, integrated architecture, without enterprise licensing costs, and without requiring </w:t>
            </w:r>
            <w:proofErr w:type="spellStart"/>
            <w:r>
              <w:rPr>
                <w:b/>
                <w:bCs/>
                <w:i/>
                <w:iCs/>
                <w:color w:val="1F4E79"/>
              </w:rPr>
              <w:t>organisations</w:t>
            </w:r>
            <w:proofErr w:type="spellEnd"/>
            <w:r>
              <w:rPr>
                <w:b/>
                <w:bCs/>
                <w:i/>
                <w:iCs/>
                <w:color w:val="1F4E79"/>
              </w:rPr>
              <w:t xml:space="preserve"> to assemble and maintain multiple disconnected tools.</w:t>
            </w:r>
          </w:p>
        </w:tc>
      </w:tr>
    </w:tbl>
    <w:p w14:paraId="4DBD7465" w14:textId="77777777" w:rsidR="00F06132" w:rsidRDefault="00F06132">
      <w:pPr>
        <w:spacing w:after="120"/>
      </w:pPr>
    </w:p>
    <w:p w14:paraId="7827186F" w14:textId="77777777" w:rsidR="00F06132" w:rsidRDefault="00000000">
      <w:pPr>
        <w:spacing w:before="80" w:after="80"/>
      </w:pPr>
      <w:r>
        <w:rPr>
          <w:b/>
          <w:bCs/>
          <w:color w:val="1F4E79"/>
        </w:rPr>
        <w:t>This positioning is grounded in the following evidence from the research conducted in Weeks 5 and 6:</w:t>
      </w:r>
    </w:p>
    <w:p w14:paraId="0EE1610C" w14:textId="77777777" w:rsidR="00F06132" w:rsidRDefault="00000000">
      <w:pPr>
        <w:spacing w:before="80" w:after="60"/>
      </w:pPr>
      <w:r>
        <w:t>1. D1 (Database-Agnostic Abstraction) is unmet at the Full level by every evaluated competitor. All five tools require per-database-engine configuration changes when switching sources. SUBOP's planned G1 abstraction layer is architecturally differentiated from the entire competitive landscape.</w:t>
      </w:r>
    </w:p>
    <w:p w14:paraId="7754D39C" w14:textId="77777777" w:rsidR="00F06132" w:rsidRDefault="00000000">
      <w:pPr>
        <w:spacing w:before="80" w:after="60"/>
      </w:pPr>
      <w:r>
        <w:t xml:space="preserve">2. D2 (Real-Time CDC) is fully delivered only by Informatica, at enterprise cost and complexity. SUBOP's </w:t>
      </w:r>
      <w:proofErr w:type="spellStart"/>
      <w:r>
        <w:t>Debezium</w:t>
      </w:r>
      <w:proofErr w:type="spellEnd"/>
      <w:r>
        <w:t xml:space="preserve"> + Kafka architecture (G4, Milestone 7) targets the same technical outcome using open-source components confirmed by the research as the industry-standard approach for multi-database CDC.</w:t>
      </w:r>
    </w:p>
    <w:p w14:paraId="0C47081A" w14:textId="77777777" w:rsidR="00F06132" w:rsidRDefault="00000000">
      <w:pPr>
        <w:spacing w:before="80" w:after="60"/>
      </w:pPr>
      <w:r>
        <w:t>3. D3 (Self-Service BI) is fully delivered only by Power BI, which has no ETL, no CDC, and no warehouse automation. SUBOP uniquely combines self-service BI (G6) with data movement, CDC, and warehouse management in a single platform. No evaluated competitor provides this combination.</w:t>
      </w:r>
    </w:p>
    <w:p w14:paraId="1C0E8DD0" w14:textId="77777777" w:rsidR="00F06132" w:rsidRDefault="00000000">
      <w:pPr>
        <w:spacing w:before="80" w:after="60"/>
      </w:pPr>
      <w:r>
        <w:t>4. D4 (Metadata-Driven DW) is the most widely unmet dimension. Three tools receive Not Supported; two receive only Partial. SUBOP's G5 metadata-driven warehouse module addresses a confirmed, unmet capability gap across the entire evaluated market.</w:t>
      </w:r>
    </w:p>
    <w:p w14:paraId="75631929" w14:textId="77777777" w:rsidR="00F06132" w:rsidRDefault="00000000">
      <w:pPr>
        <w:spacing w:before="80" w:after="60"/>
      </w:pPr>
      <w:r>
        <w:t xml:space="preserve">5. D7 (Open-Source) is confirmed as viable at the enterprise level. Apache </w:t>
      </w:r>
      <w:proofErr w:type="spellStart"/>
      <w:r>
        <w:t>NiFi</w:t>
      </w:r>
      <w:proofErr w:type="spellEnd"/>
      <w:r>
        <w:t xml:space="preserve"> and </w:t>
      </w:r>
      <w:proofErr w:type="spellStart"/>
      <w:r>
        <w:t>dbt</w:t>
      </w:r>
      <w:proofErr w:type="spellEnd"/>
      <w:r>
        <w:t xml:space="preserve"> demonstrate that open-source architectures can achieve production-grade data platform capabilities. SUBOP's open-source positioning is validated by their success and aligns SUBOP's cost accessibility with the </w:t>
      </w:r>
      <w:proofErr w:type="spellStart"/>
      <w:r>
        <w:t>organisations</w:t>
      </w:r>
      <w:proofErr w:type="spellEnd"/>
      <w:r>
        <w:t xml:space="preserve"> it targets — those priced out of Talend ($50,000–$200,000+/year) and Informatica ($500,000+/year).</w:t>
      </w:r>
    </w:p>
    <w:p w14:paraId="75C9275D" w14:textId="77777777" w:rsidR="00F06132" w:rsidRDefault="00000000">
      <w:pPr>
        <w:spacing w:before="80" w:after="120"/>
      </w:pPr>
      <w:r>
        <w:t xml:space="preserve">6. No single competitor achieves Full across more than three dimensions. SUBOP's design target — Full across all seven — is not matched by any evaluated tool. The competitive gap is confirmed and well-documented. The research produced in Milestone 2 provides the evidence base for this </w:t>
      </w:r>
      <w:proofErr w:type="gramStart"/>
      <w:r>
        <w:t>positioning</w:t>
      </w:r>
      <w:proofErr w:type="gramEnd"/>
      <w:r>
        <w:t xml:space="preserve"> in all future advisor communications, investor discussions, and pilot </w:t>
      </w:r>
      <w:proofErr w:type="spellStart"/>
      <w:r>
        <w:t>organisation</w:t>
      </w:r>
      <w:proofErr w:type="spellEnd"/>
      <w:r>
        <w:t xml:space="preserve"> presentations.</w:t>
      </w:r>
    </w:p>
    <w:sectPr w:rsidR="00F06132">
      <w:footerReference w:type="default" r:id="rId7"/>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A398899" w14:textId="77777777" w:rsidR="00C27258" w:rsidRDefault="00C27258">
      <w:r>
        <w:separator/>
      </w:r>
    </w:p>
  </w:endnote>
  <w:endnote w:type="continuationSeparator" w:id="0">
    <w:p w14:paraId="4A0FCF65" w14:textId="77777777" w:rsidR="00C27258" w:rsidRDefault="00C2725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557FDE" w14:textId="77777777" w:rsidR="00F06132" w:rsidRDefault="00000000">
    <w:pPr>
      <w:jc w:val="right"/>
    </w:pPr>
    <w:r>
      <w:rPr>
        <w:color w:val="2E75B6"/>
        <w:sz w:val="16"/>
        <w:szCs w:val="16"/>
      </w:rPr>
      <w:t xml:space="preserve">Page </w:t>
    </w:r>
    <w:r>
      <w:rPr>
        <w:color w:val="2E75B6"/>
        <w:sz w:val="16"/>
        <w:szCs w:val="16"/>
      </w:rPr>
      <w:fldChar w:fldCharType="begin"/>
    </w:r>
    <w:r>
      <w:rPr>
        <w:color w:val="2E75B6"/>
        <w:sz w:val="16"/>
        <w:szCs w:val="16"/>
      </w:rPr>
      <w:instrText>PAGE</w:instrText>
    </w:r>
    <w:r>
      <w:rPr>
        <w:color w:val="2E75B6"/>
        <w:sz w:val="16"/>
        <w:szCs w:val="16"/>
      </w:rPr>
      <w:fldChar w:fldCharType="separate"/>
    </w:r>
    <w:r w:rsidR="001F1CD7">
      <w:rPr>
        <w:noProof/>
        <w:color w:val="2E75B6"/>
        <w:sz w:val="16"/>
        <w:szCs w:val="16"/>
      </w:rPr>
      <w:t>1</w:t>
    </w:r>
    <w:r>
      <w:rPr>
        <w:color w:val="2E75B6"/>
        <w:sz w:val="16"/>
        <w:szCs w:val="16"/>
      </w:rPr>
      <w:fldChar w:fldCharType="end"/>
    </w:r>
    <w:r>
      <w:rPr>
        <w:color w:val="2E75B6"/>
        <w:sz w:val="16"/>
        <w:szCs w:val="16"/>
      </w:rPr>
      <w:t xml:space="preserve"> of </w:t>
    </w:r>
    <w:r>
      <w:rPr>
        <w:color w:val="2E75B6"/>
        <w:sz w:val="16"/>
        <w:szCs w:val="16"/>
      </w:rPr>
      <w:fldChar w:fldCharType="begin"/>
    </w:r>
    <w:r>
      <w:rPr>
        <w:color w:val="2E75B6"/>
        <w:sz w:val="16"/>
        <w:szCs w:val="16"/>
      </w:rPr>
      <w:instrText>NUMPAGES</w:instrText>
    </w:r>
    <w:r>
      <w:rPr>
        <w:color w:val="2E75B6"/>
        <w:sz w:val="16"/>
        <w:szCs w:val="16"/>
      </w:rPr>
      <w:fldChar w:fldCharType="separate"/>
    </w:r>
    <w:r w:rsidR="001F1CD7">
      <w:rPr>
        <w:noProof/>
        <w:color w:val="2E75B6"/>
        <w:sz w:val="16"/>
        <w:szCs w:val="16"/>
      </w:rPr>
      <w:t>2</w:t>
    </w:r>
    <w:r>
      <w:rPr>
        <w:color w:val="2E75B6"/>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D892EA" w14:textId="77777777" w:rsidR="00C27258" w:rsidRDefault="00C27258">
      <w:r>
        <w:separator/>
      </w:r>
    </w:p>
  </w:footnote>
  <w:footnote w:type="continuationSeparator" w:id="0">
    <w:p w14:paraId="3CF7FC93" w14:textId="77777777" w:rsidR="00C27258" w:rsidRDefault="00C2725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8D82965"/>
    <w:multiLevelType w:val="hybridMultilevel"/>
    <w:tmpl w:val="A36601F6"/>
    <w:lvl w:ilvl="0" w:tplc="BAB68026">
      <w:start w:val="1"/>
      <w:numFmt w:val="bullet"/>
      <w:lvlText w:val="●"/>
      <w:lvlJc w:val="left"/>
      <w:pPr>
        <w:ind w:left="720" w:hanging="360"/>
      </w:pPr>
    </w:lvl>
    <w:lvl w:ilvl="1" w:tplc="AE34AAF2">
      <w:start w:val="1"/>
      <w:numFmt w:val="bullet"/>
      <w:lvlText w:val="○"/>
      <w:lvlJc w:val="left"/>
      <w:pPr>
        <w:ind w:left="1440" w:hanging="360"/>
      </w:pPr>
    </w:lvl>
    <w:lvl w:ilvl="2" w:tplc="9234672A">
      <w:start w:val="1"/>
      <w:numFmt w:val="bullet"/>
      <w:lvlText w:val="■"/>
      <w:lvlJc w:val="left"/>
      <w:pPr>
        <w:ind w:left="2160" w:hanging="360"/>
      </w:pPr>
    </w:lvl>
    <w:lvl w:ilvl="3" w:tplc="24AC3B08">
      <w:start w:val="1"/>
      <w:numFmt w:val="bullet"/>
      <w:lvlText w:val="●"/>
      <w:lvlJc w:val="left"/>
      <w:pPr>
        <w:ind w:left="2880" w:hanging="360"/>
      </w:pPr>
    </w:lvl>
    <w:lvl w:ilvl="4" w:tplc="160E5782">
      <w:start w:val="1"/>
      <w:numFmt w:val="bullet"/>
      <w:lvlText w:val="○"/>
      <w:lvlJc w:val="left"/>
      <w:pPr>
        <w:ind w:left="3600" w:hanging="360"/>
      </w:pPr>
    </w:lvl>
    <w:lvl w:ilvl="5" w:tplc="6B1457F8">
      <w:start w:val="1"/>
      <w:numFmt w:val="bullet"/>
      <w:lvlText w:val="■"/>
      <w:lvlJc w:val="left"/>
      <w:pPr>
        <w:ind w:left="4320" w:hanging="360"/>
      </w:pPr>
    </w:lvl>
    <w:lvl w:ilvl="6" w:tplc="57364906">
      <w:start w:val="1"/>
      <w:numFmt w:val="bullet"/>
      <w:lvlText w:val="●"/>
      <w:lvlJc w:val="left"/>
      <w:pPr>
        <w:ind w:left="5040" w:hanging="360"/>
      </w:pPr>
    </w:lvl>
    <w:lvl w:ilvl="7" w:tplc="F1B89F84">
      <w:start w:val="1"/>
      <w:numFmt w:val="bullet"/>
      <w:lvlText w:val="●"/>
      <w:lvlJc w:val="left"/>
      <w:pPr>
        <w:ind w:left="5760" w:hanging="360"/>
      </w:pPr>
    </w:lvl>
    <w:lvl w:ilvl="8" w:tplc="1FCC5A88">
      <w:start w:val="1"/>
      <w:numFmt w:val="bullet"/>
      <w:lvlText w:val="●"/>
      <w:lvlJc w:val="left"/>
      <w:pPr>
        <w:ind w:left="6480" w:hanging="360"/>
      </w:pPr>
    </w:lvl>
  </w:abstractNum>
  <w:num w:numId="1" w16cid:durableId="62700672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06132"/>
    <w:rsid w:val="001F1CD7"/>
    <w:rsid w:val="00C27258"/>
    <w:rsid w:val="00C51184"/>
    <w:rsid w:val="00F06132"/>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637A96"/>
  <w15:docId w15:val="{91FD227A-DB7F-4B6C-ADA9-BCDB89EA77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3A4A5A"/>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9</Pages>
  <Words>4609</Words>
  <Characters>26274</Characters>
  <Application>Microsoft Office Word</Application>
  <DocSecurity>0</DocSecurity>
  <Lines>218</Lines>
  <Paragraphs>61</Paragraphs>
  <ScaleCrop>false</ScaleCrop>
  <Company/>
  <LinksUpToDate>false</LinksUpToDate>
  <CharactersWithSpaces>30822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abdalla jeylani</cp:lastModifiedBy>
  <cp:revision>2</cp:revision>
  <dcterms:created xsi:type="dcterms:W3CDTF">2026-06-25T08:19:00Z</dcterms:created>
  <dcterms:modified xsi:type="dcterms:W3CDTF">2026-06-25T10:28:00Z</dcterms:modified>
</cp:coreProperties>
</file>