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D07" w14:paraId="2A2A4D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60" w:type="dxa"/>
              <w:left w:w="200" w:type="dxa"/>
              <w:bottom w:w="160" w:type="dxa"/>
              <w:right w:w="200" w:type="dxa"/>
            </w:tcMar>
          </w:tcPr>
          <w:p w14:paraId="119F5CFB" w14:textId="77777777" w:rsidR="00801D07" w:rsidRDefault="00000000">
            <w:pPr>
              <w:spacing w:after="40"/>
              <w:jc w:val="center"/>
            </w:pPr>
            <w:r>
              <w:rPr>
                <w:b/>
                <w:bCs/>
                <w:color w:val="FFFFFF"/>
                <w:sz w:val="36"/>
                <w:szCs w:val="36"/>
              </w:rPr>
              <w:t>SUBOP</w:t>
            </w:r>
          </w:p>
          <w:p w14:paraId="29BEC042" w14:textId="77777777" w:rsidR="00801D07" w:rsidRDefault="00000000">
            <w:pPr>
              <w:spacing w:after="40"/>
              <w:jc w:val="center"/>
            </w:pPr>
            <w:r>
              <w:rPr>
                <w:color w:val="BDD7EE"/>
              </w:rPr>
              <w:t>Software United Business Operation Platform</w:t>
            </w:r>
          </w:p>
          <w:p w14:paraId="15E26ADD" w14:textId="77777777" w:rsidR="00801D07" w:rsidRDefault="00000000">
            <w:pPr>
              <w:spacing w:before="40"/>
              <w:jc w:val="center"/>
            </w:pPr>
            <w:r>
              <w:rPr>
                <w:b/>
                <w:bCs/>
                <w:color w:val="D6E4F0"/>
                <w:sz w:val="28"/>
                <w:szCs w:val="28"/>
              </w:rPr>
              <w:t>Feasibility Report — Final</w:t>
            </w:r>
          </w:p>
        </w:tc>
      </w:tr>
    </w:tbl>
    <w:p w14:paraId="33E4FCA3" w14:textId="77777777" w:rsidR="00801D07" w:rsidRDefault="00801D07">
      <w:pPr>
        <w:spacing w:after="120"/>
      </w:pPr>
    </w:p>
    <w:p w14:paraId="38926373" w14:textId="77777777" w:rsidR="00801D07" w:rsidRDefault="00801D07">
      <w:pPr>
        <w:spacing w:after="120"/>
      </w:pPr>
    </w:p>
    <w:p w14:paraId="62FDFB15" w14:textId="77777777" w:rsidR="00801D07" w:rsidRDefault="00000000">
      <w:pPr>
        <w:pBdr>
          <w:bottom w:val="single" w:sz="6" w:space="2" w:color="2E75B6"/>
        </w:pBdr>
        <w:spacing w:before="200" w:after="100"/>
      </w:pPr>
      <w:r>
        <w:rPr>
          <w:b/>
          <w:bCs/>
          <w:color w:val="1F4E79"/>
          <w:sz w:val="26"/>
          <w:szCs w:val="26"/>
        </w:rPr>
        <w:t>1. Technical Feasibility Assessment</w:t>
      </w:r>
    </w:p>
    <w:p w14:paraId="44963955" w14:textId="77777777" w:rsidR="00801D07" w:rsidRDefault="00801D07">
      <w:pPr>
        <w:spacing w:after="60"/>
      </w:pPr>
    </w:p>
    <w:p w14:paraId="52225083" w14:textId="77777777" w:rsidR="00801D07" w:rsidRDefault="00000000">
      <w:pPr>
        <w:spacing w:before="80" w:after="100"/>
        <w:jc w:val="both"/>
      </w:pPr>
      <w:r>
        <w:t>This section assesses the technical feasibility of each of the nine SUBOP platform modules. Ratings are assigned on a four-level scale: HIGH (well-understood patterns, validated tooling, clear path to implementation), MEDIUM-HIGH (viable with manageable complexity and known tools), MEDIUM (achievable but requiring research and novel design work), and HIGH WITH RISK (technically viable but dependent on skill development or external factors). All ratings have been reviewed against the Week 6 competitor analysis conclusions and updated where competitor research confirms or adjusts confidence.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1883"/>
        <w:gridCol w:w="1294"/>
        <w:gridCol w:w="1121"/>
        <w:gridCol w:w="4710"/>
      </w:tblGrid>
      <w:tr w:rsidR="00801D07" w14:paraId="4A79F719" w14:textId="77777777">
        <w:tblPrEx>
          <w:tblCellMar>
            <w:top w:w="0" w:type="dxa"/>
            <w:bottom w:w="0" w:type="dxa"/>
          </w:tblCellMar>
        </w:tblPrEx>
        <w:trPr>
          <w:tblHeader/>
        </w:trPr>
        <w:tc>
          <w:tcPr>
            <w:tcW w:w="26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09779B3E" w14:textId="77777777" w:rsidR="00801D07" w:rsidRDefault="00000000">
            <w:r>
              <w:rPr>
                <w:b/>
                <w:bCs/>
                <w:color w:val="FFFFFF"/>
                <w:sz w:val="18"/>
                <w:szCs w:val="18"/>
              </w:rPr>
              <w:t>#</w:t>
            </w:r>
          </w:p>
        </w:tc>
        <w:tc>
          <w:tcPr>
            <w:tcW w:w="190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4C8B5158" w14:textId="77777777" w:rsidR="00801D07" w:rsidRDefault="00000000">
            <w:r>
              <w:rPr>
                <w:b/>
                <w:bCs/>
                <w:color w:val="FFFFFF"/>
                <w:sz w:val="18"/>
                <w:szCs w:val="18"/>
              </w:rPr>
              <w:t>Module</w:t>
            </w:r>
          </w:p>
        </w:tc>
        <w:tc>
          <w:tcPr>
            <w:tcW w:w="130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17BC832C" w14:textId="77777777" w:rsidR="00801D07" w:rsidRDefault="00000000">
            <w:pPr>
              <w:jc w:val="center"/>
            </w:pPr>
            <w:r>
              <w:rPr>
                <w:b/>
                <w:bCs/>
                <w:color w:val="FFFFFF"/>
                <w:sz w:val="18"/>
                <w:szCs w:val="18"/>
              </w:rPr>
              <w:t>Milestone</w:t>
            </w:r>
          </w:p>
        </w:tc>
        <w:tc>
          <w:tcPr>
            <w:tcW w:w="110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3600FF89" w14:textId="77777777" w:rsidR="00801D07" w:rsidRDefault="00000000">
            <w:pPr>
              <w:jc w:val="center"/>
            </w:pPr>
            <w:r>
              <w:rPr>
                <w:b/>
                <w:bCs/>
                <w:color w:val="FFFFFF"/>
                <w:sz w:val="18"/>
                <w:szCs w:val="18"/>
              </w:rPr>
              <w:t>Feasibility</w:t>
            </w:r>
          </w:p>
        </w:tc>
        <w:tc>
          <w:tcPr>
            <w:tcW w:w="480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5F57E85C" w14:textId="77777777" w:rsidR="00801D07" w:rsidRDefault="00000000">
            <w:pPr>
              <w:jc w:val="center"/>
            </w:pPr>
            <w:r>
              <w:rPr>
                <w:b/>
                <w:bCs/>
                <w:color w:val="FFFFFF"/>
                <w:sz w:val="18"/>
                <w:szCs w:val="18"/>
              </w:rPr>
              <w:t>Summary Rationale</w:t>
            </w:r>
          </w:p>
        </w:tc>
      </w:tr>
      <w:tr w:rsidR="00801D07" w14:paraId="157F0A32" w14:textId="77777777">
        <w:tblPrEx>
          <w:tblCellMar>
            <w:top w:w="0" w:type="dxa"/>
            <w:bottom w:w="0" w:type="dxa"/>
          </w:tblCellMar>
        </w:tblPrEx>
        <w:tc>
          <w:tcPr>
            <w:tcW w:w="26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vAlign w:val="center"/>
          </w:tcPr>
          <w:p w14:paraId="44096694" w14:textId="77777777" w:rsidR="00801D07" w:rsidRDefault="00000000">
            <w:pPr>
              <w:jc w:val="center"/>
            </w:pPr>
            <w:r>
              <w:rPr>
                <w:b/>
                <w:bCs/>
                <w:color w:val="1F4E79"/>
              </w:rPr>
              <w:t>1</w:t>
            </w:r>
          </w:p>
        </w:tc>
        <w:tc>
          <w:tcPr>
            <w:tcW w:w="19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37B11634" w14:textId="77777777" w:rsidR="00801D07" w:rsidRDefault="00000000">
            <w:r>
              <w:rPr>
                <w:b/>
                <w:bCs/>
                <w:color w:val="1F4E79"/>
                <w:sz w:val="18"/>
                <w:szCs w:val="18"/>
              </w:rPr>
              <w:t>Connector Framework</w:t>
            </w:r>
          </w:p>
        </w:tc>
        <w:tc>
          <w:tcPr>
            <w:tcW w:w="13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vAlign w:val="center"/>
          </w:tcPr>
          <w:p w14:paraId="1FADABF3" w14:textId="77777777" w:rsidR="00801D07" w:rsidRDefault="00000000">
            <w:pPr>
              <w:jc w:val="center"/>
            </w:pPr>
            <w:r>
              <w:rPr>
                <w:color w:val="2E75B6"/>
                <w:sz w:val="18"/>
                <w:szCs w:val="18"/>
              </w:rPr>
              <w:t>M4 / M6</w:t>
            </w:r>
          </w:p>
        </w:tc>
        <w:tc>
          <w:tcPr>
            <w:tcW w:w="1100" w:type="dxa"/>
            <w:tcBorders>
              <w:top w:val="single" w:sz="1" w:space="0" w:color="DDE4EE"/>
              <w:left w:val="single" w:sz="1" w:space="0" w:color="DDE4EE"/>
              <w:bottom w:val="single" w:sz="1" w:space="0" w:color="DDE4EE"/>
              <w:right w:val="single" w:sz="1" w:space="0" w:color="DDE4EE"/>
            </w:tcBorders>
            <w:shd w:val="clear" w:color="auto" w:fill="E8F5E9"/>
            <w:tcMar>
              <w:top w:w="80" w:type="dxa"/>
              <w:left w:w="120" w:type="dxa"/>
              <w:bottom w:w="80" w:type="dxa"/>
              <w:right w:w="120" w:type="dxa"/>
            </w:tcMar>
            <w:vAlign w:val="center"/>
          </w:tcPr>
          <w:p w14:paraId="64AA41B2" w14:textId="77777777" w:rsidR="00801D07" w:rsidRDefault="00000000">
            <w:pPr>
              <w:jc w:val="center"/>
            </w:pPr>
            <w:r>
              <w:rPr>
                <w:b/>
                <w:bCs/>
                <w:color w:val="1B5E20"/>
                <w:sz w:val="17"/>
                <w:szCs w:val="17"/>
              </w:rPr>
              <w:t>HIGH</w:t>
            </w:r>
          </w:p>
        </w:tc>
        <w:tc>
          <w:tcPr>
            <w:tcW w:w="48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72A7413F" w14:textId="77777777" w:rsidR="00801D07" w:rsidRDefault="00000000">
            <w:r>
              <w:rPr>
                <w:sz w:val="17"/>
                <w:szCs w:val="17"/>
              </w:rPr>
              <w:t xml:space="preserve">PostgreSQL and MySQL prototypes confirmed working with 5 passing </w:t>
            </w:r>
            <w:proofErr w:type="spellStart"/>
            <w:r>
              <w:rPr>
                <w:sz w:val="17"/>
                <w:szCs w:val="17"/>
              </w:rPr>
              <w:t>pytest</w:t>
            </w:r>
            <w:proofErr w:type="spellEnd"/>
            <w:r>
              <w:rPr>
                <w:sz w:val="17"/>
                <w:szCs w:val="17"/>
              </w:rPr>
              <w:t xml:space="preserve"> tests each. psycopg2, </w:t>
            </w:r>
            <w:proofErr w:type="spellStart"/>
            <w:r>
              <w:rPr>
                <w:sz w:val="17"/>
                <w:szCs w:val="17"/>
              </w:rPr>
              <w:t>PyMySQL</w:t>
            </w:r>
            <w:proofErr w:type="spellEnd"/>
            <w:r>
              <w:rPr>
                <w:sz w:val="17"/>
                <w:szCs w:val="17"/>
              </w:rPr>
              <w:t xml:space="preserve">, and </w:t>
            </w:r>
            <w:proofErr w:type="spellStart"/>
            <w:r>
              <w:rPr>
                <w:sz w:val="17"/>
                <w:szCs w:val="17"/>
              </w:rPr>
              <w:t>pyodbc</w:t>
            </w:r>
            <w:proofErr w:type="spellEnd"/>
            <w:r>
              <w:rPr>
                <w:sz w:val="17"/>
                <w:szCs w:val="17"/>
              </w:rPr>
              <w:t xml:space="preserve"> (MSSQL) drivers validated. Path to 8+ connectors is clear.</w:t>
            </w:r>
          </w:p>
        </w:tc>
      </w:tr>
      <w:tr w:rsidR="00801D07" w14:paraId="6ED05370" w14:textId="77777777">
        <w:tblPrEx>
          <w:tblCellMar>
            <w:top w:w="0" w:type="dxa"/>
            <w:bottom w:w="0" w:type="dxa"/>
          </w:tblCellMar>
        </w:tblPrEx>
        <w:tc>
          <w:tcPr>
            <w:tcW w:w="26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vAlign w:val="center"/>
          </w:tcPr>
          <w:p w14:paraId="45B6E0D4" w14:textId="77777777" w:rsidR="00801D07" w:rsidRDefault="00000000">
            <w:pPr>
              <w:jc w:val="center"/>
            </w:pPr>
            <w:r>
              <w:rPr>
                <w:b/>
                <w:bCs/>
                <w:color w:val="1F4E79"/>
              </w:rPr>
              <w:t>2</w:t>
            </w:r>
          </w:p>
        </w:tc>
        <w:tc>
          <w:tcPr>
            <w:tcW w:w="19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tcPr>
          <w:p w14:paraId="13DBF57E" w14:textId="77777777" w:rsidR="00801D07" w:rsidRDefault="00000000">
            <w:r>
              <w:rPr>
                <w:b/>
                <w:bCs/>
                <w:color w:val="1F4E79"/>
                <w:sz w:val="18"/>
                <w:szCs w:val="18"/>
              </w:rPr>
              <w:t>Database Abstraction Layer</w:t>
            </w:r>
          </w:p>
        </w:tc>
        <w:tc>
          <w:tcPr>
            <w:tcW w:w="13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vAlign w:val="center"/>
          </w:tcPr>
          <w:p w14:paraId="78659965" w14:textId="77777777" w:rsidR="00801D07" w:rsidRDefault="00000000">
            <w:pPr>
              <w:jc w:val="center"/>
            </w:pPr>
            <w:r>
              <w:rPr>
                <w:color w:val="2E75B6"/>
                <w:sz w:val="18"/>
                <w:szCs w:val="18"/>
              </w:rPr>
              <w:t>M4</w:t>
            </w:r>
          </w:p>
        </w:tc>
        <w:tc>
          <w:tcPr>
            <w:tcW w:w="1100" w:type="dxa"/>
            <w:tcBorders>
              <w:top w:val="single" w:sz="1" w:space="0" w:color="DDE4EE"/>
              <w:left w:val="single" w:sz="1" w:space="0" w:color="DDE4EE"/>
              <w:bottom w:val="single" w:sz="1" w:space="0" w:color="DDE4EE"/>
              <w:right w:val="single" w:sz="1" w:space="0" w:color="DDE4EE"/>
            </w:tcBorders>
            <w:shd w:val="clear" w:color="auto" w:fill="E3F2FD"/>
            <w:tcMar>
              <w:top w:w="80" w:type="dxa"/>
              <w:left w:w="120" w:type="dxa"/>
              <w:bottom w:w="80" w:type="dxa"/>
              <w:right w:w="120" w:type="dxa"/>
            </w:tcMar>
            <w:vAlign w:val="center"/>
          </w:tcPr>
          <w:p w14:paraId="6CBAA17D" w14:textId="77777777" w:rsidR="00801D07" w:rsidRDefault="00000000">
            <w:pPr>
              <w:jc w:val="center"/>
            </w:pPr>
            <w:r>
              <w:rPr>
                <w:b/>
                <w:bCs/>
                <w:color w:val="0D47A1"/>
                <w:sz w:val="17"/>
                <w:szCs w:val="17"/>
              </w:rPr>
              <w:t>MEDIUM-HIGH</w:t>
            </w:r>
          </w:p>
        </w:tc>
        <w:tc>
          <w:tcPr>
            <w:tcW w:w="48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tcPr>
          <w:p w14:paraId="4ED22488" w14:textId="77777777" w:rsidR="00801D07" w:rsidRDefault="00000000">
            <w:r>
              <w:rPr>
                <w:sz w:val="17"/>
                <w:szCs w:val="17"/>
              </w:rPr>
              <w:t xml:space="preserve">Adapter pattern recommended and confirmed viable by Omer's research. Key complexity is SQL dialect </w:t>
            </w:r>
            <w:proofErr w:type="spellStart"/>
            <w:r>
              <w:rPr>
                <w:sz w:val="17"/>
                <w:szCs w:val="17"/>
              </w:rPr>
              <w:t>normalisation</w:t>
            </w:r>
            <w:proofErr w:type="spellEnd"/>
            <w:r>
              <w:rPr>
                <w:sz w:val="17"/>
                <w:szCs w:val="17"/>
              </w:rPr>
              <w:t xml:space="preserve"> (TOP N / LIMIT, IDENTITY / SERIAL, date functions). No competitor fully solves this — no external template to follow.</w:t>
            </w:r>
          </w:p>
        </w:tc>
      </w:tr>
      <w:tr w:rsidR="00801D07" w14:paraId="1814ACCA" w14:textId="77777777">
        <w:tblPrEx>
          <w:tblCellMar>
            <w:top w:w="0" w:type="dxa"/>
            <w:bottom w:w="0" w:type="dxa"/>
          </w:tblCellMar>
        </w:tblPrEx>
        <w:tc>
          <w:tcPr>
            <w:tcW w:w="26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vAlign w:val="center"/>
          </w:tcPr>
          <w:p w14:paraId="491DEE51" w14:textId="77777777" w:rsidR="00801D07" w:rsidRDefault="00000000">
            <w:pPr>
              <w:jc w:val="center"/>
            </w:pPr>
            <w:r>
              <w:rPr>
                <w:b/>
                <w:bCs/>
                <w:color w:val="1F4E79"/>
              </w:rPr>
              <w:t>3</w:t>
            </w:r>
          </w:p>
        </w:tc>
        <w:tc>
          <w:tcPr>
            <w:tcW w:w="19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1C4C725E" w14:textId="77777777" w:rsidR="00801D07" w:rsidRDefault="00000000">
            <w:r>
              <w:rPr>
                <w:b/>
                <w:bCs/>
                <w:color w:val="1F4E79"/>
                <w:sz w:val="18"/>
                <w:szCs w:val="18"/>
              </w:rPr>
              <w:t>ETL Engine</w:t>
            </w:r>
          </w:p>
        </w:tc>
        <w:tc>
          <w:tcPr>
            <w:tcW w:w="13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vAlign w:val="center"/>
          </w:tcPr>
          <w:p w14:paraId="3BCC4AED" w14:textId="77777777" w:rsidR="00801D07" w:rsidRDefault="00000000">
            <w:pPr>
              <w:jc w:val="center"/>
            </w:pPr>
            <w:r>
              <w:rPr>
                <w:color w:val="2E75B6"/>
                <w:sz w:val="18"/>
                <w:szCs w:val="18"/>
              </w:rPr>
              <w:t>M5</w:t>
            </w:r>
          </w:p>
        </w:tc>
        <w:tc>
          <w:tcPr>
            <w:tcW w:w="1100" w:type="dxa"/>
            <w:tcBorders>
              <w:top w:val="single" w:sz="1" w:space="0" w:color="DDE4EE"/>
              <w:left w:val="single" w:sz="1" w:space="0" w:color="DDE4EE"/>
              <w:bottom w:val="single" w:sz="1" w:space="0" w:color="DDE4EE"/>
              <w:right w:val="single" w:sz="1" w:space="0" w:color="DDE4EE"/>
            </w:tcBorders>
            <w:shd w:val="clear" w:color="auto" w:fill="E8F5E9"/>
            <w:tcMar>
              <w:top w:w="80" w:type="dxa"/>
              <w:left w:w="120" w:type="dxa"/>
              <w:bottom w:w="80" w:type="dxa"/>
              <w:right w:w="120" w:type="dxa"/>
            </w:tcMar>
            <w:vAlign w:val="center"/>
          </w:tcPr>
          <w:p w14:paraId="27634A94" w14:textId="77777777" w:rsidR="00801D07" w:rsidRDefault="00000000">
            <w:pPr>
              <w:jc w:val="center"/>
            </w:pPr>
            <w:r>
              <w:rPr>
                <w:b/>
                <w:bCs/>
                <w:color w:val="1B5E20"/>
                <w:sz w:val="17"/>
                <w:szCs w:val="17"/>
              </w:rPr>
              <w:t>HIGH</w:t>
            </w:r>
          </w:p>
        </w:tc>
        <w:tc>
          <w:tcPr>
            <w:tcW w:w="48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2730D97F" w14:textId="77777777" w:rsidR="00801D07" w:rsidRDefault="00000000">
            <w:r>
              <w:rPr>
                <w:sz w:val="17"/>
                <w:szCs w:val="17"/>
              </w:rPr>
              <w:t>Python-based batch and incremental pipeline patterns are well-established. 1M rows in under 5 minutes is achievable with efficient pagination, parallel loading, and connection pooling.</w:t>
            </w:r>
          </w:p>
        </w:tc>
      </w:tr>
      <w:tr w:rsidR="00801D07" w14:paraId="42AC41DB" w14:textId="77777777">
        <w:tblPrEx>
          <w:tblCellMar>
            <w:top w:w="0" w:type="dxa"/>
            <w:bottom w:w="0" w:type="dxa"/>
          </w:tblCellMar>
        </w:tblPrEx>
        <w:tc>
          <w:tcPr>
            <w:tcW w:w="26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vAlign w:val="center"/>
          </w:tcPr>
          <w:p w14:paraId="6C357814" w14:textId="77777777" w:rsidR="00801D07" w:rsidRDefault="00000000">
            <w:pPr>
              <w:jc w:val="center"/>
            </w:pPr>
            <w:r>
              <w:rPr>
                <w:b/>
                <w:bCs/>
                <w:color w:val="1F4E79"/>
              </w:rPr>
              <w:t>4</w:t>
            </w:r>
          </w:p>
        </w:tc>
        <w:tc>
          <w:tcPr>
            <w:tcW w:w="19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tcPr>
          <w:p w14:paraId="5A4C8808" w14:textId="77777777" w:rsidR="00801D07" w:rsidRDefault="00000000">
            <w:r>
              <w:rPr>
                <w:b/>
                <w:bCs/>
                <w:color w:val="1F4E79"/>
                <w:sz w:val="18"/>
                <w:szCs w:val="18"/>
              </w:rPr>
              <w:t>CDC / Real-Time Streaming</w:t>
            </w:r>
          </w:p>
        </w:tc>
        <w:tc>
          <w:tcPr>
            <w:tcW w:w="13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vAlign w:val="center"/>
          </w:tcPr>
          <w:p w14:paraId="450B82FB" w14:textId="77777777" w:rsidR="00801D07" w:rsidRDefault="00000000">
            <w:pPr>
              <w:jc w:val="center"/>
            </w:pPr>
            <w:r>
              <w:rPr>
                <w:color w:val="2E75B6"/>
                <w:sz w:val="18"/>
                <w:szCs w:val="18"/>
              </w:rPr>
              <w:t>M7</w:t>
            </w:r>
          </w:p>
        </w:tc>
        <w:tc>
          <w:tcPr>
            <w:tcW w:w="110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65ACBC7C" w14:textId="77777777" w:rsidR="00801D07" w:rsidRDefault="00000000">
            <w:pPr>
              <w:jc w:val="center"/>
            </w:pPr>
            <w:r>
              <w:rPr>
                <w:b/>
                <w:bCs/>
                <w:color w:val="C55A11"/>
                <w:sz w:val="17"/>
                <w:szCs w:val="17"/>
              </w:rPr>
              <w:t>HIGH WITH RISK</w:t>
            </w:r>
          </w:p>
        </w:tc>
        <w:tc>
          <w:tcPr>
            <w:tcW w:w="48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tcPr>
          <w:p w14:paraId="2EC7D111" w14:textId="77777777" w:rsidR="00801D07" w:rsidRDefault="00000000">
            <w:proofErr w:type="spellStart"/>
            <w:r>
              <w:rPr>
                <w:sz w:val="17"/>
                <w:szCs w:val="17"/>
              </w:rPr>
              <w:t>Debezium</w:t>
            </w:r>
            <w:proofErr w:type="spellEnd"/>
            <w:r>
              <w:rPr>
                <w:sz w:val="17"/>
                <w:szCs w:val="17"/>
              </w:rPr>
              <w:t xml:space="preserve"> + Kafka confirmed by competitor analysis as the industry-standard open-source CDC architecture. Technical approach is validated. Primary risk: Omer's Kafka/</w:t>
            </w:r>
            <w:proofErr w:type="spellStart"/>
            <w:r>
              <w:rPr>
                <w:sz w:val="17"/>
                <w:szCs w:val="17"/>
              </w:rPr>
              <w:t>Debezium</w:t>
            </w:r>
            <w:proofErr w:type="spellEnd"/>
            <w:r>
              <w:rPr>
                <w:sz w:val="17"/>
                <w:szCs w:val="17"/>
              </w:rPr>
              <w:t xml:space="preserve"> skill gap. Structured study plan required before M6.</w:t>
            </w:r>
          </w:p>
        </w:tc>
      </w:tr>
      <w:tr w:rsidR="00801D07" w14:paraId="69A44001" w14:textId="77777777">
        <w:tblPrEx>
          <w:tblCellMar>
            <w:top w:w="0" w:type="dxa"/>
            <w:bottom w:w="0" w:type="dxa"/>
          </w:tblCellMar>
        </w:tblPrEx>
        <w:tc>
          <w:tcPr>
            <w:tcW w:w="26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vAlign w:val="center"/>
          </w:tcPr>
          <w:p w14:paraId="65674FBD" w14:textId="77777777" w:rsidR="00801D07" w:rsidRDefault="00000000">
            <w:pPr>
              <w:jc w:val="center"/>
            </w:pPr>
            <w:r>
              <w:rPr>
                <w:b/>
                <w:bCs/>
                <w:color w:val="1F4E79"/>
              </w:rPr>
              <w:t>5</w:t>
            </w:r>
          </w:p>
        </w:tc>
        <w:tc>
          <w:tcPr>
            <w:tcW w:w="19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476AF60D" w14:textId="77777777" w:rsidR="00801D07" w:rsidRDefault="00000000">
            <w:r>
              <w:rPr>
                <w:b/>
                <w:bCs/>
                <w:color w:val="1F4E79"/>
                <w:sz w:val="18"/>
                <w:szCs w:val="18"/>
              </w:rPr>
              <w:t>Metadata-Driven DW</w:t>
            </w:r>
          </w:p>
        </w:tc>
        <w:tc>
          <w:tcPr>
            <w:tcW w:w="13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vAlign w:val="center"/>
          </w:tcPr>
          <w:p w14:paraId="6D6E3C3E" w14:textId="77777777" w:rsidR="00801D07" w:rsidRDefault="00000000">
            <w:pPr>
              <w:jc w:val="center"/>
            </w:pPr>
            <w:r>
              <w:rPr>
                <w:color w:val="2E75B6"/>
                <w:sz w:val="18"/>
                <w:szCs w:val="18"/>
              </w:rPr>
              <w:t>M8</w:t>
            </w:r>
          </w:p>
        </w:tc>
        <w:tc>
          <w:tcPr>
            <w:tcW w:w="110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390A0977" w14:textId="77777777" w:rsidR="00801D07" w:rsidRDefault="00000000">
            <w:pPr>
              <w:jc w:val="center"/>
            </w:pPr>
            <w:r>
              <w:rPr>
                <w:b/>
                <w:bCs/>
                <w:color w:val="7B4D00"/>
                <w:sz w:val="17"/>
                <w:szCs w:val="17"/>
              </w:rPr>
              <w:t>MEDIUM</w:t>
            </w:r>
          </w:p>
        </w:tc>
        <w:tc>
          <w:tcPr>
            <w:tcW w:w="48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5119E648" w14:textId="77777777" w:rsidR="00801D07" w:rsidRDefault="00000000">
            <w:r>
              <w:rPr>
                <w:sz w:val="17"/>
                <w:szCs w:val="17"/>
              </w:rPr>
              <w:t xml:space="preserve">No competitor fully implements this dimension. Novel design work required — no external implementation benchmark available. </w:t>
            </w:r>
            <w:proofErr w:type="spellStart"/>
            <w:r>
              <w:rPr>
                <w:sz w:val="17"/>
                <w:szCs w:val="17"/>
              </w:rPr>
              <w:t>dbt</w:t>
            </w:r>
            <w:proofErr w:type="spellEnd"/>
            <w:r>
              <w:rPr>
                <w:sz w:val="17"/>
                <w:szCs w:val="17"/>
              </w:rPr>
              <w:t xml:space="preserve"> snapshot pattern and SCD logic confirm partial viability. Most complex Phase 3 research challenge.</w:t>
            </w:r>
          </w:p>
        </w:tc>
      </w:tr>
      <w:tr w:rsidR="00801D07" w14:paraId="7B1E771A" w14:textId="77777777">
        <w:tblPrEx>
          <w:tblCellMar>
            <w:top w:w="0" w:type="dxa"/>
            <w:bottom w:w="0" w:type="dxa"/>
          </w:tblCellMar>
        </w:tblPrEx>
        <w:tc>
          <w:tcPr>
            <w:tcW w:w="26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vAlign w:val="center"/>
          </w:tcPr>
          <w:p w14:paraId="5D385D20" w14:textId="77777777" w:rsidR="00801D07" w:rsidRDefault="00000000">
            <w:pPr>
              <w:jc w:val="center"/>
            </w:pPr>
            <w:r>
              <w:rPr>
                <w:b/>
                <w:bCs/>
                <w:color w:val="1F4E79"/>
              </w:rPr>
              <w:t>6</w:t>
            </w:r>
          </w:p>
        </w:tc>
        <w:tc>
          <w:tcPr>
            <w:tcW w:w="19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tcPr>
          <w:p w14:paraId="56596AA4" w14:textId="77777777" w:rsidR="00801D07" w:rsidRDefault="00000000">
            <w:r>
              <w:rPr>
                <w:b/>
                <w:bCs/>
                <w:color w:val="1F4E79"/>
                <w:sz w:val="18"/>
                <w:szCs w:val="18"/>
              </w:rPr>
              <w:t>BI Dashboard &amp; OLAP Layer</w:t>
            </w:r>
          </w:p>
        </w:tc>
        <w:tc>
          <w:tcPr>
            <w:tcW w:w="13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vAlign w:val="center"/>
          </w:tcPr>
          <w:p w14:paraId="3F5D0380" w14:textId="77777777" w:rsidR="00801D07" w:rsidRDefault="00000000">
            <w:pPr>
              <w:jc w:val="center"/>
            </w:pPr>
            <w:r>
              <w:rPr>
                <w:color w:val="2E75B6"/>
                <w:sz w:val="18"/>
                <w:szCs w:val="18"/>
              </w:rPr>
              <w:t>M9</w:t>
            </w:r>
          </w:p>
        </w:tc>
        <w:tc>
          <w:tcPr>
            <w:tcW w:w="1100" w:type="dxa"/>
            <w:tcBorders>
              <w:top w:val="single" w:sz="1" w:space="0" w:color="DDE4EE"/>
              <w:left w:val="single" w:sz="1" w:space="0" w:color="DDE4EE"/>
              <w:bottom w:val="single" w:sz="1" w:space="0" w:color="DDE4EE"/>
              <w:right w:val="single" w:sz="1" w:space="0" w:color="DDE4EE"/>
            </w:tcBorders>
            <w:shd w:val="clear" w:color="auto" w:fill="E8F5E9"/>
            <w:tcMar>
              <w:top w:w="80" w:type="dxa"/>
              <w:left w:w="120" w:type="dxa"/>
              <w:bottom w:w="80" w:type="dxa"/>
              <w:right w:w="120" w:type="dxa"/>
            </w:tcMar>
            <w:vAlign w:val="center"/>
          </w:tcPr>
          <w:p w14:paraId="6E5C0AE2" w14:textId="77777777" w:rsidR="00801D07" w:rsidRDefault="00000000">
            <w:pPr>
              <w:jc w:val="center"/>
            </w:pPr>
            <w:r>
              <w:rPr>
                <w:b/>
                <w:bCs/>
                <w:color w:val="1B5E20"/>
                <w:sz w:val="17"/>
                <w:szCs w:val="17"/>
              </w:rPr>
              <w:t>HIGH</w:t>
            </w:r>
          </w:p>
        </w:tc>
        <w:tc>
          <w:tcPr>
            <w:tcW w:w="48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tcPr>
          <w:p w14:paraId="5C1A6195" w14:textId="77777777" w:rsidR="00801D07" w:rsidRDefault="00000000">
            <w:r>
              <w:rPr>
                <w:sz w:val="17"/>
                <w:szCs w:val="17"/>
              </w:rPr>
              <w:t xml:space="preserve">React + Tailwind CSS confirmed. Beyza's Design System v1 provides component foundation. Chart.js and Apache </w:t>
            </w:r>
            <w:proofErr w:type="spellStart"/>
            <w:r>
              <w:rPr>
                <w:sz w:val="17"/>
                <w:szCs w:val="17"/>
              </w:rPr>
              <w:t>ECharts</w:t>
            </w:r>
            <w:proofErr w:type="spellEnd"/>
            <w:r>
              <w:rPr>
                <w:sz w:val="17"/>
                <w:szCs w:val="17"/>
              </w:rPr>
              <w:t xml:space="preserve"> confirmed for charting. Power BI sets the self-service benchmark (D3 competitor research). Achievable feature subset targeted for M9.</w:t>
            </w:r>
          </w:p>
        </w:tc>
      </w:tr>
      <w:tr w:rsidR="00801D07" w14:paraId="7EAE937C" w14:textId="77777777">
        <w:tblPrEx>
          <w:tblCellMar>
            <w:top w:w="0" w:type="dxa"/>
            <w:bottom w:w="0" w:type="dxa"/>
          </w:tblCellMar>
        </w:tblPrEx>
        <w:tc>
          <w:tcPr>
            <w:tcW w:w="26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vAlign w:val="center"/>
          </w:tcPr>
          <w:p w14:paraId="5ACC28D0" w14:textId="77777777" w:rsidR="00801D07" w:rsidRDefault="00000000">
            <w:pPr>
              <w:jc w:val="center"/>
            </w:pPr>
            <w:r>
              <w:rPr>
                <w:b/>
                <w:bCs/>
                <w:color w:val="1F4E79"/>
              </w:rPr>
              <w:t>7</w:t>
            </w:r>
          </w:p>
        </w:tc>
        <w:tc>
          <w:tcPr>
            <w:tcW w:w="19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6546A3E1" w14:textId="77777777" w:rsidR="00801D07" w:rsidRDefault="00000000">
            <w:r>
              <w:rPr>
                <w:b/>
                <w:bCs/>
                <w:color w:val="1F4E79"/>
                <w:sz w:val="18"/>
                <w:szCs w:val="18"/>
              </w:rPr>
              <w:t>Data Quality &amp; Profiling</w:t>
            </w:r>
          </w:p>
        </w:tc>
        <w:tc>
          <w:tcPr>
            <w:tcW w:w="13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vAlign w:val="center"/>
          </w:tcPr>
          <w:p w14:paraId="6209D34A" w14:textId="77777777" w:rsidR="00801D07" w:rsidRDefault="00000000">
            <w:pPr>
              <w:jc w:val="center"/>
            </w:pPr>
            <w:r>
              <w:rPr>
                <w:color w:val="2E75B6"/>
                <w:sz w:val="18"/>
                <w:szCs w:val="18"/>
              </w:rPr>
              <w:t>M10</w:t>
            </w:r>
          </w:p>
        </w:tc>
        <w:tc>
          <w:tcPr>
            <w:tcW w:w="1100" w:type="dxa"/>
            <w:tcBorders>
              <w:top w:val="single" w:sz="1" w:space="0" w:color="DDE4EE"/>
              <w:left w:val="single" w:sz="1" w:space="0" w:color="DDE4EE"/>
              <w:bottom w:val="single" w:sz="1" w:space="0" w:color="DDE4EE"/>
              <w:right w:val="single" w:sz="1" w:space="0" w:color="DDE4EE"/>
            </w:tcBorders>
            <w:shd w:val="clear" w:color="auto" w:fill="E8F5E9"/>
            <w:tcMar>
              <w:top w:w="80" w:type="dxa"/>
              <w:left w:w="120" w:type="dxa"/>
              <w:bottom w:w="80" w:type="dxa"/>
              <w:right w:w="120" w:type="dxa"/>
            </w:tcMar>
            <w:vAlign w:val="center"/>
          </w:tcPr>
          <w:p w14:paraId="2DFBB4F2" w14:textId="77777777" w:rsidR="00801D07" w:rsidRDefault="00000000">
            <w:pPr>
              <w:jc w:val="center"/>
            </w:pPr>
            <w:r>
              <w:rPr>
                <w:b/>
                <w:bCs/>
                <w:color w:val="1B5E20"/>
                <w:sz w:val="17"/>
                <w:szCs w:val="17"/>
              </w:rPr>
              <w:t>HIGH</w:t>
            </w:r>
          </w:p>
        </w:tc>
        <w:tc>
          <w:tcPr>
            <w:tcW w:w="48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2C597371" w14:textId="77777777" w:rsidR="00801D07" w:rsidRDefault="00000000">
            <w:r>
              <w:rPr>
                <w:sz w:val="17"/>
                <w:szCs w:val="17"/>
              </w:rPr>
              <w:t xml:space="preserve">Rule engine patterns (null, unique, format, range, anomaly) are well-understood. Talend Data Quality and </w:t>
            </w:r>
            <w:proofErr w:type="spellStart"/>
            <w:r>
              <w:rPr>
                <w:sz w:val="17"/>
                <w:szCs w:val="17"/>
              </w:rPr>
              <w:t>dbt</w:t>
            </w:r>
            <w:proofErr w:type="spellEnd"/>
            <w:r>
              <w:rPr>
                <w:sz w:val="17"/>
                <w:szCs w:val="17"/>
              </w:rPr>
              <w:t xml:space="preserve"> test framework both confirm automated rule-based quality checking is viable. scikit-learn for ML anomaly prototype.</w:t>
            </w:r>
          </w:p>
        </w:tc>
      </w:tr>
      <w:tr w:rsidR="00801D07" w14:paraId="72620BA9" w14:textId="77777777">
        <w:tblPrEx>
          <w:tblCellMar>
            <w:top w:w="0" w:type="dxa"/>
            <w:bottom w:w="0" w:type="dxa"/>
          </w:tblCellMar>
        </w:tblPrEx>
        <w:tc>
          <w:tcPr>
            <w:tcW w:w="26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vAlign w:val="center"/>
          </w:tcPr>
          <w:p w14:paraId="0A5CE94C" w14:textId="77777777" w:rsidR="00801D07" w:rsidRDefault="00000000">
            <w:pPr>
              <w:jc w:val="center"/>
            </w:pPr>
            <w:r>
              <w:rPr>
                <w:b/>
                <w:bCs/>
                <w:color w:val="1F4E79"/>
              </w:rPr>
              <w:t>8</w:t>
            </w:r>
          </w:p>
        </w:tc>
        <w:tc>
          <w:tcPr>
            <w:tcW w:w="19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tcPr>
          <w:p w14:paraId="296EB5CB" w14:textId="77777777" w:rsidR="00801D07" w:rsidRDefault="00000000">
            <w:r>
              <w:rPr>
                <w:b/>
                <w:bCs/>
                <w:color w:val="1F4E79"/>
                <w:sz w:val="18"/>
                <w:szCs w:val="18"/>
              </w:rPr>
              <w:t>Data Lineage &amp; Catalog</w:t>
            </w:r>
          </w:p>
        </w:tc>
        <w:tc>
          <w:tcPr>
            <w:tcW w:w="13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vAlign w:val="center"/>
          </w:tcPr>
          <w:p w14:paraId="1740F488" w14:textId="77777777" w:rsidR="00801D07" w:rsidRDefault="00000000">
            <w:pPr>
              <w:jc w:val="center"/>
            </w:pPr>
            <w:r>
              <w:rPr>
                <w:color w:val="2E75B6"/>
                <w:sz w:val="18"/>
                <w:szCs w:val="18"/>
              </w:rPr>
              <w:t>M10</w:t>
            </w:r>
          </w:p>
        </w:tc>
        <w:tc>
          <w:tcPr>
            <w:tcW w:w="110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31F1B955" w14:textId="77777777" w:rsidR="00801D07" w:rsidRDefault="00000000">
            <w:pPr>
              <w:jc w:val="center"/>
            </w:pPr>
            <w:r>
              <w:rPr>
                <w:b/>
                <w:bCs/>
                <w:color w:val="7B4D00"/>
                <w:sz w:val="17"/>
                <w:szCs w:val="17"/>
              </w:rPr>
              <w:t>MEDIUM</w:t>
            </w:r>
          </w:p>
        </w:tc>
        <w:tc>
          <w:tcPr>
            <w:tcW w:w="48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tcPr>
          <w:p w14:paraId="215FC700" w14:textId="77777777" w:rsidR="00801D07" w:rsidRDefault="00000000">
            <w:proofErr w:type="spellStart"/>
            <w:r>
              <w:rPr>
                <w:sz w:val="17"/>
                <w:szCs w:val="17"/>
              </w:rPr>
              <w:t>NiFi's</w:t>
            </w:r>
            <w:proofErr w:type="spellEnd"/>
            <w:r>
              <w:rPr>
                <w:sz w:val="17"/>
                <w:szCs w:val="17"/>
              </w:rPr>
              <w:t xml:space="preserve"> Provenance and </w:t>
            </w:r>
            <w:proofErr w:type="spellStart"/>
            <w:r>
              <w:rPr>
                <w:sz w:val="17"/>
                <w:szCs w:val="17"/>
              </w:rPr>
              <w:t>dbt's</w:t>
            </w:r>
            <w:proofErr w:type="spellEnd"/>
            <w:r>
              <w:rPr>
                <w:sz w:val="17"/>
                <w:szCs w:val="17"/>
              </w:rPr>
              <w:t xml:space="preserve"> column-level lineage confirm graph-based lineage is achievable. Key technical challenge: DAG renderer (D3.js or vis-network). Beyza's Lineage Explorer wireframe defines the UI target.</w:t>
            </w:r>
          </w:p>
        </w:tc>
      </w:tr>
      <w:tr w:rsidR="00801D07" w14:paraId="0F0FCC16" w14:textId="77777777">
        <w:tblPrEx>
          <w:tblCellMar>
            <w:top w:w="0" w:type="dxa"/>
            <w:bottom w:w="0" w:type="dxa"/>
          </w:tblCellMar>
        </w:tblPrEx>
        <w:tc>
          <w:tcPr>
            <w:tcW w:w="26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vAlign w:val="center"/>
          </w:tcPr>
          <w:p w14:paraId="3666493B" w14:textId="77777777" w:rsidR="00801D07" w:rsidRDefault="00000000">
            <w:pPr>
              <w:jc w:val="center"/>
            </w:pPr>
            <w:r>
              <w:rPr>
                <w:b/>
                <w:bCs/>
                <w:color w:val="1F4E79"/>
              </w:rPr>
              <w:t>9</w:t>
            </w:r>
          </w:p>
        </w:tc>
        <w:tc>
          <w:tcPr>
            <w:tcW w:w="19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0D143993" w14:textId="77777777" w:rsidR="00801D07" w:rsidRDefault="00000000">
            <w:r>
              <w:rPr>
                <w:b/>
                <w:bCs/>
                <w:color w:val="1F4E79"/>
                <w:sz w:val="18"/>
                <w:szCs w:val="18"/>
              </w:rPr>
              <w:t>Security &amp; Compliance</w:t>
            </w:r>
          </w:p>
        </w:tc>
        <w:tc>
          <w:tcPr>
            <w:tcW w:w="13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vAlign w:val="center"/>
          </w:tcPr>
          <w:p w14:paraId="5BF16769" w14:textId="77777777" w:rsidR="00801D07" w:rsidRDefault="00000000">
            <w:pPr>
              <w:jc w:val="center"/>
            </w:pPr>
            <w:r>
              <w:rPr>
                <w:color w:val="2E75B6"/>
                <w:sz w:val="18"/>
                <w:szCs w:val="18"/>
              </w:rPr>
              <w:t>M11</w:t>
            </w:r>
          </w:p>
        </w:tc>
        <w:tc>
          <w:tcPr>
            <w:tcW w:w="1100" w:type="dxa"/>
            <w:tcBorders>
              <w:top w:val="single" w:sz="1" w:space="0" w:color="DDE4EE"/>
              <w:left w:val="single" w:sz="1" w:space="0" w:color="DDE4EE"/>
              <w:bottom w:val="single" w:sz="1" w:space="0" w:color="DDE4EE"/>
              <w:right w:val="single" w:sz="1" w:space="0" w:color="DDE4EE"/>
            </w:tcBorders>
            <w:shd w:val="clear" w:color="auto" w:fill="E3F2FD"/>
            <w:tcMar>
              <w:top w:w="80" w:type="dxa"/>
              <w:left w:w="120" w:type="dxa"/>
              <w:bottom w:w="80" w:type="dxa"/>
              <w:right w:w="120" w:type="dxa"/>
            </w:tcMar>
            <w:vAlign w:val="center"/>
          </w:tcPr>
          <w:p w14:paraId="57190B06" w14:textId="77777777" w:rsidR="00801D07" w:rsidRDefault="00000000">
            <w:pPr>
              <w:jc w:val="center"/>
            </w:pPr>
            <w:r>
              <w:rPr>
                <w:b/>
                <w:bCs/>
                <w:color w:val="0D47A1"/>
                <w:sz w:val="17"/>
                <w:szCs w:val="17"/>
              </w:rPr>
              <w:t>MEDIUM-HIGH</w:t>
            </w:r>
          </w:p>
        </w:tc>
        <w:tc>
          <w:tcPr>
            <w:tcW w:w="48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76C8C3E3" w14:textId="77777777" w:rsidR="00801D07" w:rsidRDefault="00000000">
            <w:r>
              <w:rPr>
                <w:sz w:val="17"/>
                <w:szCs w:val="17"/>
              </w:rPr>
              <w:t xml:space="preserve">RBAC and JWT patterns are well-understood for </w:t>
            </w:r>
            <w:proofErr w:type="spellStart"/>
            <w:r>
              <w:rPr>
                <w:sz w:val="17"/>
                <w:szCs w:val="17"/>
              </w:rPr>
              <w:t>FastAPI</w:t>
            </w:r>
            <w:proofErr w:type="spellEnd"/>
            <w:r>
              <w:rPr>
                <w:sz w:val="17"/>
                <w:szCs w:val="17"/>
              </w:rPr>
              <w:t xml:space="preserve">. Column masking implementation is standard. KVKK </w:t>
            </w:r>
            <w:r>
              <w:rPr>
                <w:sz w:val="17"/>
                <w:szCs w:val="17"/>
              </w:rPr>
              <w:lastRenderedPageBreak/>
              <w:t>compliance documentation is the primary research challenge — M2 Week 6 compliance checklist provides the required input. Informatica sets the coverage benchmark.</w:t>
            </w:r>
          </w:p>
        </w:tc>
      </w:tr>
    </w:tbl>
    <w:p w14:paraId="6C151BC4" w14:textId="77777777" w:rsidR="00801D07" w:rsidRDefault="00801D0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801D07" w14:paraId="412B857F" w14:textId="77777777">
        <w:tblPrEx>
          <w:tblCellMar>
            <w:top w:w="0" w:type="dxa"/>
            <w:bottom w:w="0" w:type="dxa"/>
          </w:tblCellMar>
        </w:tblPrEx>
        <w:tc>
          <w:tcPr>
            <w:tcW w:w="1500" w:type="dxa"/>
            <w:tcBorders>
              <w:top w:val="single" w:sz="1" w:space="0" w:color="DDE4EE"/>
              <w:left w:val="single" w:sz="1" w:space="0" w:color="DDE4EE"/>
              <w:bottom w:val="single" w:sz="1" w:space="0" w:color="DDE4EE"/>
              <w:right w:val="single" w:sz="1" w:space="0" w:color="DDE4EE"/>
            </w:tcBorders>
            <w:shd w:val="clear" w:color="auto" w:fill="E8F5E9"/>
            <w:tcMar>
              <w:top w:w="80" w:type="dxa"/>
              <w:left w:w="120" w:type="dxa"/>
              <w:bottom w:w="80" w:type="dxa"/>
              <w:right w:w="120" w:type="dxa"/>
            </w:tcMar>
            <w:vAlign w:val="center"/>
          </w:tcPr>
          <w:p w14:paraId="00D71BC1" w14:textId="77777777" w:rsidR="00801D07" w:rsidRDefault="00000000">
            <w:pPr>
              <w:jc w:val="center"/>
            </w:pPr>
            <w:r>
              <w:rPr>
                <w:b/>
                <w:bCs/>
                <w:color w:val="1B5E20"/>
                <w:sz w:val="17"/>
                <w:szCs w:val="17"/>
              </w:rPr>
              <w:t>HIGH</w:t>
            </w:r>
          </w:p>
        </w:tc>
        <w:tc>
          <w:tcPr>
            <w:tcW w:w="786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57505DCE" w14:textId="77777777" w:rsidR="00801D07" w:rsidRDefault="00000000">
            <w:r>
              <w:rPr>
                <w:sz w:val="17"/>
                <w:szCs w:val="17"/>
              </w:rPr>
              <w:t>Well-understood patterns; tooling validated; clear path to implementation.</w:t>
            </w:r>
          </w:p>
        </w:tc>
      </w:tr>
      <w:tr w:rsidR="00801D07" w14:paraId="27362F98" w14:textId="77777777">
        <w:tblPrEx>
          <w:tblCellMar>
            <w:top w:w="0" w:type="dxa"/>
            <w:bottom w:w="0" w:type="dxa"/>
          </w:tblCellMar>
        </w:tblPrEx>
        <w:tc>
          <w:tcPr>
            <w:tcW w:w="1500" w:type="dxa"/>
            <w:tcBorders>
              <w:top w:val="single" w:sz="1" w:space="0" w:color="DDE4EE"/>
              <w:left w:val="single" w:sz="1" w:space="0" w:color="DDE4EE"/>
              <w:bottom w:val="single" w:sz="1" w:space="0" w:color="DDE4EE"/>
              <w:right w:val="single" w:sz="1" w:space="0" w:color="DDE4EE"/>
            </w:tcBorders>
            <w:shd w:val="clear" w:color="auto" w:fill="E3F2FD"/>
            <w:tcMar>
              <w:top w:w="80" w:type="dxa"/>
              <w:left w:w="120" w:type="dxa"/>
              <w:bottom w:w="80" w:type="dxa"/>
              <w:right w:w="120" w:type="dxa"/>
            </w:tcMar>
            <w:vAlign w:val="center"/>
          </w:tcPr>
          <w:p w14:paraId="3DAD4063" w14:textId="77777777" w:rsidR="00801D07" w:rsidRDefault="00000000">
            <w:pPr>
              <w:jc w:val="center"/>
            </w:pPr>
            <w:r>
              <w:rPr>
                <w:b/>
                <w:bCs/>
                <w:color w:val="0D47A1"/>
                <w:sz w:val="17"/>
                <w:szCs w:val="17"/>
              </w:rPr>
              <w:t>MEDIUM-HIGH</w:t>
            </w:r>
          </w:p>
        </w:tc>
        <w:tc>
          <w:tcPr>
            <w:tcW w:w="786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3A8BFB58" w14:textId="77777777" w:rsidR="00801D07" w:rsidRDefault="00000000">
            <w:r>
              <w:rPr>
                <w:sz w:val="17"/>
                <w:szCs w:val="17"/>
              </w:rPr>
              <w:t>Viable with manageable complexity; tooling confirmed; design decisions pending.</w:t>
            </w:r>
          </w:p>
        </w:tc>
      </w:tr>
      <w:tr w:rsidR="00801D07" w14:paraId="679086B3" w14:textId="77777777">
        <w:tblPrEx>
          <w:tblCellMar>
            <w:top w:w="0" w:type="dxa"/>
            <w:bottom w:w="0" w:type="dxa"/>
          </w:tblCellMar>
        </w:tblPrEx>
        <w:tc>
          <w:tcPr>
            <w:tcW w:w="150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64CC9EC7" w14:textId="77777777" w:rsidR="00801D07" w:rsidRDefault="00000000">
            <w:pPr>
              <w:jc w:val="center"/>
            </w:pPr>
            <w:r>
              <w:rPr>
                <w:b/>
                <w:bCs/>
                <w:color w:val="7B4D00"/>
                <w:sz w:val="17"/>
                <w:szCs w:val="17"/>
              </w:rPr>
              <w:t>MEDIUM</w:t>
            </w:r>
          </w:p>
        </w:tc>
        <w:tc>
          <w:tcPr>
            <w:tcW w:w="786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18F419DA" w14:textId="77777777" w:rsidR="00801D07" w:rsidRDefault="00000000">
            <w:r>
              <w:rPr>
                <w:sz w:val="17"/>
                <w:szCs w:val="17"/>
              </w:rPr>
              <w:t>Achievable but requires research and novel design work; no direct competitor template.</w:t>
            </w:r>
          </w:p>
        </w:tc>
      </w:tr>
      <w:tr w:rsidR="00801D07" w14:paraId="62D97176" w14:textId="77777777">
        <w:tblPrEx>
          <w:tblCellMar>
            <w:top w:w="0" w:type="dxa"/>
            <w:bottom w:w="0" w:type="dxa"/>
          </w:tblCellMar>
        </w:tblPrEx>
        <w:tc>
          <w:tcPr>
            <w:tcW w:w="150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2E8C7E4F" w14:textId="77777777" w:rsidR="00801D07" w:rsidRDefault="00000000">
            <w:pPr>
              <w:jc w:val="center"/>
            </w:pPr>
            <w:r>
              <w:rPr>
                <w:b/>
                <w:bCs/>
                <w:color w:val="C55A11"/>
                <w:sz w:val="17"/>
                <w:szCs w:val="17"/>
              </w:rPr>
              <w:t>HIGH WITH RISK</w:t>
            </w:r>
          </w:p>
        </w:tc>
        <w:tc>
          <w:tcPr>
            <w:tcW w:w="7860" w:type="dxa"/>
            <w:tcBorders>
              <w:top w:val="single" w:sz="1" w:space="0" w:color="DDE4EE"/>
              <w:left w:val="single" w:sz="1" w:space="0" w:color="DDE4EE"/>
              <w:bottom w:val="single" w:sz="1" w:space="0" w:color="DDE4EE"/>
              <w:right w:val="single" w:sz="1" w:space="0" w:color="DDE4EE"/>
            </w:tcBorders>
            <w:tcMar>
              <w:top w:w="80" w:type="dxa"/>
              <w:left w:w="120" w:type="dxa"/>
              <w:bottom w:w="80" w:type="dxa"/>
              <w:right w:w="120" w:type="dxa"/>
            </w:tcMar>
          </w:tcPr>
          <w:p w14:paraId="5ED66B26" w14:textId="77777777" w:rsidR="00801D07" w:rsidRDefault="00000000">
            <w:r>
              <w:rPr>
                <w:sz w:val="17"/>
                <w:szCs w:val="17"/>
              </w:rPr>
              <w:t>Technically viable; primary risk is a skill gap or external dependency that must be resolved by a defined deadline.</w:t>
            </w:r>
          </w:p>
        </w:tc>
      </w:tr>
    </w:tbl>
    <w:p w14:paraId="4AE2A1D8" w14:textId="77777777" w:rsidR="00801D07" w:rsidRDefault="00801D07">
      <w:pPr>
        <w:spacing w:after="120"/>
      </w:pPr>
    </w:p>
    <w:p w14:paraId="7367BD79" w14:textId="77777777" w:rsidR="00801D07" w:rsidRDefault="00000000">
      <w:pPr>
        <w:spacing w:before="160" w:after="60"/>
      </w:pPr>
      <w:r>
        <w:rPr>
          <w:b/>
          <w:bCs/>
          <w:color w:val="2E75B6"/>
          <w:sz w:val="22"/>
          <w:szCs w:val="22"/>
        </w:rPr>
        <w:t>1.1 Module-by-Module Analysis</w:t>
      </w:r>
    </w:p>
    <w:p w14:paraId="6DDCBB46" w14:textId="77777777" w:rsidR="00801D07" w:rsidRDefault="00000000">
      <w:pPr>
        <w:spacing w:before="120" w:after="40"/>
      </w:pPr>
      <w:r>
        <w:rPr>
          <w:b/>
          <w:bCs/>
          <w:color w:val="1F4E79"/>
        </w:rPr>
        <w:t>Module 1 — Connector Framework (M4 / M6)</w:t>
      </w:r>
    </w:p>
    <w:p w14:paraId="4809510F" w14:textId="77777777" w:rsidR="00801D07" w:rsidRDefault="00000000">
      <w:pPr>
        <w:spacing w:before="80" w:after="80"/>
        <w:jc w:val="both"/>
      </w:pPr>
      <w:r>
        <w:t xml:space="preserve">Feasibility is HIGH. The PostgreSQL and MySQL connector prototypes produced in Weeks 5 and 6 have confirmed that the </w:t>
      </w:r>
      <w:proofErr w:type="spellStart"/>
      <w:r>
        <w:t>ConnectionConfig</w:t>
      </w:r>
      <w:proofErr w:type="spellEnd"/>
      <w:r>
        <w:t xml:space="preserve"> / connect / </w:t>
      </w:r>
      <w:proofErr w:type="spellStart"/>
      <w:r>
        <w:t>execute_query</w:t>
      </w:r>
      <w:proofErr w:type="spellEnd"/>
      <w:r>
        <w:t xml:space="preserve"> / </w:t>
      </w:r>
      <w:proofErr w:type="spellStart"/>
      <w:r>
        <w:t>execute_write</w:t>
      </w:r>
      <w:proofErr w:type="spellEnd"/>
      <w:r>
        <w:t xml:space="preserve"> / </w:t>
      </w:r>
      <w:proofErr w:type="spellStart"/>
      <w:r>
        <w:t>health_check</w:t>
      </w:r>
      <w:proofErr w:type="spellEnd"/>
      <w:r>
        <w:t xml:space="preserve"> interface is sound and extensible. Both connectors have 5 passing </w:t>
      </w:r>
      <w:proofErr w:type="spellStart"/>
      <w:r>
        <w:t>pytest</w:t>
      </w:r>
      <w:proofErr w:type="spellEnd"/>
      <w:r>
        <w:t xml:space="preserve"> tests each, running from the same test suite without conflict. The MSSQL connector research notes from Omer (M2W7T7) confirm </w:t>
      </w:r>
      <w:proofErr w:type="spellStart"/>
      <w:r>
        <w:t>pyodbc</w:t>
      </w:r>
      <w:proofErr w:type="spellEnd"/>
      <w:r>
        <w:t xml:space="preserve"> + </w:t>
      </w:r>
      <w:proofErr w:type="spellStart"/>
      <w:r>
        <w:t>unixODBC</w:t>
      </w:r>
      <w:proofErr w:type="spellEnd"/>
      <w:r>
        <w:t xml:space="preserve"> is the correct driver path. The competitor analysis confirms connector breadth: Talend has 1,000+ connectors, </w:t>
      </w:r>
      <w:proofErr w:type="spellStart"/>
      <w:r>
        <w:t>NiFi</w:t>
      </w:r>
      <w:proofErr w:type="spellEnd"/>
      <w:r>
        <w:t xml:space="preserve"> has 300+ processors — both confirm that building 8+ connectors for M4 and M6 is a realistic and well-precedented target. The primary risk is not technical but </w:t>
      </w:r>
      <w:proofErr w:type="spellStart"/>
      <w:r>
        <w:t>organisational</w:t>
      </w:r>
      <w:proofErr w:type="spellEnd"/>
      <w:r>
        <w:t>: Omer's 20% workload means connector development must be paced carefully across M4 and M6.</w:t>
      </w:r>
    </w:p>
    <w:p w14:paraId="28778431" w14:textId="77777777" w:rsidR="00801D07" w:rsidRDefault="00000000">
      <w:pPr>
        <w:spacing w:before="120" w:after="40"/>
      </w:pPr>
      <w:r>
        <w:rPr>
          <w:b/>
          <w:bCs/>
          <w:color w:val="1F4E79"/>
        </w:rPr>
        <w:t>Module 2 — Database Abstraction Layer (M4)</w:t>
      </w:r>
    </w:p>
    <w:p w14:paraId="0C171A2E" w14:textId="77777777" w:rsidR="00801D07" w:rsidRDefault="00000000">
      <w:pPr>
        <w:spacing w:before="80" w:after="60"/>
        <w:jc w:val="both"/>
      </w:pPr>
      <w:r>
        <w:t xml:space="preserve">Feasibility is MEDIUM-HIGH. Omer's database abstraction layer research recommends the Adapter pattern as the implementation approach, ruling out </w:t>
      </w:r>
      <w:proofErr w:type="spellStart"/>
      <w:r>
        <w:t>SQLAlchemy</w:t>
      </w:r>
      <w:proofErr w:type="spellEnd"/>
      <w:r>
        <w:t xml:space="preserve"> ORM and a custom DSL. The rationale is sound: </w:t>
      </w:r>
      <w:proofErr w:type="spellStart"/>
      <w:r>
        <w:t>SQLAlchemy</w:t>
      </w:r>
      <w:proofErr w:type="spellEnd"/>
      <w:r>
        <w:t xml:space="preserve"> introduces its own abstraction overhead and query translation complexity that could interfere with SUBOP's goal of zero code change across database engines; a custom DSL is too ambitious given the team's experience level and the 12-month project timeline. The Adapter pattern provides a clean, well-understood interface (</w:t>
      </w:r>
      <w:proofErr w:type="spellStart"/>
      <w:r>
        <w:t>ConnectorBase</w:t>
      </w:r>
      <w:proofErr w:type="spellEnd"/>
      <w:r>
        <w:t xml:space="preserve"> abstract class with concrete </w:t>
      </w:r>
      <w:proofErr w:type="spellStart"/>
      <w:r>
        <w:t>PostgreSQLConnector</w:t>
      </w:r>
      <w:proofErr w:type="spellEnd"/>
      <w:r>
        <w:t xml:space="preserve">, </w:t>
      </w:r>
      <w:proofErr w:type="spellStart"/>
      <w:r>
        <w:t>MySQLConnector</w:t>
      </w:r>
      <w:proofErr w:type="spellEnd"/>
      <w:r>
        <w:t xml:space="preserve">, </w:t>
      </w:r>
      <w:proofErr w:type="spellStart"/>
      <w:r>
        <w:t>MSSQLConnector</w:t>
      </w:r>
      <w:proofErr w:type="spellEnd"/>
      <w:r>
        <w:t xml:space="preserve"> implementations) without over-engineering.</w:t>
      </w:r>
    </w:p>
    <w:p w14:paraId="6D540A09" w14:textId="77777777" w:rsidR="00801D07" w:rsidRDefault="00000000">
      <w:pPr>
        <w:spacing w:before="80" w:after="80"/>
        <w:jc w:val="both"/>
      </w:pPr>
      <w:r>
        <w:t xml:space="preserve">The primary complexity is SQL dialect </w:t>
      </w:r>
      <w:proofErr w:type="spellStart"/>
      <w:r>
        <w:t>normalisation</w:t>
      </w:r>
      <w:proofErr w:type="spellEnd"/>
      <w:r>
        <w:t xml:space="preserve"> across Oracle, PostgreSQL, MySQL, and MSSQL — specifically: TOP N vs. LIMIT N for row limiting, IDENTITY vs. SERIAL/SEQUENCE for auto-increment, NVARCHAR(MAX) vs. TEXT for Unicode strings, and date/time function variants. These differences must be mapped and handled in the abstraction layer's </w:t>
      </w:r>
      <w:proofErr w:type="spellStart"/>
      <w:r>
        <w:t>execute_query</w:t>
      </w:r>
      <w:proofErr w:type="spellEnd"/>
      <w:r>
        <w:t>() implementation. The competitor analysis confirms this dimension is genuinely unsolved in the market: all five tools receive only Partial on D1. This validates the implementation approach rather than providing a template — SUBOP must design this capability from first principles, which is the source of the MEDIUM-HIGH (rather than HIGH) rating.</w:t>
      </w:r>
    </w:p>
    <w:p w14:paraId="4C11E55E" w14:textId="77777777" w:rsidR="00801D07" w:rsidRDefault="00000000">
      <w:pPr>
        <w:spacing w:before="120" w:after="40"/>
      </w:pPr>
      <w:r>
        <w:rPr>
          <w:b/>
          <w:bCs/>
          <w:color w:val="1F4E79"/>
        </w:rPr>
        <w:t>Module 3 — ETL Engine (M5)</w:t>
      </w:r>
    </w:p>
    <w:p w14:paraId="659928C7" w14:textId="77777777" w:rsidR="00801D07" w:rsidRDefault="00000000">
      <w:pPr>
        <w:spacing w:before="80" w:after="80"/>
        <w:jc w:val="both"/>
      </w:pPr>
      <w:r>
        <w:t>Feasibility is HIGH. Python-based batch and incremental ETL pipeline patterns are mature and well-documented. The 1M rows in under 5 minutes performance target is achievable with efficient pagination (configurable fetch size), connection pooling (</w:t>
      </w:r>
      <w:proofErr w:type="spellStart"/>
      <w:r>
        <w:t>SQLAlchemy</w:t>
      </w:r>
      <w:proofErr w:type="spellEnd"/>
      <w:r>
        <w:t xml:space="preserve"> or psycopg2 pool), and parallel loading where the target warehouse supports concurrent writes. The ETL engine architecture — Pipeline DSL defining source connector, transformation steps, and target connector — is a standard design pattern that does not require novel research. The primary implementation decisions (synchronous vs. asynchronous execution, pipeline state persistence, error and retry logic) will be resolved in the M3 architecture document.</w:t>
      </w:r>
    </w:p>
    <w:p w14:paraId="3FBE4E22" w14:textId="77777777" w:rsidR="00801D07" w:rsidRDefault="00000000">
      <w:pPr>
        <w:spacing w:before="120" w:after="40"/>
      </w:pPr>
      <w:r>
        <w:rPr>
          <w:b/>
          <w:bCs/>
          <w:color w:val="1F4E79"/>
        </w:rPr>
        <w:t>Module 4 — CDC / Real-Time Streaming (M7)</w:t>
      </w:r>
    </w:p>
    <w:p w14:paraId="02C84127" w14:textId="77777777" w:rsidR="00801D07" w:rsidRDefault="00000000">
      <w:pPr>
        <w:spacing w:before="80" w:after="60"/>
        <w:jc w:val="both"/>
      </w:pPr>
      <w:r>
        <w:t xml:space="preserve">Feasibility is HIGH WITH RISK. The technical approach is confirmed: </w:t>
      </w:r>
      <w:proofErr w:type="spellStart"/>
      <w:r>
        <w:t>Debezium</w:t>
      </w:r>
      <w:proofErr w:type="spellEnd"/>
      <w:r>
        <w:t xml:space="preserve"> reads PostgreSQL WAL and MySQL </w:t>
      </w:r>
      <w:proofErr w:type="spellStart"/>
      <w:r>
        <w:t>binlog</w:t>
      </w:r>
      <w:proofErr w:type="spellEnd"/>
      <w:r>
        <w:t xml:space="preserve"> and publishes change events to Kafka topics; the SUBOP CDC module consumes those topics and delivers events to the warehouse with sub-30-second end-to-end latency. The competitor analysis provides important validation here: </w:t>
      </w:r>
      <w:proofErr w:type="spellStart"/>
      <w:r>
        <w:t>NiFi's</w:t>
      </w:r>
      <w:proofErr w:type="spellEnd"/>
      <w:r>
        <w:t xml:space="preserve"> own research notes confirm that </w:t>
      </w:r>
      <w:proofErr w:type="spellStart"/>
      <w:r>
        <w:t>Debezium</w:t>
      </w:r>
      <w:proofErr w:type="spellEnd"/>
      <w:r>
        <w:t xml:space="preserve"> + Kafka is the recommended external CDC architecture for databases beyond MySQL, meaning SUBOP's M7 design follows the same pattern that the open-source community has already converged on. Informatica's </w:t>
      </w:r>
      <w:proofErr w:type="spellStart"/>
      <w:r>
        <w:t>PowerExchange</w:t>
      </w:r>
      <w:proofErr w:type="spellEnd"/>
      <w:r>
        <w:t xml:space="preserve"> CDC (rated Full on D2) uses log-</w:t>
      </w:r>
      <w:r>
        <w:lastRenderedPageBreak/>
        <w:t xml:space="preserve">based reading of the same transaction logs (PostgreSQL WAL, MySQL </w:t>
      </w:r>
      <w:proofErr w:type="spellStart"/>
      <w:r>
        <w:t>binlog</w:t>
      </w:r>
      <w:proofErr w:type="spellEnd"/>
      <w:r>
        <w:t>) — confirming the end-to-end latency target is achievable.</w:t>
      </w:r>
    </w:p>
    <w:p w14:paraId="57781DA1" w14:textId="77777777" w:rsidR="00801D07" w:rsidRDefault="00000000">
      <w:pPr>
        <w:spacing w:before="80" w:after="80"/>
        <w:jc w:val="both"/>
      </w:pPr>
      <w:r>
        <w:t>The risk is Omer's Kafka/</w:t>
      </w:r>
      <w:proofErr w:type="spellStart"/>
      <w:r>
        <w:t>Debezium</w:t>
      </w:r>
      <w:proofErr w:type="spellEnd"/>
      <w:r>
        <w:t xml:space="preserve"> knowledge gap. Kafka distributed system concepts (producers, consumers, topic partitions, consumer groups, offset management) and </w:t>
      </w:r>
      <w:proofErr w:type="spellStart"/>
      <w:r>
        <w:t>Debezium</w:t>
      </w:r>
      <w:proofErr w:type="spellEnd"/>
      <w:r>
        <w:t xml:space="preserve"> connector configuration (snapshot mode, offset storage, schema registry) are significantly more complex than the database connector work completed in M2. The 4-6 week structured study plan beginning M3 Week 8 must be implemented and tracked. This is the highest-risk module in the project and is designated a HIGH RISK milestone (M7) in the roadmap risk register.</w:t>
      </w:r>
    </w:p>
    <w:p w14:paraId="361586A1" w14:textId="77777777" w:rsidR="00801D07" w:rsidRDefault="00000000">
      <w:pPr>
        <w:spacing w:before="120" w:after="40"/>
      </w:pPr>
      <w:r>
        <w:rPr>
          <w:b/>
          <w:bCs/>
          <w:color w:val="1F4E79"/>
        </w:rPr>
        <w:t>Module 5 — Metadata-Driven Data Warehouse (M8)</w:t>
      </w:r>
    </w:p>
    <w:p w14:paraId="72DA907F" w14:textId="77777777" w:rsidR="00801D07" w:rsidRDefault="00000000">
      <w:pPr>
        <w:spacing w:before="80" w:after="60"/>
        <w:jc w:val="both"/>
      </w:pPr>
      <w:r>
        <w:t xml:space="preserve">Feasibility is MEDIUM. This is the most novel and least externally precedented module in the SUBOP platform. The competitor analysis confirms it is unmet at the Full level by every evaluated tool — which validates SUBOP's differentiation but also means there is no external implementation to study. </w:t>
      </w:r>
      <w:proofErr w:type="spellStart"/>
      <w:r>
        <w:t>dbt's</w:t>
      </w:r>
      <w:proofErr w:type="spellEnd"/>
      <w:r>
        <w:t xml:space="preserve"> SCD Type 2 snapshot pattern confirms that implementing slowly changing dimension logic without manual SQL is achievable; </w:t>
      </w:r>
      <w:proofErr w:type="spellStart"/>
      <w:r>
        <w:t>dbt's</w:t>
      </w:r>
      <w:proofErr w:type="spellEnd"/>
      <w:r>
        <w:t xml:space="preserve"> approach (tracking </w:t>
      </w:r>
      <w:proofErr w:type="spellStart"/>
      <w:r>
        <w:t>check_cols</w:t>
      </w:r>
      <w:proofErr w:type="spellEnd"/>
      <w:r>
        <w:t xml:space="preserve"> or timestamp strategies) provides a reference for the SCD implementation. The core challenge unique to SUBOP is the metadata-to-schema generation step: reading source table metadata definitions and deriving the appropriate fact table, dimension tables, foreign key relationships, and SCD handling — a step no competitor performs automatically.</w:t>
      </w:r>
    </w:p>
    <w:p w14:paraId="45E65950" w14:textId="77777777" w:rsidR="00801D07" w:rsidRDefault="00000000">
      <w:pPr>
        <w:spacing w:before="80" w:after="80"/>
        <w:jc w:val="both"/>
      </w:pPr>
      <w:r>
        <w:t>The M3 architecture document must resolve the metadata schema representation: how source tables are described (JSON schema definitions? annotated SQL CREATE statements? YAML metadata files?), how dimension vs. fact classification is determined, and how schema versioning is managed when source tables change. These are design decisions, not research questions — they can be resolved before M8 begins. The 4-week scope of M8 reflects this complexity.</w:t>
      </w:r>
    </w:p>
    <w:p w14:paraId="30FD3199" w14:textId="77777777" w:rsidR="00801D07" w:rsidRDefault="00000000">
      <w:pPr>
        <w:spacing w:before="120" w:after="40"/>
      </w:pPr>
      <w:r>
        <w:rPr>
          <w:b/>
          <w:bCs/>
          <w:color w:val="1F4E79"/>
        </w:rPr>
        <w:t>Module 6 — BI Dashboard &amp; OLAP Layer (M9)</w:t>
      </w:r>
    </w:p>
    <w:p w14:paraId="7C6484C2" w14:textId="77777777" w:rsidR="00801D07" w:rsidRDefault="00000000">
      <w:pPr>
        <w:spacing w:before="80" w:after="80"/>
        <w:jc w:val="both"/>
      </w:pPr>
      <w:r>
        <w:t xml:space="preserve">Feasibility is HIGH. React + Tailwind CSS is confirmed as the frontend tech stack. Beyza's Design System v1 provides the complete visual foundation: </w:t>
      </w:r>
      <w:proofErr w:type="spellStart"/>
      <w:r>
        <w:t>colour</w:t>
      </w:r>
      <w:proofErr w:type="spellEnd"/>
      <w:r>
        <w:t xml:space="preserve"> system, typography, spacing, and 18+ component specifications. Chart.js and Apache </w:t>
      </w:r>
      <w:proofErr w:type="spellStart"/>
      <w:r>
        <w:t>ECharts</w:t>
      </w:r>
      <w:proofErr w:type="spellEnd"/>
      <w:r>
        <w:t xml:space="preserve"> are confirmed charting libraries, eliminating the need to build a chart rendering engine from scratch. The shell-first build strategy — building page navigation and layout during M5-M8 so M9 becomes data wiring rather than UI creation — is the single most important time-saving architectural decision for Phase 3. The Power BI competitor analysis sets the self-service benchmark (D3 Full): SUBOP's M9 targets a functional subset of Power BI's capabilities (drag-and-drop chart creation, basic chart types, filter and drill-down) with the key differentiator being its integration into a single platform with ETL, CDC, and warehouse management.</w:t>
      </w:r>
    </w:p>
    <w:p w14:paraId="3745FFF0" w14:textId="77777777" w:rsidR="00801D07" w:rsidRDefault="00000000">
      <w:pPr>
        <w:spacing w:before="120" w:after="40"/>
      </w:pPr>
      <w:r>
        <w:rPr>
          <w:b/>
          <w:bCs/>
          <w:color w:val="1F4E79"/>
        </w:rPr>
        <w:t>Modules 7 and 8 — Data Quality, Lineage &amp; Catalog (M10)</w:t>
      </w:r>
    </w:p>
    <w:p w14:paraId="13785E9A" w14:textId="77777777" w:rsidR="00801D07" w:rsidRDefault="00000000">
      <w:pPr>
        <w:spacing w:before="80" w:after="80"/>
        <w:jc w:val="both"/>
      </w:pPr>
      <w:r>
        <w:t xml:space="preserve">Data Quality feasibility is HIGH. Automated rule-based quality checking (null, duplicate, format, range) is a well-understood pattern. The Talend Data Quality module and </w:t>
      </w:r>
      <w:proofErr w:type="spellStart"/>
      <w:r>
        <w:t>dbt</w:t>
      </w:r>
      <w:proofErr w:type="spellEnd"/>
      <w:r>
        <w:t xml:space="preserve"> test framework both confirm viability. The quality score per dataset and anomaly flagging are achievable with Python (pandas for rule execution, scikit-learn Isolation Forest for the ML prototype). Lineage and Catalog feasibility is MEDIUM due to the graph rendering complexity of the Lineage Explorer DAG. D3.js and vis-network are confirmed as viable rendering libraries; Beyza's Lineage Explorer wireframe defines the required UI output. The catalog component is a standard searchable inventory — achievable with a PostgreSQL full-text search backend.</w:t>
      </w:r>
    </w:p>
    <w:p w14:paraId="0BD1E735" w14:textId="77777777" w:rsidR="00801D07" w:rsidRDefault="00000000">
      <w:pPr>
        <w:spacing w:before="120" w:after="40"/>
      </w:pPr>
      <w:r>
        <w:rPr>
          <w:b/>
          <w:bCs/>
          <w:color w:val="1F4E79"/>
        </w:rPr>
        <w:t>Module 9 — Security &amp; Compliance / RBAC (M11)</w:t>
      </w:r>
    </w:p>
    <w:p w14:paraId="0E9F84A5" w14:textId="77777777" w:rsidR="00801D07" w:rsidRDefault="00000000">
      <w:pPr>
        <w:spacing w:before="80" w:after="80"/>
        <w:jc w:val="both"/>
      </w:pPr>
      <w:r>
        <w:t xml:space="preserve">Feasibility is MEDIUM-HIGH. Role-based access control with JWT and </w:t>
      </w:r>
      <w:proofErr w:type="spellStart"/>
      <w:r>
        <w:t>FastAPI</w:t>
      </w:r>
      <w:proofErr w:type="spellEnd"/>
      <w:r>
        <w:t xml:space="preserve"> is a well-understood pattern with extensive documentation and open-source reference implementations. Column-level masking can be implemented as a middleware layer in the data access API. Audit logging for all user and system actions is a standard database write operation. The primary research challenge is KVKK compliance documentation — specifically: mapping each KVKK article to a SUBOP module or process, documenting data subject rights handling (access, deletion, portability), and validating that VERBİS registration requirements are met. The M2 Week 6 KVKK/GDPR compliance research provides the 8-10 item checklist as the direct input to M11 specification. Informatica's D6 Full rating sets the coverage benchmark.</w:t>
      </w:r>
    </w:p>
    <w:p w14:paraId="18B05DC0" w14:textId="77777777" w:rsidR="00801D07" w:rsidRDefault="00000000">
      <w:r>
        <w:br w:type="page"/>
      </w:r>
    </w:p>
    <w:p w14:paraId="41093DE1" w14:textId="77777777" w:rsidR="00801D07" w:rsidRDefault="00000000">
      <w:pPr>
        <w:pBdr>
          <w:bottom w:val="single" w:sz="6" w:space="2" w:color="2E75B6"/>
        </w:pBdr>
        <w:spacing w:before="200" w:after="100"/>
      </w:pPr>
      <w:r>
        <w:rPr>
          <w:b/>
          <w:bCs/>
          <w:color w:val="1F4E79"/>
          <w:sz w:val="26"/>
          <w:szCs w:val="26"/>
        </w:rPr>
        <w:lastRenderedPageBreak/>
        <w:t>2. Resource Feasibility Assessment</w:t>
      </w:r>
    </w:p>
    <w:p w14:paraId="1A97C43F" w14:textId="77777777" w:rsidR="00801D07" w:rsidRDefault="00801D07">
      <w:pPr>
        <w:spacing w:after="60"/>
      </w:pPr>
    </w:p>
    <w:p w14:paraId="4B5060C1" w14:textId="77777777" w:rsidR="00801D07" w:rsidRDefault="00000000">
      <w:pPr>
        <w:spacing w:before="160" w:after="60"/>
      </w:pPr>
      <w:r>
        <w:rPr>
          <w:b/>
          <w:bCs/>
          <w:color w:val="2E75B6"/>
          <w:sz w:val="22"/>
          <w:szCs w:val="22"/>
        </w:rPr>
        <w:t>2.1 Team Capacity</w:t>
      </w:r>
    </w:p>
    <w:p w14:paraId="659CAAF8" w14:textId="77777777" w:rsidR="00801D07" w:rsidRDefault="00000000">
      <w:pPr>
        <w:spacing w:before="80" w:after="60"/>
        <w:jc w:val="both"/>
      </w:pPr>
      <w:r>
        <w:t>The SUBOP team comprises three members with deliberately differentiated workload allocations reflecting both role responsibilities and experience levels. Abdullah (project lead) and Beyza (BI/UI-UX lead) are each allocated at 40% workload — equivalent to approximately 16-20 hours per week on SUBOP work alongside academic commitments. Omer (backend/infrastructure) is intentionally capped at 20% workload — approximately 8-10 hours per week — reflecting his first-year status and the need to protect academic performance while building technical capability progressively.</w:t>
      </w:r>
    </w:p>
    <w:p w14:paraId="4657EAA6" w14:textId="77777777" w:rsidR="00801D07" w:rsidRDefault="00000000">
      <w:pPr>
        <w:spacing w:before="80" w:after="80"/>
        <w:jc w:val="both"/>
      </w:pPr>
      <w:r>
        <w:t>This allocation is sustainable for the 12-month project duration but creates scheduling constraints. Omer's 20% workload is the primary throughput bottleneck for connector development (M4, M6) and CDC implementation (M7) — the three most technically intensive backend milestones. The workload cap is a deliberate decision that protects Omer's academic standing; the mitigation is building adequate buffer time into M4, M6, and M7 scope and front-loading Omer's skill development during M3.</w:t>
      </w:r>
    </w:p>
    <w:p w14:paraId="35D1B421" w14:textId="77777777" w:rsidR="00801D07" w:rsidRDefault="00000000">
      <w:pPr>
        <w:spacing w:before="160" w:after="60"/>
      </w:pPr>
      <w:r>
        <w:rPr>
          <w:b/>
          <w:bCs/>
          <w:color w:val="2E75B6"/>
          <w:sz w:val="22"/>
          <w:szCs w:val="22"/>
        </w:rPr>
        <w:t>2.2 Abstraction Layer Implementation Approach — Omer's Recommendation</w:t>
      </w:r>
    </w:p>
    <w:p w14:paraId="48F816F3" w14:textId="77777777" w:rsidR="00801D07" w:rsidRDefault="00000000">
      <w:pPr>
        <w:spacing w:before="80" w:after="60"/>
        <w:jc w:val="both"/>
      </w:pPr>
      <w:r>
        <w:t>Omer's database abstraction layer research evaluated three design approaches for the Module 2 abstraction layer:</w:t>
      </w:r>
    </w:p>
    <w:p w14:paraId="7095549F" w14:textId="77777777" w:rsidR="00801D07" w:rsidRDefault="00000000">
      <w:pPr>
        <w:spacing w:before="80" w:after="60"/>
        <w:jc w:val="both"/>
      </w:pPr>
      <w:r>
        <w:rPr>
          <w:b/>
          <w:bCs/>
          <w:color w:val="1B5E20"/>
        </w:rPr>
        <w:t xml:space="preserve">Option A — Adapter Pattern (RECOMMENDED): </w:t>
      </w:r>
      <w:r>
        <w:t xml:space="preserve">Define a </w:t>
      </w:r>
      <w:proofErr w:type="spellStart"/>
      <w:r>
        <w:t>ConnectorBase</w:t>
      </w:r>
      <w:proofErr w:type="spellEnd"/>
      <w:r>
        <w:t xml:space="preserve"> abstract class specifying the interface: connect(), disconnect(), </w:t>
      </w:r>
      <w:proofErr w:type="spellStart"/>
      <w:r>
        <w:t>execute_query</w:t>
      </w:r>
      <w:proofErr w:type="spellEnd"/>
      <w:r>
        <w:t xml:space="preserve">(), </w:t>
      </w:r>
      <w:proofErr w:type="spellStart"/>
      <w:r>
        <w:t>execute_write</w:t>
      </w:r>
      <w:proofErr w:type="spellEnd"/>
      <w:r>
        <w:t xml:space="preserve">(), </w:t>
      </w:r>
      <w:proofErr w:type="spellStart"/>
      <w:r>
        <w:t>health_check</w:t>
      </w:r>
      <w:proofErr w:type="spellEnd"/>
      <w:r>
        <w:t xml:space="preserve">(). Each database engine (PostgreSQL, MySQL, MSSQL, Oracle) implements this interface as a concrete Adapter class. The ETL engine always works through the </w:t>
      </w:r>
      <w:proofErr w:type="spellStart"/>
      <w:r>
        <w:t>ConnectorBase</w:t>
      </w:r>
      <w:proofErr w:type="spellEnd"/>
      <w:r>
        <w:t xml:space="preserve"> interface and never calls database-specific code directly. SQL dialect differences are handled inside each Adapter's </w:t>
      </w:r>
      <w:proofErr w:type="spellStart"/>
      <w:r>
        <w:t>execute_query</w:t>
      </w:r>
      <w:proofErr w:type="spellEnd"/>
      <w:r>
        <w:t>() method. This is the implementation pattern already demonstrated in the PostgreSQL and MySQL connector prototypes.</w:t>
      </w:r>
    </w:p>
    <w:p w14:paraId="2BDC4AA1" w14:textId="77777777" w:rsidR="00801D07" w:rsidRDefault="00000000">
      <w:pPr>
        <w:spacing w:before="80" w:after="60"/>
        <w:jc w:val="both"/>
      </w:pPr>
      <w:r>
        <w:rPr>
          <w:b/>
          <w:bCs/>
          <w:color w:val="B71C1C"/>
        </w:rPr>
        <w:t xml:space="preserve">Option B — </w:t>
      </w:r>
      <w:proofErr w:type="spellStart"/>
      <w:r>
        <w:rPr>
          <w:b/>
          <w:bCs/>
          <w:color w:val="B71C1C"/>
        </w:rPr>
        <w:t>SQLAlchemy</w:t>
      </w:r>
      <w:proofErr w:type="spellEnd"/>
      <w:r>
        <w:rPr>
          <w:b/>
          <w:bCs/>
          <w:color w:val="B71C1C"/>
        </w:rPr>
        <w:t xml:space="preserve"> ORM (REJECTED): </w:t>
      </w:r>
      <w:proofErr w:type="spellStart"/>
      <w:r>
        <w:t>SQLAlchemy</w:t>
      </w:r>
      <w:proofErr w:type="spellEnd"/>
      <w:r>
        <w:t xml:space="preserve"> provides cross-database SQL compilation and dialect handling. However, for SUBOP's use case it introduces unnecessary abstraction overhead: ORM session management, lazy loading </w:t>
      </w:r>
      <w:proofErr w:type="spellStart"/>
      <w:r>
        <w:t>behaviour</w:t>
      </w:r>
      <w:proofErr w:type="spellEnd"/>
      <w:r>
        <w:t xml:space="preserve">, and the impedance mismatch between object-relational mapping and the raw dictionary-list data model SUBOP's </w:t>
      </w:r>
      <w:proofErr w:type="spellStart"/>
      <w:r>
        <w:t>execute_query</w:t>
      </w:r>
      <w:proofErr w:type="spellEnd"/>
      <w:r>
        <w:t xml:space="preserve">() needs to return. It would also add </w:t>
      </w:r>
      <w:proofErr w:type="spellStart"/>
      <w:r>
        <w:t>SQLAlchemy</w:t>
      </w:r>
      <w:proofErr w:type="spellEnd"/>
      <w:r>
        <w:t xml:space="preserve"> as a mandatory dependency for all pipeline execution, increasing the attack surface and deployment complexity.</w:t>
      </w:r>
    </w:p>
    <w:p w14:paraId="3D27C77F" w14:textId="77777777" w:rsidR="00801D07" w:rsidRDefault="00000000">
      <w:pPr>
        <w:spacing w:before="80" w:after="80"/>
        <w:jc w:val="both"/>
      </w:pPr>
      <w:r>
        <w:rPr>
          <w:b/>
          <w:bCs/>
          <w:color w:val="B71C1C"/>
        </w:rPr>
        <w:t xml:space="preserve">Option C — Custom DSL (REJECTED): </w:t>
      </w:r>
      <w:r>
        <w:t>Building a proprietary SQL-like domain-specific language that compiles to each database's native dialect would deliver the cleanest user-facing interface but requires significant compiler/parser development effort. This is too ambitious for a 12-month prototype given the team's current experience level. The Adapter pattern achieves the same zero-code-change goal for pipeline authors without requiring DSL implementation.</w:t>
      </w:r>
    </w:p>
    <w:p w14:paraId="3A1D3824" w14:textId="77777777" w:rsidR="00801D07" w:rsidRDefault="00000000">
      <w:pPr>
        <w:spacing w:before="80" w:after="80"/>
        <w:jc w:val="both"/>
      </w:pPr>
      <w:r>
        <w:t xml:space="preserve">The Adapter pattern recommendation is adopted as the confirmed M4 implementation approach. The M3 architecture document must specify the </w:t>
      </w:r>
      <w:proofErr w:type="spellStart"/>
      <w:r>
        <w:t>ConnectorBase</w:t>
      </w:r>
      <w:proofErr w:type="spellEnd"/>
      <w:r>
        <w:t xml:space="preserve"> abstract class interface, the SQL dialect difference map (the specific </w:t>
      </w:r>
      <w:proofErr w:type="spellStart"/>
      <w:r>
        <w:t>normalisation</w:t>
      </w:r>
      <w:proofErr w:type="spellEnd"/>
      <w:r>
        <w:t xml:space="preserve"> decisions for TOP N, IDENTITY, NVARCHAR, and date functions), and the connector registration mechanism used by the ETL engine to select the correct Adapter at runtime.</w:t>
      </w:r>
    </w:p>
    <w:p w14:paraId="0DFF913A" w14:textId="77777777" w:rsidR="00801D07" w:rsidRDefault="00000000">
      <w:pPr>
        <w:spacing w:before="160" w:after="60"/>
      </w:pPr>
      <w:r>
        <w:rPr>
          <w:b/>
          <w:bCs/>
          <w:color w:val="2E75B6"/>
          <w:sz w:val="22"/>
          <w:szCs w:val="22"/>
        </w:rPr>
        <w:t>2.3 Skill Gap Analysis</w:t>
      </w:r>
    </w:p>
    <w:p w14:paraId="207310E0" w14:textId="77777777" w:rsidR="00801D07" w:rsidRDefault="00000000">
      <w:pPr>
        <w:spacing w:before="80" w:after="80"/>
        <w:jc w:val="both"/>
      </w:pPr>
      <w:r>
        <w:t>The following skill gaps have been identified as requiring structured mitigation before the relevant milestone begins. The gap analysis incorporates findings from Omer's abstraction layer research and the Kafka/</w:t>
      </w:r>
      <w:proofErr w:type="spellStart"/>
      <w:r>
        <w:t>Debezium</w:t>
      </w:r>
      <w:proofErr w:type="spellEnd"/>
      <w:r>
        <w:t xml:space="preserve">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00"/>
        <w:gridCol w:w="1300"/>
        <w:gridCol w:w="5260"/>
      </w:tblGrid>
      <w:tr w:rsidR="00801D07" w14:paraId="5655A974" w14:textId="77777777">
        <w:tblPrEx>
          <w:tblCellMar>
            <w:top w:w="0" w:type="dxa"/>
            <w:bottom w:w="0" w:type="dxa"/>
          </w:tblCellMar>
        </w:tblPrEx>
        <w:trPr>
          <w:tblHeader/>
        </w:trPr>
        <w:tc>
          <w:tcPr>
            <w:tcW w:w="180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795B1AB1" w14:textId="77777777" w:rsidR="00801D07" w:rsidRDefault="00000000">
            <w:r>
              <w:rPr>
                <w:b/>
                <w:bCs/>
                <w:color w:val="FFFFFF"/>
                <w:sz w:val="18"/>
                <w:szCs w:val="18"/>
              </w:rPr>
              <w:t>Skill / Technology</w:t>
            </w:r>
          </w:p>
        </w:tc>
        <w:tc>
          <w:tcPr>
            <w:tcW w:w="100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371BF6C8" w14:textId="77777777" w:rsidR="00801D07" w:rsidRDefault="00000000">
            <w:r>
              <w:rPr>
                <w:b/>
                <w:bCs/>
                <w:color w:val="FFFFFF"/>
                <w:sz w:val="18"/>
                <w:szCs w:val="18"/>
              </w:rPr>
              <w:t>Owner</w:t>
            </w:r>
          </w:p>
        </w:tc>
        <w:tc>
          <w:tcPr>
            <w:tcW w:w="130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46D72182" w14:textId="77777777" w:rsidR="00801D07" w:rsidRDefault="00000000">
            <w:r>
              <w:rPr>
                <w:b/>
                <w:bCs/>
                <w:color w:val="FFFFFF"/>
                <w:sz w:val="18"/>
                <w:szCs w:val="18"/>
              </w:rPr>
              <w:t>Risk Level</w:t>
            </w:r>
          </w:p>
        </w:tc>
        <w:tc>
          <w:tcPr>
            <w:tcW w:w="526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462D63AC" w14:textId="77777777" w:rsidR="00801D07" w:rsidRDefault="00000000">
            <w:r>
              <w:rPr>
                <w:b/>
                <w:bCs/>
                <w:color w:val="FFFFFF"/>
                <w:sz w:val="18"/>
                <w:szCs w:val="18"/>
              </w:rPr>
              <w:t>Mitigation Plan</w:t>
            </w:r>
          </w:p>
        </w:tc>
      </w:tr>
      <w:tr w:rsidR="00801D07" w14:paraId="03CF4035"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2F52BD87" w14:textId="77777777" w:rsidR="00801D07" w:rsidRDefault="00000000">
            <w:r>
              <w:rPr>
                <w:b/>
                <w:bCs/>
                <w:sz w:val="18"/>
                <w:szCs w:val="18"/>
              </w:rPr>
              <w:t xml:space="preserve">Kafka &amp; </w:t>
            </w:r>
            <w:proofErr w:type="spellStart"/>
            <w:r>
              <w:rPr>
                <w:b/>
                <w:bCs/>
                <w:sz w:val="18"/>
                <w:szCs w:val="18"/>
              </w:rPr>
              <w:t>Debezium</w:t>
            </w:r>
            <w:proofErr w:type="spellEnd"/>
            <w:r>
              <w:rPr>
                <w:b/>
                <w:bCs/>
                <w:sz w:val="18"/>
                <w:szCs w:val="18"/>
              </w:rPr>
              <w:t xml:space="preserve"> CDC</w:t>
            </w:r>
          </w:p>
        </w:tc>
        <w:tc>
          <w:tcPr>
            <w:tcW w:w="10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vAlign w:val="center"/>
          </w:tcPr>
          <w:p w14:paraId="143DBD96" w14:textId="77777777" w:rsidR="00801D07" w:rsidRDefault="00000000">
            <w:pPr>
              <w:jc w:val="center"/>
            </w:pPr>
            <w:r>
              <w:rPr>
                <w:color w:val="2E75B6"/>
                <w:sz w:val="18"/>
                <w:szCs w:val="18"/>
              </w:rPr>
              <w:t>Omer</w:t>
            </w:r>
          </w:p>
        </w:tc>
        <w:tc>
          <w:tcPr>
            <w:tcW w:w="130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1F9ED94B" w14:textId="77777777" w:rsidR="00801D07" w:rsidRDefault="00000000">
            <w:pPr>
              <w:jc w:val="center"/>
            </w:pPr>
            <w:r>
              <w:rPr>
                <w:b/>
                <w:bCs/>
                <w:color w:val="B71C1C"/>
                <w:sz w:val="17"/>
                <w:szCs w:val="17"/>
              </w:rPr>
              <w:t>HIGH</w:t>
            </w:r>
          </w:p>
        </w:tc>
        <w:tc>
          <w:tcPr>
            <w:tcW w:w="526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2C02D5C2" w14:textId="77777777" w:rsidR="00801D07" w:rsidRDefault="00000000">
            <w:r>
              <w:rPr>
                <w:sz w:val="17"/>
                <w:szCs w:val="17"/>
              </w:rPr>
              <w:t xml:space="preserve">Structured 4–6-week study plan starting Week 8 (M3). Kafka fundamentals first (producers, consumers, topics), then </w:t>
            </w:r>
            <w:proofErr w:type="spellStart"/>
            <w:r>
              <w:rPr>
                <w:sz w:val="17"/>
                <w:szCs w:val="17"/>
              </w:rPr>
              <w:t>Debezium</w:t>
            </w:r>
            <w:proofErr w:type="spellEnd"/>
            <w:r>
              <w:rPr>
                <w:sz w:val="17"/>
                <w:szCs w:val="17"/>
              </w:rPr>
              <w:t xml:space="preserve"> connector configuration, then CDC event schema. Study plan to be tracked by Abdullah and reported to advisor weekly. Target: Omer independently deploys a </w:t>
            </w:r>
            <w:proofErr w:type="spellStart"/>
            <w:r>
              <w:rPr>
                <w:sz w:val="17"/>
                <w:szCs w:val="17"/>
              </w:rPr>
              <w:t>Debezium</w:t>
            </w:r>
            <w:proofErr w:type="spellEnd"/>
            <w:r>
              <w:rPr>
                <w:sz w:val="17"/>
                <w:szCs w:val="17"/>
              </w:rPr>
              <w:t xml:space="preserve"> connector against PostgreSQL before M6 begins (Week 18).</w:t>
            </w:r>
          </w:p>
        </w:tc>
      </w:tr>
      <w:tr w:rsidR="00801D07" w14:paraId="4134485E"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tcPr>
          <w:p w14:paraId="40DEE4BB" w14:textId="77777777" w:rsidR="00801D07" w:rsidRDefault="00000000">
            <w:r>
              <w:rPr>
                <w:b/>
                <w:bCs/>
                <w:sz w:val="18"/>
                <w:szCs w:val="18"/>
              </w:rPr>
              <w:t>Oracle CDC (</w:t>
            </w:r>
            <w:proofErr w:type="spellStart"/>
            <w:r>
              <w:rPr>
                <w:b/>
                <w:bCs/>
                <w:sz w:val="18"/>
                <w:szCs w:val="18"/>
              </w:rPr>
              <w:t>LogMiner</w:t>
            </w:r>
            <w:proofErr w:type="spellEnd"/>
            <w:r>
              <w:rPr>
                <w:b/>
                <w:bCs/>
                <w:sz w:val="18"/>
                <w:szCs w:val="18"/>
              </w:rPr>
              <w:t>)</w:t>
            </w:r>
          </w:p>
        </w:tc>
        <w:tc>
          <w:tcPr>
            <w:tcW w:w="10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vAlign w:val="center"/>
          </w:tcPr>
          <w:p w14:paraId="41F9AB9B" w14:textId="77777777" w:rsidR="00801D07" w:rsidRDefault="00000000">
            <w:pPr>
              <w:jc w:val="center"/>
            </w:pPr>
            <w:r>
              <w:rPr>
                <w:color w:val="2E75B6"/>
                <w:sz w:val="18"/>
                <w:szCs w:val="18"/>
              </w:rPr>
              <w:t>Omer</w:t>
            </w:r>
          </w:p>
        </w:tc>
        <w:tc>
          <w:tcPr>
            <w:tcW w:w="130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223932B3" w14:textId="77777777" w:rsidR="00801D07" w:rsidRDefault="00000000">
            <w:pPr>
              <w:jc w:val="center"/>
            </w:pPr>
            <w:r>
              <w:rPr>
                <w:b/>
                <w:bCs/>
                <w:color w:val="7B4D00"/>
                <w:sz w:val="17"/>
                <w:szCs w:val="17"/>
              </w:rPr>
              <w:t>MEDIUM</w:t>
            </w:r>
          </w:p>
        </w:tc>
        <w:tc>
          <w:tcPr>
            <w:tcW w:w="526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tcPr>
          <w:p w14:paraId="075ACB42" w14:textId="77777777" w:rsidR="00801D07" w:rsidRDefault="00000000">
            <w:r>
              <w:rPr>
                <w:sz w:val="17"/>
                <w:szCs w:val="17"/>
              </w:rPr>
              <w:t xml:space="preserve">Oracle CDC is a stretch goal for M7. PostgreSQL and MySQL CDC are required. Omer researches </w:t>
            </w:r>
            <w:proofErr w:type="spellStart"/>
            <w:r>
              <w:rPr>
                <w:sz w:val="17"/>
                <w:szCs w:val="17"/>
              </w:rPr>
              <w:t>LogMiner</w:t>
            </w:r>
            <w:proofErr w:type="spellEnd"/>
            <w:r>
              <w:rPr>
                <w:sz w:val="17"/>
                <w:szCs w:val="17"/>
              </w:rPr>
              <w:t xml:space="preserve"> setup during M6; Oracle CDC prototype deferred to M7 buffer time. Competitor analysis confirms </w:t>
            </w:r>
            <w:proofErr w:type="spellStart"/>
            <w:r>
              <w:rPr>
                <w:sz w:val="17"/>
                <w:szCs w:val="17"/>
              </w:rPr>
              <w:t>LogMiner</w:t>
            </w:r>
            <w:proofErr w:type="spellEnd"/>
            <w:r>
              <w:rPr>
                <w:sz w:val="17"/>
                <w:szCs w:val="17"/>
              </w:rPr>
              <w:t xml:space="preserve"> is viable (Informatica uses it) but implementation complexity is high without Oracle DBA expertise.</w:t>
            </w:r>
          </w:p>
        </w:tc>
      </w:tr>
      <w:tr w:rsidR="00801D07" w14:paraId="360C0BFC"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0DC90A21" w14:textId="77777777" w:rsidR="00801D07" w:rsidRDefault="00000000">
            <w:r>
              <w:rPr>
                <w:b/>
                <w:bCs/>
                <w:sz w:val="18"/>
                <w:szCs w:val="18"/>
              </w:rPr>
              <w:lastRenderedPageBreak/>
              <w:t>KVKK Compliance Documentation</w:t>
            </w:r>
          </w:p>
        </w:tc>
        <w:tc>
          <w:tcPr>
            <w:tcW w:w="10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vAlign w:val="center"/>
          </w:tcPr>
          <w:p w14:paraId="74964E81" w14:textId="77777777" w:rsidR="00801D07" w:rsidRDefault="00000000">
            <w:pPr>
              <w:jc w:val="center"/>
            </w:pPr>
            <w:r>
              <w:rPr>
                <w:color w:val="2E75B6"/>
                <w:sz w:val="18"/>
                <w:szCs w:val="18"/>
              </w:rPr>
              <w:t>Abdullah</w:t>
            </w:r>
          </w:p>
        </w:tc>
        <w:tc>
          <w:tcPr>
            <w:tcW w:w="130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454EA5BF" w14:textId="77777777" w:rsidR="00801D07" w:rsidRDefault="00000000">
            <w:pPr>
              <w:jc w:val="center"/>
            </w:pPr>
            <w:r>
              <w:rPr>
                <w:b/>
                <w:bCs/>
                <w:color w:val="7B4D00"/>
                <w:sz w:val="17"/>
                <w:szCs w:val="17"/>
              </w:rPr>
              <w:t>MEDIUM</w:t>
            </w:r>
          </w:p>
        </w:tc>
        <w:tc>
          <w:tcPr>
            <w:tcW w:w="526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75396607" w14:textId="77777777" w:rsidR="00801D07" w:rsidRDefault="00000000">
            <w:r>
              <w:rPr>
                <w:sz w:val="17"/>
                <w:szCs w:val="17"/>
              </w:rPr>
              <w:t>M2 Week 6 compliance research provides the 8–10 item KVKK checklist as M11 input. Abdullah continues KVKK reading during M5–M10 (one session per milestone). VERBİS registration process and GDPR-KVKK delta analysis to be complete before M11 begins (Week 40). Advisor with legal background recommended as reviewer.</w:t>
            </w:r>
          </w:p>
        </w:tc>
      </w:tr>
      <w:tr w:rsidR="00801D07" w14:paraId="4D972DFF"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tcPr>
          <w:p w14:paraId="07349CB0" w14:textId="77777777" w:rsidR="00801D07" w:rsidRDefault="00000000">
            <w:r>
              <w:rPr>
                <w:b/>
                <w:bCs/>
                <w:sz w:val="18"/>
                <w:szCs w:val="18"/>
              </w:rPr>
              <w:t>Graph Rendering (Lineage DAG)</w:t>
            </w:r>
          </w:p>
        </w:tc>
        <w:tc>
          <w:tcPr>
            <w:tcW w:w="10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vAlign w:val="center"/>
          </w:tcPr>
          <w:p w14:paraId="086BD320" w14:textId="77777777" w:rsidR="00801D07" w:rsidRDefault="00000000">
            <w:pPr>
              <w:jc w:val="center"/>
            </w:pPr>
            <w:r>
              <w:rPr>
                <w:color w:val="2E75B6"/>
                <w:sz w:val="18"/>
                <w:szCs w:val="18"/>
              </w:rPr>
              <w:t>Beyza</w:t>
            </w:r>
          </w:p>
        </w:tc>
        <w:tc>
          <w:tcPr>
            <w:tcW w:w="130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2B8F152B" w14:textId="77777777" w:rsidR="00801D07" w:rsidRDefault="00000000">
            <w:pPr>
              <w:jc w:val="center"/>
            </w:pPr>
            <w:r>
              <w:rPr>
                <w:b/>
                <w:bCs/>
                <w:color w:val="7B4D00"/>
                <w:sz w:val="17"/>
                <w:szCs w:val="17"/>
              </w:rPr>
              <w:t>MEDIUM</w:t>
            </w:r>
          </w:p>
        </w:tc>
        <w:tc>
          <w:tcPr>
            <w:tcW w:w="526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tcPr>
          <w:p w14:paraId="2B2BE259" w14:textId="77777777" w:rsidR="00801D07" w:rsidRDefault="00000000">
            <w:r>
              <w:rPr>
                <w:sz w:val="17"/>
                <w:szCs w:val="17"/>
              </w:rPr>
              <w:t>D3.js or vis-network confirmed as primary library for the Lineage Explorer node graph. Phase 3 Frontend Build Roadmap assigns Lineage Explorer shell to M7 (shell only) with data wiring in M10. Beyza to prototype D3.js DAG rendering on sample lineage data during M8 before the full M10 implementation begins.</w:t>
            </w:r>
          </w:p>
        </w:tc>
      </w:tr>
      <w:tr w:rsidR="00801D07" w14:paraId="0C99AAEC" w14:textId="77777777">
        <w:tblPrEx>
          <w:tblCellMar>
            <w:top w:w="0" w:type="dxa"/>
            <w:bottom w:w="0" w:type="dxa"/>
          </w:tblCellMar>
        </w:tblPrEx>
        <w:tc>
          <w:tcPr>
            <w:tcW w:w="18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3BCC7C49" w14:textId="77777777" w:rsidR="00801D07" w:rsidRDefault="00000000">
            <w:proofErr w:type="spellStart"/>
            <w:r>
              <w:rPr>
                <w:b/>
                <w:bCs/>
                <w:sz w:val="18"/>
                <w:szCs w:val="18"/>
              </w:rPr>
              <w:t>MLbased</w:t>
            </w:r>
            <w:proofErr w:type="spellEnd"/>
            <w:r>
              <w:rPr>
                <w:b/>
                <w:bCs/>
                <w:sz w:val="18"/>
                <w:szCs w:val="18"/>
              </w:rPr>
              <w:t xml:space="preserve"> Anomaly Detection</w:t>
            </w:r>
          </w:p>
        </w:tc>
        <w:tc>
          <w:tcPr>
            <w:tcW w:w="10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vAlign w:val="center"/>
          </w:tcPr>
          <w:p w14:paraId="2EC8BE88" w14:textId="77777777" w:rsidR="00801D07" w:rsidRDefault="00000000">
            <w:pPr>
              <w:jc w:val="center"/>
            </w:pPr>
            <w:r>
              <w:rPr>
                <w:color w:val="2E75B6"/>
                <w:sz w:val="18"/>
                <w:szCs w:val="18"/>
              </w:rPr>
              <w:t>Abdullah</w:t>
            </w:r>
          </w:p>
        </w:tc>
        <w:tc>
          <w:tcPr>
            <w:tcW w:w="1300" w:type="dxa"/>
            <w:tcBorders>
              <w:top w:val="single" w:sz="1" w:space="0" w:color="DDE4EE"/>
              <w:left w:val="single" w:sz="1" w:space="0" w:color="DDE4EE"/>
              <w:bottom w:val="single" w:sz="1" w:space="0" w:color="DDE4EE"/>
              <w:right w:val="single" w:sz="1" w:space="0" w:color="DDE4EE"/>
            </w:tcBorders>
            <w:shd w:val="clear" w:color="auto" w:fill="E8F5E9"/>
            <w:tcMar>
              <w:top w:w="80" w:type="dxa"/>
              <w:left w:w="120" w:type="dxa"/>
              <w:bottom w:w="80" w:type="dxa"/>
              <w:right w:w="120" w:type="dxa"/>
            </w:tcMar>
            <w:vAlign w:val="center"/>
          </w:tcPr>
          <w:p w14:paraId="66424238" w14:textId="77777777" w:rsidR="00801D07" w:rsidRDefault="00000000">
            <w:pPr>
              <w:jc w:val="center"/>
            </w:pPr>
            <w:r>
              <w:rPr>
                <w:b/>
                <w:bCs/>
                <w:color w:val="1B5E20"/>
                <w:sz w:val="17"/>
                <w:szCs w:val="17"/>
              </w:rPr>
              <w:t>LOW</w:t>
            </w:r>
          </w:p>
        </w:tc>
        <w:tc>
          <w:tcPr>
            <w:tcW w:w="526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16F33DE1" w14:textId="77777777" w:rsidR="00801D07" w:rsidRDefault="00000000">
            <w:r>
              <w:rPr>
                <w:sz w:val="17"/>
                <w:szCs w:val="17"/>
              </w:rPr>
              <w:t>Prototype scope only (scikit-learn Isolation Forest). Not a production ML pipeline. Abdullah has sufficient Python foundation. Implementation deferred to M10 buffer weeks. If time does not permit, the rule-based quality engine (without ML) satisfies the M10 required deliverable.</w:t>
            </w:r>
          </w:p>
        </w:tc>
      </w:tr>
    </w:tbl>
    <w:p w14:paraId="7E3ECC77" w14:textId="77777777" w:rsidR="00801D07" w:rsidRDefault="00801D07">
      <w:pPr>
        <w:spacing w:after="80"/>
      </w:pPr>
    </w:p>
    <w:p w14:paraId="4A36DBEE" w14:textId="77777777" w:rsidR="00801D07" w:rsidRDefault="00000000">
      <w:pPr>
        <w:spacing w:before="160" w:after="60"/>
      </w:pPr>
      <w:r>
        <w:rPr>
          <w:b/>
          <w:bCs/>
          <w:color w:val="2E75B6"/>
          <w:sz w:val="22"/>
          <w:szCs w:val="22"/>
        </w:rPr>
        <w:t>2.4 Exam Schedule Risk — Documented</w:t>
      </w:r>
    </w:p>
    <w:p w14:paraId="35A0061D" w14:textId="77777777" w:rsidR="00801D07" w:rsidRDefault="00000000">
      <w:pPr>
        <w:spacing w:before="80" w:after="80"/>
        <w:jc w:val="both"/>
      </w:pPr>
      <w:r>
        <w:t xml:space="preserve">Abdullah's university exam period falls in the second half of June 2026, coinciding with Week 6 of Milestone 2. This risk was formally documented in the Week 5 advisor report and reflected in reduced deliverable scope for Abdullah during Week 6 (the feasibility report was drafted rather than </w:t>
      </w:r>
      <w:proofErr w:type="spellStart"/>
      <w:r>
        <w:t>finalised</w:t>
      </w:r>
      <w:proofErr w:type="spellEnd"/>
      <w:r>
        <w:t xml:space="preserve">; </w:t>
      </w:r>
      <w:proofErr w:type="spellStart"/>
      <w:r>
        <w:t>NiFi</w:t>
      </w:r>
      <w:proofErr w:type="spellEnd"/>
      <w:r>
        <w:t xml:space="preserve">, </w:t>
      </w:r>
      <w:proofErr w:type="spellStart"/>
      <w:r>
        <w:t>dbt</w:t>
      </w:r>
      <w:proofErr w:type="spellEnd"/>
      <w:r>
        <w:t xml:space="preserve">, and Power BI competitor research was completed as planned). Beyza carried full workload during Week 6 to compensate. No deliverable was missed; the Week 6 draft feasibility report provides the base for this </w:t>
      </w:r>
      <w:proofErr w:type="spellStart"/>
      <w:r>
        <w:t>finalised</w:t>
      </w:r>
      <w:proofErr w:type="spellEnd"/>
      <w:r>
        <w:t xml:space="preserve"> version. The exam schedule risk window is now closed for Milestone 2. Future exam windows should be anticipated and documented in the advisor report for the relevant milestone at least two weeks in advance.</w:t>
      </w:r>
    </w:p>
    <w:p w14:paraId="57175968" w14:textId="77777777" w:rsidR="00801D07" w:rsidRDefault="00000000">
      <w:r>
        <w:br w:type="page"/>
      </w:r>
    </w:p>
    <w:p w14:paraId="35CDC093" w14:textId="77777777" w:rsidR="00801D07" w:rsidRDefault="00000000">
      <w:pPr>
        <w:pBdr>
          <w:bottom w:val="single" w:sz="6" w:space="2" w:color="2E75B6"/>
        </w:pBdr>
        <w:spacing w:before="200" w:after="100"/>
      </w:pPr>
      <w:r>
        <w:rPr>
          <w:b/>
          <w:bCs/>
          <w:color w:val="1F4E79"/>
          <w:sz w:val="26"/>
          <w:szCs w:val="26"/>
        </w:rPr>
        <w:lastRenderedPageBreak/>
        <w:t xml:space="preserve">3. Market Feasibility — Pilot </w:t>
      </w:r>
      <w:proofErr w:type="spellStart"/>
      <w:r>
        <w:rPr>
          <w:b/>
          <w:bCs/>
          <w:color w:val="1F4E79"/>
          <w:sz w:val="26"/>
          <w:szCs w:val="26"/>
        </w:rPr>
        <w:t>Organisation</w:t>
      </w:r>
      <w:proofErr w:type="spellEnd"/>
      <w:r>
        <w:rPr>
          <w:b/>
          <w:bCs/>
          <w:color w:val="1F4E79"/>
          <w:sz w:val="26"/>
          <w:szCs w:val="26"/>
        </w:rPr>
        <w:t xml:space="preserve"> Profiles</w:t>
      </w:r>
    </w:p>
    <w:p w14:paraId="3161A06B" w14:textId="77777777" w:rsidR="00801D07" w:rsidRDefault="00801D07">
      <w:pPr>
        <w:spacing w:after="60"/>
      </w:pPr>
    </w:p>
    <w:p w14:paraId="0953FA9F" w14:textId="77777777" w:rsidR="00801D07" w:rsidRDefault="00000000">
      <w:pPr>
        <w:spacing w:before="80" w:after="100"/>
        <w:jc w:val="both"/>
      </w:pPr>
      <w:r>
        <w:t xml:space="preserve">Market feasibility for SUBOP is assessed through the identification of 2-3 pilot </w:t>
      </w:r>
      <w:proofErr w:type="spellStart"/>
      <w:r>
        <w:t>organisation</w:t>
      </w:r>
      <w:proofErr w:type="spellEnd"/>
      <w:r>
        <w:t xml:space="preserve"> profiles that represent realistic deployment targets within the project's 12-month timeline. These profiles describe the type of </w:t>
      </w:r>
      <w:proofErr w:type="spellStart"/>
      <w:r>
        <w:t>organisation</w:t>
      </w:r>
      <w:proofErr w:type="spellEnd"/>
      <w:r>
        <w:t xml:space="preserve">, their current data infrastructure, the specific problems they face that SUBOP addresses, and why they are suitable pilot candidates. Each profile is written to serve as the basis for outreach conversations during M10 (December 2026 — January 2027). The pilot risk in the roadmap (minimum 2 confirmed pilot </w:t>
      </w:r>
      <w:proofErr w:type="spellStart"/>
      <w:r>
        <w:t>organisations</w:t>
      </w:r>
      <w:proofErr w:type="spellEnd"/>
      <w:r>
        <w:t xml:space="preserve"> required before M12 begins) is directly mitigated by having documented, targeted profiles rather than conducting outreach without preparation.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01D07" w14:paraId="3CE05F95" w14:textId="77777777">
        <w:tblPrEx>
          <w:tblCellMar>
            <w:top w:w="0" w:type="dxa"/>
            <w:bottom w:w="0" w:type="dxa"/>
          </w:tblCellMar>
        </w:tblPrEx>
        <w:tc>
          <w:tcPr>
            <w:tcW w:w="9360" w:type="dxa"/>
            <w:gridSpan w:val="2"/>
            <w:tcBorders>
              <w:top w:val="single" w:sz="1" w:space="0" w:color="1F4E79"/>
              <w:left w:val="single" w:sz="1" w:space="0" w:color="1F4E79"/>
              <w:bottom w:val="single" w:sz="1" w:space="0" w:color="1F4E79"/>
              <w:right w:val="single" w:sz="1" w:space="0" w:color="1F4E79"/>
            </w:tcBorders>
            <w:shd w:val="clear" w:color="auto" w:fill="2E75B6"/>
            <w:tcMar>
              <w:top w:w="100" w:type="dxa"/>
              <w:left w:w="140" w:type="dxa"/>
              <w:bottom w:w="100" w:type="dxa"/>
              <w:right w:w="140" w:type="dxa"/>
            </w:tcMar>
          </w:tcPr>
          <w:p w14:paraId="75C25FC1" w14:textId="77777777" w:rsidR="00801D07" w:rsidRDefault="00000000">
            <w:r>
              <w:rPr>
                <w:b/>
                <w:bCs/>
                <w:color w:val="FFFFFF"/>
              </w:rPr>
              <w:t xml:space="preserve">Pilot </w:t>
            </w:r>
            <w:proofErr w:type="spellStart"/>
            <w:r>
              <w:rPr>
                <w:b/>
                <w:bCs/>
                <w:color w:val="FFFFFF"/>
              </w:rPr>
              <w:t>Organisation</w:t>
            </w:r>
            <w:proofErr w:type="spellEnd"/>
            <w:r>
              <w:rPr>
                <w:b/>
                <w:bCs/>
                <w:color w:val="FFFFFF"/>
              </w:rPr>
              <w:t xml:space="preserve"> Profile 1 — Mid-Size Turkish Manufacturing Company</w:t>
            </w:r>
          </w:p>
        </w:tc>
      </w:tr>
      <w:tr w:rsidR="00801D07" w14:paraId="22F64F7E" w14:textId="77777777">
        <w:tblPrEx>
          <w:tblCellMar>
            <w:top w:w="0" w:type="dxa"/>
            <w:bottom w:w="0" w:type="dxa"/>
          </w:tblCellMar>
        </w:tblPrEx>
        <w:tc>
          <w:tcPr>
            <w:tcW w:w="2000" w:type="dxa"/>
            <w:tcBorders>
              <w:top w:val="single" w:sz="1" w:space="0" w:color="DDE4EE"/>
              <w:left w:val="single" w:sz="1" w:space="0" w:color="DDE4EE"/>
              <w:bottom w:val="single" w:sz="1" w:space="0" w:color="DDE4EE"/>
              <w:right w:val="single" w:sz="1" w:space="0" w:color="DDE4EE"/>
            </w:tcBorders>
            <w:shd w:val="clear" w:color="auto" w:fill="F0F7FF"/>
            <w:tcMar>
              <w:top w:w="80" w:type="dxa"/>
              <w:left w:w="120" w:type="dxa"/>
              <w:bottom w:w="80" w:type="dxa"/>
              <w:right w:w="120" w:type="dxa"/>
            </w:tcMar>
          </w:tcPr>
          <w:p w14:paraId="06BFA356" w14:textId="77777777" w:rsidR="00801D07" w:rsidRDefault="00000000">
            <w:proofErr w:type="spellStart"/>
            <w:r>
              <w:rPr>
                <w:b/>
                <w:bCs/>
                <w:color w:val="1F4E79"/>
                <w:sz w:val="18"/>
                <w:szCs w:val="18"/>
              </w:rPr>
              <w:t>Organisation</w:t>
            </w:r>
            <w:proofErr w:type="spellEnd"/>
            <w:r>
              <w:rPr>
                <w:b/>
                <w:bCs/>
                <w:color w:val="1F4E79"/>
                <w:sz w:val="18"/>
                <w:szCs w:val="18"/>
              </w:rPr>
              <w:t xml:space="preserve"> Type</w:t>
            </w:r>
          </w:p>
        </w:tc>
        <w:tc>
          <w:tcPr>
            <w:tcW w:w="7360" w:type="dxa"/>
            <w:tcBorders>
              <w:top w:val="single" w:sz="1" w:space="0" w:color="DDE4EE"/>
              <w:left w:val="single" w:sz="1" w:space="0" w:color="DDE4EE"/>
              <w:bottom w:val="single" w:sz="1" w:space="0" w:color="DDE4EE"/>
              <w:right w:val="single" w:sz="1" w:space="0" w:color="DDE4EE"/>
            </w:tcBorders>
            <w:shd w:val="clear" w:color="auto" w:fill="F0F7FF"/>
            <w:tcMar>
              <w:top w:w="80" w:type="dxa"/>
              <w:left w:w="120" w:type="dxa"/>
              <w:bottom w:w="80" w:type="dxa"/>
              <w:right w:w="120" w:type="dxa"/>
            </w:tcMar>
          </w:tcPr>
          <w:p w14:paraId="00E9C34F" w14:textId="77777777" w:rsidR="00801D07" w:rsidRDefault="00000000">
            <w:r>
              <w:rPr>
                <w:sz w:val="18"/>
                <w:szCs w:val="18"/>
              </w:rPr>
              <w:t>Textile or industrial goods manufacturer; 200–500 employees; established operations in Turkey.</w:t>
            </w:r>
          </w:p>
        </w:tc>
      </w:tr>
      <w:tr w:rsidR="00801D07" w14:paraId="2C5E95D0" w14:textId="77777777">
        <w:tblPrEx>
          <w:tblCellMar>
            <w:top w:w="0" w:type="dxa"/>
            <w:bottom w:w="0" w:type="dxa"/>
          </w:tblCellMar>
        </w:tblPrEx>
        <w:tc>
          <w:tcPr>
            <w:tcW w:w="20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5E546B8A" w14:textId="77777777" w:rsidR="00801D07" w:rsidRDefault="00000000">
            <w:r>
              <w:rPr>
                <w:b/>
                <w:bCs/>
                <w:color w:val="1F4E79"/>
                <w:sz w:val="18"/>
                <w:szCs w:val="18"/>
              </w:rPr>
              <w:t>Current Infrastructure</w:t>
            </w:r>
          </w:p>
        </w:tc>
        <w:tc>
          <w:tcPr>
            <w:tcW w:w="736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67AE7F82" w14:textId="77777777" w:rsidR="00801D07" w:rsidRDefault="00000000">
            <w:r>
              <w:rPr>
                <w:sz w:val="18"/>
                <w:szCs w:val="18"/>
              </w:rPr>
              <w:t>SAP ERP system (Oracle backend); legacy MySQL for production floor tracking; Excel-based reporting across departments. No formal ETL platform. Reports assembled manually by an IT analyst using Excel exports.</w:t>
            </w:r>
          </w:p>
        </w:tc>
      </w:tr>
      <w:tr w:rsidR="00801D07" w14:paraId="612E3C6E" w14:textId="77777777">
        <w:tblPrEx>
          <w:tblCellMar>
            <w:top w:w="0" w:type="dxa"/>
            <w:bottom w:w="0" w:type="dxa"/>
          </w:tblCellMar>
        </w:tblPrEx>
        <w:tc>
          <w:tcPr>
            <w:tcW w:w="2000" w:type="dxa"/>
            <w:tcBorders>
              <w:top w:val="single" w:sz="1" w:space="0" w:color="DDE4EE"/>
              <w:left w:val="single" w:sz="1" w:space="0" w:color="DDE4EE"/>
              <w:bottom w:val="single" w:sz="1" w:space="0" w:color="DDE4EE"/>
              <w:right w:val="single" w:sz="1" w:space="0" w:color="DDE4EE"/>
            </w:tcBorders>
            <w:shd w:val="clear" w:color="auto" w:fill="F0F7FF"/>
            <w:tcMar>
              <w:top w:w="80" w:type="dxa"/>
              <w:left w:w="120" w:type="dxa"/>
              <w:bottom w:w="80" w:type="dxa"/>
              <w:right w:w="120" w:type="dxa"/>
            </w:tcMar>
          </w:tcPr>
          <w:p w14:paraId="43A62281" w14:textId="77777777" w:rsidR="00801D07" w:rsidRDefault="00000000">
            <w:r>
              <w:rPr>
                <w:b/>
                <w:bCs/>
                <w:color w:val="1F4E79"/>
                <w:sz w:val="18"/>
                <w:szCs w:val="18"/>
              </w:rPr>
              <w:t>Key Data Challenges</w:t>
            </w:r>
          </w:p>
        </w:tc>
        <w:tc>
          <w:tcPr>
            <w:tcW w:w="7360" w:type="dxa"/>
            <w:tcBorders>
              <w:top w:val="single" w:sz="1" w:space="0" w:color="DDE4EE"/>
              <w:left w:val="single" w:sz="1" w:space="0" w:color="DDE4EE"/>
              <w:bottom w:val="single" w:sz="1" w:space="0" w:color="DDE4EE"/>
              <w:right w:val="single" w:sz="1" w:space="0" w:color="DDE4EE"/>
            </w:tcBorders>
            <w:shd w:val="clear" w:color="auto" w:fill="F0F7FF"/>
            <w:tcMar>
              <w:top w:w="80" w:type="dxa"/>
              <w:left w:w="120" w:type="dxa"/>
              <w:bottom w:w="80" w:type="dxa"/>
              <w:right w:w="120" w:type="dxa"/>
            </w:tcMar>
          </w:tcPr>
          <w:p w14:paraId="578695D0" w14:textId="77777777" w:rsidR="00801D07" w:rsidRDefault="00000000">
            <w:r>
              <w:rPr>
                <w:sz w:val="18"/>
                <w:szCs w:val="18"/>
              </w:rPr>
              <w:t>1. No unified view across SAP ERP and production database — cross-functional reporting requires manual data consolidation. 2. Monthly batch data refresh means production managers make decisions on stale data. 3. KVKK compliance obligations for employee and customer personal data processed in ERP and production systems. 4. Informatica and Talend are priced out of reach ($50K–$500K+/year); no budget for enterprise ETL.</w:t>
            </w:r>
          </w:p>
        </w:tc>
      </w:tr>
      <w:tr w:rsidR="00801D07" w14:paraId="0E9D8F3B" w14:textId="77777777">
        <w:tblPrEx>
          <w:tblCellMar>
            <w:top w:w="0" w:type="dxa"/>
            <w:bottom w:w="0" w:type="dxa"/>
          </w:tblCellMar>
        </w:tblPrEx>
        <w:tc>
          <w:tcPr>
            <w:tcW w:w="20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45D12911" w14:textId="77777777" w:rsidR="00801D07" w:rsidRDefault="00000000">
            <w:r>
              <w:rPr>
                <w:b/>
                <w:bCs/>
                <w:color w:val="1F4E79"/>
                <w:sz w:val="18"/>
                <w:szCs w:val="18"/>
              </w:rPr>
              <w:t>Why SUBOP Fits</w:t>
            </w:r>
          </w:p>
        </w:tc>
        <w:tc>
          <w:tcPr>
            <w:tcW w:w="736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04215A9B" w14:textId="77777777" w:rsidR="00801D07" w:rsidRDefault="00000000">
            <w:r>
              <w:rPr>
                <w:sz w:val="18"/>
                <w:szCs w:val="18"/>
              </w:rPr>
              <w:t>SUBOP's Oracle and MySQL connectors (M4/M6) connect directly to the SAP backend and production database without rewriting any existing queries. The ETL engine (M5) automates the monthly consolidation that currently requires manual analyst effort. The KVKK compliance module (M11) addresses the regulatory obligation. The BI dashboard (M9) gives production managers self-service access to cross-functional reports without IT involvement. Total cost: open-source platform with no licensing fees.</w:t>
            </w:r>
          </w:p>
        </w:tc>
      </w:tr>
      <w:tr w:rsidR="00801D07" w14:paraId="09E025B8" w14:textId="77777777">
        <w:tblPrEx>
          <w:tblCellMar>
            <w:top w:w="0" w:type="dxa"/>
            <w:bottom w:w="0" w:type="dxa"/>
          </w:tblCellMar>
        </w:tblPrEx>
        <w:tc>
          <w:tcPr>
            <w:tcW w:w="2000" w:type="dxa"/>
            <w:tcBorders>
              <w:top w:val="single" w:sz="1" w:space="0" w:color="DDE4EE"/>
              <w:left w:val="single" w:sz="1" w:space="0" w:color="DDE4EE"/>
              <w:bottom w:val="single" w:sz="1" w:space="0" w:color="DDE4EE"/>
              <w:right w:val="single" w:sz="1" w:space="0" w:color="DDE4EE"/>
            </w:tcBorders>
            <w:shd w:val="clear" w:color="auto" w:fill="F0F7FF"/>
            <w:tcMar>
              <w:top w:w="80" w:type="dxa"/>
              <w:left w:w="120" w:type="dxa"/>
              <w:bottom w:w="80" w:type="dxa"/>
              <w:right w:w="120" w:type="dxa"/>
            </w:tcMar>
          </w:tcPr>
          <w:p w14:paraId="4D8C7046" w14:textId="77777777" w:rsidR="00801D07" w:rsidRDefault="00000000">
            <w:r>
              <w:rPr>
                <w:b/>
                <w:bCs/>
                <w:color w:val="1F4E79"/>
                <w:sz w:val="18"/>
                <w:szCs w:val="18"/>
              </w:rPr>
              <w:t>Pilot Suitability</w:t>
            </w:r>
          </w:p>
        </w:tc>
        <w:tc>
          <w:tcPr>
            <w:tcW w:w="7360" w:type="dxa"/>
            <w:tcBorders>
              <w:top w:val="single" w:sz="1" w:space="0" w:color="DDE4EE"/>
              <w:left w:val="single" w:sz="1" w:space="0" w:color="DDE4EE"/>
              <w:bottom w:val="single" w:sz="1" w:space="0" w:color="DDE4EE"/>
              <w:right w:val="single" w:sz="1" w:space="0" w:color="DDE4EE"/>
            </w:tcBorders>
            <w:shd w:val="clear" w:color="auto" w:fill="F0F7FF"/>
            <w:tcMar>
              <w:top w:w="80" w:type="dxa"/>
              <w:left w:w="120" w:type="dxa"/>
              <w:bottom w:w="80" w:type="dxa"/>
              <w:right w:w="120" w:type="dxa"/>
            </w:tcMar>
          </w:tcPr>
          <w:p w14:paraId="1FBBFCDB" w14:textId="77777777" w:rsidR="00801D07" w:rsidRDefault="00000000">
            <w:r>
              <w:rPr>
                <w:sz w:val="18"/>
                <w:szCs w:val="18"/>
              </w:rPr>
              <w:t xml:space="preserve">HIGH — well-defined problem scope; two-database integration (Oracle + MySQL) is within M4 connector scope; KVKK requirement is a natural compliance pilot; </w:t>
            </w:r>
            <w:proofErr w:type="spellStart"/>
            <w:r>
              <w:rPr>
                <w:sz w:val="18"/>
                <w:szCs w:val="18"/>
              </w:rPr>
              <w:t>organisation</w:t>
            </w:r>
            <w:proofErr w:type="spellEnd"/>
            <w:r>
              <w:rPr>
                <w:sz w:val="18"/>
                <w:szCs w:val="18"/>
              </w:rPr>
              <w:t xml:space="preserve"> size creates manageable pilot complexity.</w:t>
            </w:r>
          </w:p>
        </w:tc>
      </w:tr>
      <w:tr w:rsidR="00801D07" w14:paraId="198E10D1" w14:textId="77777777">
        <w:tblPrEx>
          <w:tblCellMar>
            <w:top w:w="0" w:type="dxa"/>
            <w:bottom w:w="0" w:type="dxa"/>
          </w:tblCellMar>
        </w:tblPrEx>
        <w:tc>
          <w:tcPr>
            <w:tcW w:w="20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7713B43F" w14:textId="77777777" w:rsidR="00801D07" w:rsidRDefault="00000000">
            <w:r>
              <w:rPr>
                <w:b/>
                <w:bCs/>
                <w:color w:val="1F4E79"/>
                <w:sz w:val="18"/>
                <w:szCs w:val="18"/>
              </w:rPr>
              <w:t>Contact Strategy</w:t>
            </w:r>
          </w:p>
        </w:tc>
        <w:tc>
          <w:tcPr>
            <w:tcW w:w="736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49F6BBC3" w14:textId="77777777" w:rsidR="00801D07" w:rsidRDefault="00000000">
            <w:r>
              <w:rPr>
                <w:sz w:val="18"/>
                <w:szCs w:val="18"/>
              </w:rPr>
              <w:t>Target mid-size industrial companies in Bursa, Kocaeli, and Istanbul industrial zones. Approach through university technology transfer office connections or local chamber of commerce. Academic prototype framing reduces procurement barrier.</w:t>
            </w:r>
          </w:p>
        </w:tc>
      </w:tr>
    </w:tbl>
    <w:p w14:paraId="7A27E7C1" w14:textId="77777777" w:rsidR="00801D07" w:rsidRDefault="00801D0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01D07" w14:paraId="6BE47D08" w14:textId="77777777">
        <w:tblPrEx>
          <w:tblCellMar>
            <w:top w:w="0" w:type="dxa"/>
            <w:bottom w:w="0" w:type="dxa"/>
          </w:tblCellMar>
        </w:tblPrEx>
        <w:tc>
          <w:tcPr>
            <w:tcW w:w="9360" w:type="dxa"/>
            <w:gridSpan w:val="2"/>
            <w:tcBorders>
              <w:top w:val="single" w:sz="1" w:space="0" w:color="1F4E79"/>
              <w:left w:val="single" w:sz="1" w:space="0" w:color="1F4E79"/>
              <w:bottom w:val="single" w:sz="1" w:space="0" w:color="1F4E79"/>
              <w:right w:val="single" w:sz="1" w:space="0" w:color="1F4E79"/>
            </w:tcBorders>
            <w:shd w:val="clear" w:color="auto" w:fill="2E75B6"/>
            <w:tcMar>
              <w:top w:w="100" w:type="dxa"/>
              <w:left w:w="140" w:type="dxa"/>
              <w:bottom w:w="100" w:type="dxa"/>
              <w:right w:w="140" w:type="dxa"/>
            </w:tcMar>
          </w:tcPr>
          <w:p w14:paraId="67F2E267" w14:textId="77777777" w:rsidR="00801D07" w:rsidRDefault="00000000">
            <w:r>
              <w:rPr>
                <w:b/>
                <w:bCs/>
                <w:color w:val="FFFFFF"/>
              </w:rPr>
              <w:t xml:space="preserve">Pilot </w:t>
            </w:r>
            <w:proofErr w:type="spellStart"/>
            <w:r>
              <w:rPr>
                <w:b/>
                <w:bCs/>
                <w:color w:val="FFFFFF"/>
              </w:rPr>
              <w:t>Organisation</w:t>
            </w:r>
            <w:proofErr w:type="spellEnd"/>
            <w:r>
              <w:rPr>
                <w:b/>
                <w:bCs/>
                <w:color w:val="FFFFFF"/>
              </w:rPr>
              <w:t xml:space="preserve"> Profile 2 — Turkish E-Commerce Platform</w:t>
            </w:r>
          </w:p>
        </w:tc>
      </w:tr>
      <w:tr w:rsidR="00801D07" w14:paraId="35264162" w14:textId="77777777">
        <w:tblPrEx>
          <w:tblCellMar>
            <w:top w:w="0" w:type="dxa"/>
            <w:bottom w:w="0" w:type="dxa"/>
          </w:tblCellMar>
        </w:tblPrEx>
        <w:tc>
          <w:tcPr>
            <w:tcW w:w="2000" w:type="dxa"/>
            <w:tcBorders>
              <w:top w:val="single" w:sz="1" w:space="0" w:color="DDE4EE"/>
              <w:left w:val="single" w:sz="1" w:space="0" w:color="DDE4EE"/>
              <w:bottom w:val="single" w:sz="1" w:space="0" w:color="DDE4EE"/>
              <w:right w:val="single" w:sz="1" w:space="0" w:color="DDE4EE"/>
            </w:tcBorders>
            <w:shd w:val="clear" w:color="auto" w:fill="F0F7FF"/>
            <w:tcMar>
              <w:top w:w="80" w:type="dxa"/>
              <w:left w:w="120" w:type="dxa"/>
              <w:bottom w:w="80" w:type="dxa"/>
              <w:right w:w="120" w:type="dxa"/>
            </w:tcMar>
          </w:tcPr>
          <w:p w14:paraId="379D8029" w14:textId="77777777" w:rsidR="00801D07" w:rsidRDefault="00000000">
            <w:proofErr w:type="spellStart"/>
            <w:r>
              <w:rPr>
                <w:b/>
                <w:bCs/>
                <w:color w:val="1F4E79"/>
                <w:sz w:val="18"/>
                <w:szCs w:val="18"/>
              </w:rPr>
              <w:t>Organisation</w:t>
            </w:r>
            <w:proofErr w:type="spellEnd"/>
            <w:r>
              <w:rPr>
                <w:b/>
                <w:bCs/>
                <w:color w:val="1F4E79"/>
                <w:sz w:val="18"/>
                <w:szCs w:val="18"/>
              </w:rPr>
              <w:t xml:space="preserve"> Type</w:t>
            </w:r>
          </w:p>
        </w:tc>
        <w:tc>
          <w:tcPr>
            <w:tcW w:w="7360" w:type="dxa"/>
            <w:tcBorders>
              <w:top w:val="single" w:sz="1" w:space="0" w:color="DDE4EE"/>
              <w:left w:val="single" w:sz="1" w:space="0" w:color="DDE4EE"/>
              <w:bottom w:val="single" w:sz="1" w:space="0" w:color="DDE4EE"/>
              <w:right w:val="single" w:sz="1" w:space="0" w:color="DDE4EE"/>
            </w:tcBorders>
            <w:shd w:val="clear" w:color="auto" w:fill="F0F7FF"/>
            <w:tcMar>
              <w:top w:w="80" w:type="dxa"/>
              <w:left w:w="120" w:type="dxa"/>
              <w:bottom w:w="80" w:type="dxa"/>
              <w:right w:w="120" w:type="dxa"/>
            </w:tcMar>
          </w:tcPr>
          <w:p w14:paraId="304A803C" w14:textId="77777777" w:rsidR="00801D07" w:rsidRDefault="00000000">
            <w:r>
              <w:rPr>
                <w:sz w:val="18"/>
                <w:szCs w:val="18"/>
              </w:rPr>
              <w:t>Growing e-commerce company; 50–200 employees; online retail operations targeting Turkish and regional markets.</w:t>
            </w:r>
          </w:p>
        </w:tc>
      </w:tr>
      <w:tr w:rsidR="00801D07" w14:paraId="60343D8F" w14:textId="77777777">
        <w:tblPrEx>
          <w:tblCellMar>
            <w:top w:w="0" w:type="dxa"/>
            <w:bottom w:w="0" w:type="dxa"/>
          </w:tblCellMar>
        </w:tblPrEx>
        <w:tc>
          <w:tcPr>
            <w:tcW w:w="20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17A7204D" w14:textId="77777777" w:rsidR="00801D07" w:rsidRDefault="00000000">
            <w:r>
              <w:rPr>
                <w:b/>
                <w:bCs/>
                <w:color w:val="1F4E79"/>
                <w:sz w:val="18"/>
                <w:szCs w:val="18"/>
              </w:rPr>
              <w:t>Current Infrastructure</w:t>
            </w:r>
          </w:p>
        </w:tc>
        <w:tc>
          <w:tcPr>
            <w:tcW w:w="736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018ED955" w14:textId="77777777" w:rsidR="00801D07" w:rsidRDefault="00000000">
            <w:r>
              <w:rPr>
                <w:sz w:val="18"/>
                <w:szCs w:val="18"/>
              </w:rPr>
              <w:t>PostgreSQL for order management and customer data; MongoDB for product catalog; REST APIs for payment gateway and shipping partners; Power BI Pro for reporting ($10/user/month scaling with team). No CDC or real-time data movement. No data quality monitoring.</w:t>
            </w:r>
          </w:p>
        </w:tc>
      </w:tr>
      <w:tr w:rsidR="00801D07" w14:paraId="2619E581" w14:textId="77777777">
        <w:tblPrEx>
          <w:tblCellMar>
            <w:top w:w="0" w:type="dxa"/>
            <w:bottom w:w="0" w:type="dxa"/>
          </w:tblCellMar>
        </w:tblPrEx>
        <w:tc>
          <w:tcPr>
            <w:tcW w:w="2000" w:type="dxa"/>
            <w:tcBorders>
              <w:top w:val="single" w:sz="1" w:space="0" w:color="DDE4EE"/>
              <w:left w:val="single" w:sz="1" w:space="0" w:color="DDE4EE"/>
              <w:bottom w:val="single" w:sz="1" w:space="0" w:color="DDE4EE"/>
              <w:right w:val="single" w:sz="1" w:space="0" w:color="DDE4EE"/>
            </w:tcBorders>
            <w:shd w:val="clear" w:color="auto" w:fill="F0F7FF"/>
            <w:tcMar>
              <w:top w:w="80" w:type="dxa"/>
              <w:left w:w="120" w:type="dxa"/>
              <w:bottom w:w="80" w:type="dxa"/>
              <w:right w:w="120" w:type="dxa"/>
            </w:tcMar>
          </w:tcPr>
          <w:p w14:paraId="4F2A932E" w14:textId="77777777" w:rsidR="00801D07" w:rsidRDefault="00000000">
            <w:r>
              <w:rPr>
                <w:b/>
                <w:bCs/>
                <w:color w:val="1F4E79"/>
                <w:sz w:val="18"/>
                <w:szCs w:val="18"/>
              </w:rPr>
              <w:t>Key Data Challenges</w:t>
            </w:r>
          </w:p>
        </w:tc>
        <w:tc>
          <w:tcPr>
            <w:tcW w:w="7360" w:type="dxa"/>
            <w:tcBorders>
              <w:top w:val="single" w:sz="1" w:space="0" w:color="DDE4EE"/>
              <w:left w:val="single" w:sz="1" w:space="0" w:color="DDE4EE"/>
              <w:bottom w:val="single" w:sz="1" w:space="0" w:color="DDE4EE"/>
              <w:right w:val="single" w:sz="1" w:space="0" w:color="DDE4EE"/>
            </w:tcBorders>
            <w:shd w:val="clear" w:color="auto" w:fill="F0F7FF"/>
            <w:tcMar>
              <w:top w:w="80" w:type="dxa"/>
              <w:left w:w="120" w:type="dxa"/>
              <w:bottom w:w="80" w:type="dxa"/>
              <w:right w:w="120" w:type="dxa"/>
            </w:tcMar>
          </w:tcPr>
          <w:p w14:paraId="2F5D3729" w14:textId="77777777" w:rsidR="00801D07" w:rsidRDefault="00000000">
            <w:r>
              <w:rPr>
                <w:sz w:val="18"/>
                <w:szCs w:val="18"/>
              </w:rPr>
              <w:t>1. Data silos across PostgreSQL, MongoDB, and external APIs — order-to-delivery reporting requires joining three separate systems manually. 2. No real-time order tracking data — operational dashboards show data hours behind. 3. Power BI Pro licensing cost scaling as team grows ($10/user/month per analyst). 4. No automated data quality checks — data errors in MongoDB product catalog reach customer-facing pages silently. 5. KVKK compliance required for customer personal data.</w:t>
            </w:r>
          </w:p>
        </w:tc>
      </w:tr>
      <w:tr w:rsidR="00801D07" w14:paraId="0B416587" w14:textId="77777777">
        <w:tblPrEx>
          <w:tblCellMar>
            <w:top w:w="0" w:type="dxa"/>
            <w:bottom w:w="0" w:type="dxa"/>
          </w:tblCellMar>
        </w:tblPrEx>
        <w:tc>
          <w:tcPr>
            <w:tcW w:w="20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4A8655E3" w14:textId="77777777" w:rsidR="00801D07" w:rsidRDefault="00000000">
            <w:r>
              <w:rPr>
                <w:b/>
                <w:bCs/>
                <w:color w:val="1F4E79"/>
                <w:sz w:val="18"/>
                <w:szCs w:val="18"/>
              </w:rPr>
              <w:t>Why SUBOP Fits</w:t>
            </w:r>
          </w:p>
        </w:tc>
        <w:tc>
          <w:tcPr>
            <w:tcW w:w="736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1E99BF02" w14:textId="77777777" w:rsidR="00801D07" w:rsidRDefault="00000000">
            <w:r>
              <w:rPr>
                <w:sz w:val="18"/>
                <w:szCs w:val="18"/>
              </w:rPr>
              <w:t xml:space="preserve">SUBOP's PostgreSQL and MongoDB connectors with the database-agnostic ETL layer unify all three data sources without writing custom integration code. The CDC module (M7) delivers real-time order status updates to the warehouse with sub-30-second latency. The BI dashboard (M9) replaces the Power BI Pro subscription with a zero-licensing-cost self-service reporting layer. The data quality module (M10) catches </w:t>
            </w:r>
            <w:r>
              <w:rPr>
                <w:sz w:val="18"/>
                <w:szCs w:val="18"/>
              </w:rPr>
              <w:lastRenderedPageBreak/>
              <w:t>MongoDB catalog errors before they reach the pipeline output. KVKK compliance (M11) addresses customer data handling obligations.</w:t>
            </w:r>
          </w:p>
        </w:tc>
      </w:tr>
      <w:tr w:rsidR="00801D07" w14:paraId="3E0E81E7" w14:textId="77777777">
        <w:tblPrEx>
          <w:tblCellMar>
            <w:top w:w="0" w:type="dxa"/>
            <w:bottom w:w="0" w:type="dxa"/>
          </w:tblCellMar>
        </w:tblPrEx>
        <w:tc>
          <w:tcPr>
            <w:tcW w:w="2000" w:type="dxa"/>
            <w:tcBorders>
              <w:top w:val="single" w:sz="1" w:space="0" w:color="DDE4EE"/>
              <w:left w:val="single" w:sz="1" w:space="0" w:color="DDE4EE"/>
              <w:bottom w:val="single" w:sz="1" w:space="0" w:color="DDE4EE"/>
              <w:right w:val="single" w:sz="1" w:space="0" w:color="DDE4EE"/>
            </w:tcBorders>
            <w:shd w:val="clear" w:color="auto" w:fill="F0F7FF"/>
            <w:tcMar>
              <w:top w:w="80" w:type="dxa"/>
              <w:left w:w="120" w:type="dxa"/>
              <w:bottom w:w="80" w:type="dxa"/>
              <w:right w:w="120" w:type="dxa"/>
            </w:tcMar>
          </w:tcPr>
          <w:p w14:paraId="66E0AF8D" w14:textId="77777777" w:rsidR="00801D07" w:rsidRDefault="00000000">
            <w:r>
              <w:rPr>
                <w:b/>
                <w:bCs/>
                <w:color w:val="1F4E79"/>
                <w:sz w:val="18"/>
                <w:szCs w:val="18"/>
              </w:rPr>
              <w:t>Pilot Suitability</w:t>
            </w:r>
          </w:p>
        </w:tc>
        <w:tc>
          <w:tcPr>
            <w:tcW w:w="7360" w:type="dxa"/>
            <w:tcBorders>
              <w:top w:val="single" w:sz="1" w:space="0" w:color="DDE4EE"/>
              <w:left w:val="single" w:sz="1" w:space="0" w:color="DDE4EE"/>
              <w:bottom w:val="single" w:sz="1" w:space="0" w:color="DDE4EE"/>
              <w:right w:val="single" w:sz="1" w:space="0" w:color="DDE4EE"/>
            </w:tcBorders>
            <w:shd w:val="clear" w:color="auto" w:fill="F0F7FF"/>
            <w:tcMar>
              <w:top w:w="80" w:type="dxa"/>
              <w:left w:w="120" w:type="dxa"/>
              <w:bottom w:w="80" w:type="dxa"/>
              <w:right w:w="120" w:type="dxa"/>
            </w:tcMar>
          </w:tcPr>
          <w:p w14:paraId="54BBA750" w14:textId="77777777" w:rsidR="00801D07" w:rsidRDefault="00000000">
            <w:r>
              <w:rPr>
                <w:sz w:val="18"/>
                <w:szCs w:val="18"/>
              </w:rPr>
              <w:t>HIGH — multi-source integration (PostgreSQL + MongoDB + REST API) tests three connector types simultaneously; CDC real-time requirement is the M7 validation scenario; switching from Power BI creates a concrete ROI story for the pilot report.</w:t>
            </w:r>
          </w:p>
        </w:tc>
      </w:tr>
      <w:tr w:rsidR="00801D07" w14:paraId="47573D1D" w14:textId="77777777">
        <w:tblPrEx>
          <w:tblCellMar>
            <w:top w:w="0" w:type="dxa"/>
            <w:bottom w:w="0" w:type="dxa"/>
          </w:tblCellMar>
        </w:tblPrEx>
        <w:tc>
          <w:tcPr>
            <w:tcW w:w="20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4D9A4C97" w14:textId="77777777" w:rsidR="00801D07" w:rsidRDefault="00000000">
            <w:r>
              <w:rPr>
                <w:b/>
                <w:bCs/>
                <w:color w:val="1F4E79"/>
                <w:sz w:val="18"/>
                <w:szCs w:val="18"/>
              </w:rPr>
              <w:t>Contact Strategy</w:t>
            </w:r>
          </w:p>
        </w:tc>
        <w:tc>
          <w:tcPr>
            <w:tcW w:w="736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3379163F" w14:textId="77777777" w:rsidR="00801D07" w:rsidRDefault="00000000">
            <w:r>
              <w:rPr>
                <w:sz w:val="18"/>
                <w:szCs w:val="18"/>
              </w:rPr>
              <w:t>Target mid-market e-commerce platforms in the Turkish market. Approach through technology startup communities (Startup Istanbul, Endeavor Turkey) or through university alumni in e-commerce and retail technology. The Power BI cost replacement narrative is a strong opening for outreach.</w:t>
            </w:r>
          </w:p>
        </w:tc>
      </w:tr>
    </w:tbl>
    <w:p w14:paraId="78D04D49" w14:textId="77777777" w:rsidR="00801D07" w:rsidRDefault="00801D0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01D07" w14:paraId="15CC67F5" w14:textId="77777777">
        <w:tblPrEx>
          <w:tblCellMar>
            <w:top w:w="0" w:type="dxa"/>
            <w:bottom w:w="0" w:type="dxa"/>
          </w:tblCellMar>
        </w:tblPrEx>
        <w:tc>
          <w:tcPr>
            <w:tcW w:w="9360" w:type="dxa"/>
            <w:gridSpan w:val="2"/>
            <w:tcBorders>
              <w:top w:val="single" w:sz="1" w:space="0" w:color="1F4E79"/>
              <w:left w:val="single" w:sz="1" w:space="0" w:color="1F4E79"/>
              <w:bottom w:val="single" w:sz="1" w:space="0" w:color="1F4E79"/>
              <w:right w:val="single" w:sz="1" w:space="0" w:color="1F4E79"/>
            </w:tcBorders>
            <w:shd w:val="clear" w:color="auto" w:fill="2E75B6"/>
            <w:tcMar>
              <w:top w:w="100" w:type="dxa"/>
              <w:left w:w="140" w:type="dxa"/>
              <w:bottom w:w="100" w:type="dxa"/>
              <w:right w:w="140" w:type="dxa"/>
            </w:tcMar>
          </w:tcPr>
          <w:p w14:paraId="6A31DBDC" w14:textId="77777777" w:rsidR="00801D07" w:rsidRDefault="00000000">
            <w:r>
              <w:rPr>
                <w:b/>
                <w:bCs/>
                <w:color w:val="FFFFFF"/>
              </w:rPr>
              <w:t xml:space="preserve">Pilot </w:t>
            </w:r>
            <w:proofErr w:type="spellStart"/>
            <w:r>
              <w:rPr>
                <w:b/>
                <w:bCs/>
                <w:color w:val="FFFFFF"/>
              </w:rPr>
              <w:t>Organisation</w:t>
            </w:r>
            <w:proofErr w:type="spellEnd"/>
            <w:r>
              <w:rPr>
                <w:b/>
                <w:bCs/>
                <w:color w:val="FFFFFF"/>
              </w:rPr>
              <w:t xml:space="preserve"> Profile 3 — Turkish Fintech Company</w:t>
            </w:r>
          </w:p>
        </w:tc>
      </w:tr>
      <w:tr w:rsidR="00801D07" w14:paraId="101A8AE1" w14:textId="77777777">
        <w:tblPrEx>
          <w:tblCellMar>
            <w:top w:w="0" w:type="dxa"/>
            <w:bottom w:w="0" w:type="dxa"/>
          </w:tblCellMar>
        </w:tblPrEx>
        <w:tc>
          <w:tcPr>
            <w:tcW w:w="2000" w:type="dxa"/>
            <w:tcBorders>
              <w:top w:val="single" w:sz="1" w:space="0" w:color="DDE4EE"/>
              <w:left w:val="single" w:sz="1" w:space="0" w:color="DDE4EE"/>
              <w:bottom w:val="single" w:sz="1" w:space="0" w:color="DDE4EE"/>
              <w:right w:val="single" w:sz="1" w:space="0" w:color="DDE4EE"/>
            </w:tcBorders>
            <w:shd w:val="clear" w:color="auto" w:fill="F0F7FF"/>
            <w:tcMar>
              <w:top w:w="80" w:type="dxa"/>
              <w:left w:w="120" w:type="dxa"/>
              <w:bottom w:w="80" w:type="dxa"/>
              <w:right w:w="120" w:type="dxa"/>
            </w:tcMar>
          </w:tcPr>
          <w:p w14:paraId="5DBCDE18" w14:textId="77777777" w:rsidR="00801D07" w:rsidRDefault="00000000">
            <w:proofErr w:type="spellStart"/>
            <w:r>
              <w:rPr>
                <w:b/>
                <w:bCs/>
                <w:color w:val="1F4E79"/>
                <w:sz w:val="18"/>
                <w:szCs w:val="18"/>
              </w:rPr>
              <w:t>Organisation</w:t>
            </w:r>
            <w:proofErr w:type="spellEnd"/>
            <w:r>
              <w:rPr>
                <w:b/>
                <w:bCs/>
                <w:color w:val="1F4E79"/>
                <w:sz w:val="18"/>
                <w:szCs w:val="18"/>
              </w:rPr>
              <w:t xml:space="preserve"> Type</w:t>
            </w:r>
          </w:p>
        </w:tc>
        <w:tc>
          <w:tcPr>
            <w:tcW w:w="7360" w:type="dxa"/>
            <w:tcBorders>
              <w:top w:val="single" w:sz="1" w:space="0" w:color="DDE4EE"/>
              <w:left w:val="single" w:sz="1" w:space="0" w:color="DDE4EE"/>
              <w:bottom w:val="single" w:sz="1" w:space="0" w:color="DDE4EE"/>
              <w:right w:val="single" w:sz="1" w:space="0" w:color="DDE4EE"/>
            </w:tcBorders>
            <w:shd w:val="clear" w:color="auto" w:fill="F0F7FF"/>
            <w:tcMar>
              <w:top w:w="80" w:type="dxa"/>
              <w:left w:w="120" w:type="dxa"/>
              <w:bottom w:w="80" w:type="dxa"/>
              <w:right w:w="120" w:type="dxa"/>
            </w:tcMar>
          </w:tcPr>
          <w:p w14:paraId="31A1327C" w14:textId="77777777" w:rsidR="00801D07" w:rsidRDefault="00000000">
            <w:r>
              <w:rPr>
                <w:sz w:val="18"/>
                <w:szCs w:val="18"/>
              </w:rPr>
              <w:t>Regulated financial services or payment technology company; 30–100 employees; operating under Turkish Banking Regulation and Supervision Agency (BDDK) oversight in addition to KVKK.</w:t>
            </w:r>
          </w:p>
        </w:tc>
      </w:tr>
      <w:tr w:rsidR="00801D07" w14:paraId="2C7DFA1E" w14:textId="77777777">
        <w:tblPrEx>
          <w:tblCellMar>
            <w:top w:w="0" w:type="dxa"/>
            <w:bottom w:w="0" w:type="dxa"/>
          </w:tblCellMar>
        </w:tblPrEx>
        <w:tc>
          <w:tcPr>
            <w:tcW w:w="20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654E8652" w14:textId="77777777" w:rsidR="00801D07" w:rsidRDefault="00000000">
            <w:r>
              <w:rPr>
                <w:b/>
                <w:bCs/>
                <w:color w:val="1F4E79"/>
                <w:sz w:val="18"/>
                <w:szCs w:val="18"/>
              </w:rPr>
              <w:t>Current Infrastructure</w:t>
            </w:r>
          </w:p>
        </w:tc>
        <w:tc>
          <w:tcPr>
            <w:tcW w:w="736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1083D48E" w14:textId="77777777" w:rsidR="00801D07" w:rsidRDefault="00000000">
            <w:r>
              <w:rPr>
                <w:sz w:val="18"/>
                <w:szCs w:val="18"/>
              </w:rPr>
              <w:t>PostgreSQL for core transaction data; MSSQL for legacy reporting system; Kafka already in use for some payment event messaging; no formal ETL platform; data reconciliation between PostgreSQL and MSSQL performed manually by a data analyst weekly.</w:t>
            </w:r>
          </w:p>
        </w:tc>
      </w:tr>
      <w:tr w:rsidR="00801D07" w14:paraId="446B099B" w14:textId="77777777">
        <w:tblPrEx>
          <w:tblCellMar>
            <w:top w:w="0" w:type="dxa"/>
            <w:bottom w:w="0" w:type="dxa"/>
          </w:tblCellMar>
        </w:tblPrEx>
        <w:tc>
          <w:tcPr>
            <w:tcW w:w="2000" w:type="dxa"/>
            <w:tcBorders>
              <w:top w:val="single" w:sz="1" w:space="0" w:color="DDE4EE"/>
              <w:left w:val="single" w:sz="1" w:space="0" w:color="DDE4EE"/>
              <w:bottom w:val="single" w:sz="1" w:space="0" w:color="DDE4EE"/>
              <w:right w:val="single" w:sz="1" w:space="0" w:color="DDE4EE"/>
            </w:tcBorders>
            <w:shd w:val="clear" w:color="auto" w:fill="F0F7FF"/>
            <w:tcMar>
              <w:top w:w="80" w:type="dxa"/>
              <w:left w:w="120" w:type="dxa"/>
              <w:bottom w:w="80" w:type="dxa"/>
              <w:right w:w="120" w:type="dxa"/>
            </w:tcMar>
          </w:tcPr>
          <w:p w14:paraId="77F12304" w14:textId="77777777" w:rsidR="00801D07" w:rsidRDefault="00000000">
            <w:r>
              <w:rPr>
                <w:b/>
                <w:bCs/>
                <w:color w:val="1F4E79"/>
                <w:sz w:val="18"/>
                <w:szCs w:val="18"/>
              </w:rPr>
              <w:t>Key Data Challenges</w:t>
            </w:r>
          </w:p>
        </w:tc>
        <w:tc>
          <w:tcPr>
            <w:tcW w:w="7360" w:type="dxa"/>
            <w:tcBorders>
              <w:top w:val="single" w:sz="1" w:space="0" w:color="DDE4EE"/>
              <w:left w:val="single" w:sz="1" w:space="0" w:color="DDE4EE"/>
              <w:bottom w:val="single" w:sz="1" w:space="0" w:color="DDE4EE"/>
              <w:right w:val="single" w:sz="1" w:space="0" w:color="DDE4EE"/>
            </w:tcBorders>
            <w:shd w:val="clear" w:color="auto" w:fill="F0F7FF"/>
            <w:tcMar>
              <w:top w:w="80" w:type="dxa"/>
              <w:left w:w="120" w:type="dxa"/>
              <w:bottom w:w="80" w:type="dxa"/>
              <w:right w:w="120" w:type="dxa"/>
            </w:tcMar>
          </w:tcPr>
          <w:p w14:paraId="78D953A6" w14:textId="77777777" w:rsidR="00801D07" w:rsidRDefault="00000000">
            <w:r>
              <w:rPr>
                <w:sz w:val="18"/>
                <w:szCs w:val="18"/>
              </w:rPr>
              <w:t>1. Weekly manual reconciliation between PostgreSQL and MSSQL creates a one-week data lag in financial reporting and a significant analyst time cost. 2. No data lineage tracking — inability to trace a reported figure back to its source transaction creates audit compliance risk under BDDK examination. 3. KVKK compliance for customer financial data: mandatory VERBİS registration and data processing records required. 4. Kafka is already deployed but no platform connects Kafka event data to the reporting warehouse.</w:t>
            </w:r>
          </w:p>
        </w:tc>
      </w:tr>
      <w:tr w:rsidR="00801D07" w14:paraId="5CE720B5" w14:textId="77777777">
        <w:tblPrEx>
          <w:tblCellMar>
            <w:top w:w="0" w:type="dxa"/>
            <w:bottom w:w="0" w:type="dxa"/>
          </w:tblCellMar>
        </w:tblPrEx>
        <w:tc>
          <w:tcPr>
            <w:tcW w:w="20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595C545A" w14:textId="77777777" w:rsidR="00801D07" w:rsidRDefault="00000000">
            <w:r>
              <w:rPr>
                <w:b/>
                <w:bCs/>
                <w:color w:val="1F4E79"/>
                <w:sz w:val="18"/>
                <w:szCs w:val="18"/>
              </w:rPr>
              <w:t>Why SUBOP Fits</w:t>
            </w:r>
          </w:p>
        </w:tc>
        <w:tc>
          <w:tcPr>
            <w:tcW w:w="736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461CE0C1" w14:textId="77777777" w:rsidR="00801D07" w:rsidRDefault="00000000">
            <w:r>
              <w:rPr>
                <w:sz w:val="18"/>
                <w:szCs w:val="18"/>
              </w:rPr>
              <w:t>SUBOP's PostgreSQL and MSSQL connectors eliminate the manual weekly reconciliation with automated ETL. The CDC module (M7) connects to the existing Kafka infrastructure, treating Kafka as both a CDC event source and a streaming target without requiring additional middleware. The data lineage module (M10) provides the source-to-report audit trail required for BDDK examination. The KVKK/GDPR compliance module (M11) delivers the VERBİS documentation and data processing records. The RBAC module (M11) enforces data access controls on sensitive financial data.</w:t>
            </w:r>
          </w:p>
        </w:tc>
      </w:tr>
      <w:tr w:rsidR="00801D07" w14:paraId="0D95AB2D" w14:textId="77777777">
        <w:tblPrEx>
          <w:tblCellMar>
            <w:top w:w="0" w:type="dxa"/>
            <w:bottom w:w="0" w:type="dxa"/>
          </w:tblCellMar>
        </w:tblPrEx>
        <w:tc>
          <w:tcPr>
            <w:tcW w:w="2000" w:type="dxa"/>
            <w:tcBorders>
              <w:top w:val="single" w:sz="1" w:space="0" w:color="DDE4EE"/>
              <w:left w:val="single" w:sz="1" w:space="0" w:color="DDE4EE"/>
              <w:bottom w:val="single" w:sz="1" w:space="0" w:color="DDE4EE"/>
              <w:right w:val="single" w:sz="1" w:space="0" w:color="DDE4EE"/>
            </w:tcBorders>
            <w:shd w:val="clear" w:color="auto" w:fill="F0F7FF"/>
            <w:tcMar>
              <w:top w:w="80" w:type="dxa"/>
              <w:left w:w="120" w:type="dxa"/>
              <w:bottom w:w="80" w:type="dxa"/>
              <w:right w:w="120" w:type="dxa"/>
            </w:tcMar>
          </w:tcPr>
          <w:p w14:paraId="29DE9C5E" w14:textId="77777777" w:rsidR="00801D07" w:rsidRDefault="00000000">
            <w:r>
              <w:rPr>
                <w:b/>
                <w:bCs/>
                <w:color w:val="1F4E79"/>
                <w:sz w:val="18"/>
                <w:szCs w:val="18"/>
              </w:rPr>
              <w:t>Pilot Suitability</w:t>
            </w:r>
          </w:p>
        </w:tc>
        <w:tc>
          <w:tcPr>
            <w:tcW w:w="7360" w:type="dxa"/>
            <w:tcBorders>
              <w:top w:val="single" w:sz="1" w:space="0" w:color="DDE4EE"/>
              <w:left w:val="single" w:sz="1" w:space="0" w:color="DDE4EE"/>
              <w:bottom w:val="single" w:sz="1" w:space="0" w:color="DDE4EE"/>
              <w:right w:val="single" w:sz="1" w:space="0" w:color="DDE4EE"/>
            </w:tcBorders>
            <w:shd w:val="clear" w:color="auto" w:fill="F0F7FF"/>
            <w:tcMar>
              <w:top w:w="80" w:type="dxa"/>
              <w:left w:w="120" w:type="dxa"/>
              <w:bottom w:w="80" w:type="dxa"/>
              <w:right w:w="120" w:type="dxa"/>
            </w:tcMar>
          </w:tcPr>
          <w:p w14:paraId="5C21891B" w14:textId="77777777" w:rsidR="00801D07" w:rsidRDefault="00000000">
            <w:r>
              <w:rPr>
                <w:sz w:val="18"/>
                <w:szCs w:val="18"/>
              </w:rPr>
              <w:t xml:space="preserve">MEDIUM-HIGH — existing Kafka deployment uniquely validates the M7 CDC module in a real production context; dual regulatory requirement (KVKK + BDDK) creates the strongest compliance pilot scenario; </w:t>
            </w:r>
            <w:proofErr w:type="spellStart"/>
            <w:r>
              <w:rPr>
                <w:sz w:val="18"/>
                <w:szCs w:val="18"/>
              </w:rPr>
              <w:t>organisation</w:t>
            </w:r>
            <w:proofErr w:type="spellEnd"/>
            <w:r>
              <w:rPr>
                <w:sz w:val="18"/>
                <w:szCs w:val="18"/>
              </w:rPr>
              <w:t xml:space="preserve"> size is manageable for a first pilot; regulated industry creates clear audit and documentation requirements that SUBOP addresses directly.</w:t>
            </w:r>
          </w:p>
        </w:tc>
      </w:tr>
      <w:tr w:rsidR="00801D07" w14:paraId="0D537244" w14:textId="77777777">
        <w:tblPrEx>
          <w:tblCellMar>
            <w:top w:w="0" w:type="dxa"/>
            <w:bottom w:w="0" w:type="dxa"/>
          </w:tblCellMar>
        </w:tblPrEx>
        <w:tc>
          <w:tcPr>
            <w:tcW w:w="20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41D49312" w14:textId="77777777" w:rsidR="00801D07" w:rsidRDefault="00000000">
            <w:r>
              <w:rPr>
                <w:b/>
                <w:bCs/>
                <w:color w:val="1F4E79"/>
                <w:sz w:val="18"/>
                <w:szCs w:val="18"/>
              </w:rPr>
              <w:t>Contact Strategy</w:t>
            </w:r>
          </w:p>
        </w:tc>
        <w:tc>
          <w:tcPr>
            <w:tcW w:w="736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131AFC73" w14:textId="77777777" w:rsidR="00801D07" w:rsidRDefault="00000000">
            <w:r>
              <w:rPr>
                <w:sz w:val="18"/>
                <w:szCs w:val="18"/>
              </w:rPr>
              <w:t xml:space="preserve">Target fintech companies in the Istanbul financial technology ecosystem. Approach through university fintech research connections or the Finance Office of Istanbul. Regulatory compliance framing (KVKK + BDDK lineage audit) is the primary outreach value proposition. Confirm the </w:t>
            </w:r>
            <w:proofErr w:type="spellStart"/>
            <w:r>
              <w:rPr>
                <w:sz w:val="18"/>
                <w:szCs w:val="18"/>
              </w:rPr>
              <w:t>organisation</w:t>
            </w:r>
            <w:proofErr w:type="spellEnd"/>
            <w:r>
              <w:rPr>
                <w:sz w:val="18"/>
                <w:szCs w:val="18"/>
              </w:rPr>
              <w:t xml:space="preserve"> has a technical data team before outreach — fintech pilots require technical counterparts for integration work.</w:t>
            </w:r>
          </w:p>
        </w:tc>
      </w:tr>
    </w:tbl>
    <w:p w14:paraId="55534DCE" w14:textId="77777777" w:rsidR="00801D07" w:rsidRDefault="00801D07">
      <w:pPr>
        <w:spacing w:after="100"/>
      </w:pPr>
    </w:p>
    <w:p w14:paraId="77DCAD07" w14:textId="77777777" w:rsidR="00801D07" w:rsidRDefault="00000000">
      <w:pPr>
        <w:pBdr>
          <w:bottom w:val="single" w:sz="6" w:space="2" w:color="2E75B6"/>
        </w:pBdr>
        <w:spacing w:before="200" w:after="100"/>
      </w:pPr>
      <w:r>
        <w:rPr>
          <w:b/>
          <w:bCs/>
          <w:color w:val="1F4E79"/>
          <w:sz w:val="26"/>
          <w:szCs w:val="26"/>
        </w:rPr>
        <w:t>4. Risk Register — Updated</w:t>
      </w:r>
    </w:p>
    <w:p w14:paraId="67E6D389" w14:textId="77777777" w:rsidR="00801D07" w:rsidRDefault="00801D07">
      <w:pPr>
        <w:spacing w:after="60"/>
      </w:pPr>
    </w:p>
    <w:p w14:paraId="1D4E217D" w14:textId="77777777" w:rsidR="00801D07" w:rsidRDefault="00000000">
      <w:pPr>
        <w:spacing w:before="80" w:after="80"/>
        <w:jc w:val="both"/>
      </w:pPr>
      <w:r>
        <w:t>The following risk register updates the M1 Risk and Assumptions document with findings from Milestone 2 research. New risks identified during the competitor analysis and feasibility assessment are incorporated alongside the original M1 high-risk milestone designations.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
        <w:gridCol w:w="1936"/>
        <w:gridCol w:w="930"/>
        <w:gridCol w:w="1270"/>
        <w:gridCol w:w="4728"/>
      </w:tblGrid>
      <w:tr w:rsidR="00801D07" w14:paraId="5765D2C2" w14:textId="77777777">
        <w:tblPrEx>
          <w:tblCellMar>
            <w:top w:w="0" w:type="dxa"/>
            <w:bottom w:w="0" w:type="dxa"/>
          </w:tblCellMar>
        </w:tblPrEx>
        <w:trPr>
          <w:tblHeader/>
        </w:trPr>
        <w:tc>
          <w:tcPr>
            <w:tcW w:w="26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59676F68" w14:textId="77777777" w:rsidR="00801D07" w:rsidRDefault="00000000">
            <w:pPr>
              <w:jc w:val="center"/>
            </w:pPr>
            <w:r>
              <w:rPr>
                <w:b/>
                <w:bCs/>
                <w:color w:val="FFFFFF"/>
                <w:sz w:val="18"/>
                <w:szCs w:val="18"/>
              </w:rPr>
              <w:t>#</w:t>
            </w:r>
          </w:p>
        </w:tc>
        <w:tc>
          <w:tcPr>
            <w:tcW w:w="200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7029CF0E" w14:textId="77777777" w:rsidR="00801D07" w:rsidRDefault="00000000">
            <w:pPr>
              <w:jc w:val="center"/>
            </w:pPr>
            <w:r>
              <w:rPr>
                <w:b/>
                <w:bCs/>
                <w:color w:val="FFFFFF"/>
                <w:sz w:val="18"/>
                <w:szCs w:val="18"/>
              </w:rPr>
              <w:t>Risk</w:t>
            </w:r>
          </w:p>
        </w:tc>
        <w:tc>
          <w:tcPr>
            <w:tcW w:w="90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0EF949F8" w14:textId="77777777" w:rsidR="00801D07" w:rsidRDefault="00000000">
            <w:pPr>
              <w:jc w:val="center"/>
            </w:pPr>
            <w:r>
              <w:rPr>
                <w:b/>
                <w:bCs/>
                <w:color w:val="FFFFFF"/>
                <w:sz w:val="18"/>
                <w:szCs w:val="18"/>
              </w:rPr>
              <w:t>Impact</w:t>
            </w:r>
          </w:p>
        </w:tc>
        <w:tc>
          <w:tcPr>
            <w:tcW w:w="90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0C976891" w14:textId="77777777" w:rsidR="00801D07" w:rsidRDefault="00000000">
            <w:pPr>
              <w:jc w:val="center"/>
            </w:pPr>
            <w:r>
              <w:rPr>
                <w:b/>
                <w:bCs/>
                <w:color w:val="FFFFFF"/>
                <w:sz w:val="18"/>
                <w:szCs w:val="18"/>
              </w:rPr>
              <w:t>Likelihood</w:t>
            </w:r>
          </w:p>
        </w:tc>
        <w:tc>
          <w:tcPr>
            <w:tcW w:w="5300" w:type="dxa"/>
            <w:tcBorders>
              <w:top w:val="single" w:sz="1" w:space="0" w:color="DDE4EE"/>
              <w:left w:val="single" w:sz="1" w:space="0" w:color="DDE4EE"/>
              <w:bottom w:val="single" w:sz="1" w:space="0" w:color="DDE4EE"/>
              <w:right w:val="single" w:sz="1" w:space="0" w:color="DDE4EE"/>
            </w:tcBorders>
            <w:shd w:val="clear" w:color="auto" w:fill="1F4E79"/>
            <w:tcMar>
              <w:top w:w="80" w:type="dxa"/>
              <w:left w:w="120" w:type="dxa"/>
              <w:bottom w:w="80" w:type="dxa"/>
              <w:right w:w="120" w:type="dxa"/>
            </w:tcMar>
          </w:tcPr>
          <w:p w14:paraId="2793425E" w14:textId="77777777" w:rsidR="00801D07" w:rsidRDefault="00000000">
            <w:pPr>
              <w:jc w:val="center"/>
            </w:pPr>
            <w:r>
              <w:rPr>
                <w:b/>
                <w:bCs/>
                <w:color w:val="FFFFFF"/>
                <w:sz w:val="18"/>
                <w:szCs w:val="18"/>
              </w:rPr>
              <w:t>Mitigation</w:t>
            </w:r>
          </w:p>
        </w:tc>
      </w:tr>
      <w:tr w:rsidR="00801D07" w14:paraId="2781125A" w14:textId="77777777">
        <w:tblPrEx>
          <w:tblCellMar>
            <w:top w:w="0" w:type="dxa"/>
            <w:bottom w:w="0" w:type="dxa"/>
          </w:tblCellMar>
        </w:tblPrEx>
        <w:tc>
          <w:tcPr>
            <w:tcW w:w="26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vAlign w:val="center"/>
          </w:tcPr>
          <w:p w14:paraId="785348AB" w14:textId="77777777" w:rsidR="00801D07" w:rsidRDefault="00000000">
            <w:pPr>
              <w:jc w:val="center"/>
            </w:pPr>
            <w:r>
              <w:rPr>
                <w:b/>
                <w:bCs/>
                <w:color w:val="1F4E79"/>
              </w:rPr>
              <w:t>R1</w:t>
            </w:r>
          </w:p>
        </w:tc>
        <w:tc>
          <w:tcPr>
            <w:tcW w:w="20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2E17D36A" w14:textId="77777777" w:rsidR="00801D07" w:rsidRDefault="00000000">
            <w:r>
              <w:rPr>
                <w:sz w:val="18"/>
                <w:szCs w:val="18"/>
              </w:rPr>
              <w:t>Omer's Kafka/</w:t>
            </w:r>
            <w:proofErr w:type="spellStart"/>
            <w:r>
              <w:rPr>
                <w:sz w:val="18"/>
                <w:szCs w:val="18"/>
              </w:rPr>
              <w:t>Debezium</w:t>
            </w:r>
            <w:proofErr w:type="spellEnd"/>
            <w:r>
              <w:rPr>
                <w:sz w:val="18"/>
                <w:szCs w:val="18"/>
              </w:rPr>
              <w:t xml:space="preserve"> skill gap delays M7</w:t>
            </w:r>
          </w:p>
        </w:tc>
        <w:tc>
          <w:tcPr>
            <w:tcW w:w="90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631656C2" w14:textId="77777777" w:rsidR="00801D07" w:rsidRDefault="00000000">
            <w:pPr>
              <w:jc w:val="center"/>
            </w:pPr>
            <w:r>
              <w:rPr>
                <w:b/>
                <w:bCs/>
                <w:color w:val="B71C1C"/>
                <w:sz w:val="17"/>
                <w:szCs w:val="17"/>
              </w:rPr>
              <w:t>HIGH</w:t>
            </w:r>
          </w:p>
        </w:tc>
        <w:tc>
          <w:tcPr>
            <w:tcW w:w="90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6B0B34BA" w14:textId="77777777" w:rsidR="00801D07" w:rsidRDefault="00000000">
            <w:pPr>
              <w:jc w:val="center"/>
            </w:pPr>
            <w:r>
              <w:rPr>
                <w:b/>
                <w:bCs/>
                <w:color w:val="B71C1C"/>
                <w:sz w:val="17"/>
                <w:szCs w:val="17"/>
              </w:rPr>
              <w:t>HIGH</w:t>
            </w:r>
          </w:p>
        </w:tc>
        <w:tc>
          <w:tcPr>
            <w:tcW w:w="53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27F2C520" w14:textId="77777777" w:rsidR="00801D07" w:rsidRDefault="00000000">
            <w:r>
              <w:rPr>
                <w:sz w:val="17"/>
                <w:szCs w:val="17"/>
              </w:rPr>
              <w:t xml:space="preserve">Structured study plan begins M3 Week 8. Progress tracked weekly. M7 given 5-week scope to absorb learning curve. </w:t>
            </w:r>
            <w:proofErr w:type="spellStart"/>
            <w:r>
              <w:rPr>
                <w:sz w:val="17"/>
                <w:szCs w:val="17"/>
              </w:rPr>
              <w:t>Debezium</w:t>
            </w:r>
            <w:proofErr w:type="spellEnd"/>
            <w:r>
              <w:rPr>
                <w:sz w:val="17"/>
                <w:szCs w:val="17"/>
              </w:rPr>
              <w:t xml:space="preserve"> + Kafka is the proven industry architecture — extensive documentation available.</w:t>
            </w:r>
          </w:p>
        </w:tc>
      </w:tr>
      <w:tr w:rsidR="00801D07" w14:paraId="66733F6B" w14:textId="77777777">
        <w:tblPrEx>
          <w:tblCellMar>
            <w:top w:w="0" w:type="dxa"/>
            <w:bottom w:w="0" w:type="dxa"/>
          </w:tblCellMar>
        </w:tblPrEx>
        <w:tc>
          <w:tcPr>
            <w:tcW w:w="26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vAlign w:val="center"/>
          </w:tcPr>
          <w:p w14:paraId="1DA9C33D" w14:textId="77777777" w:rsidR="00801D07" w:rsidRDefault="00000000">
            <w:pPr>
              <w:jc w:val="center"/>
            </w:pPr>
            <w:r>
              <w:rPr>
                <w:b/>
                <w:bCs/>
                <w:color w:val="1F4E79"/>
              </w:rPr>
              <w:lastRenderedPageBreak/>
              <w:t>R2</w:t>
            </w:r>
          </w:p>
        </w:tc>
        <w:tc>
          <w:tcPr>
            <w:tcW w:w="20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tcPr>
          <w:p w14:paraId="14B3CC03" w14:textId="77777777" w:rsidR="00801D07" w:rsidRDefault="00000000">
            <w:r>
              <w:rPr>
                <w:sz w:val="18"/>
                <w:szCs w:val="18"/>
              </w:rPr>
              <w:t>Metadata-driven DW design requires novel research with no direct competitor template</w:t>
            </w:r>
          </w:p>
        </w:tc>
        <w:tc>
          <w:tcPr>
            <w:tcW w:w="90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50A64231" w14:textId="77777777" w:rsidR="00801D07" w:rsidRDefault="00000000">
            <w:pPr>
              <w:jc w:val="center"/>
            </w:pPr>
            <w:r>
              <w:rPr>
                <w:b/>
                <w:bCs/>
                <w:color w:val="B71C1C"/>
                <w:sz w:val="17"/>
                <w:szCs w:val="17"/>
              </w:rPr>
              <w:t>HIGH</w:t>
            </w:r>
          </w:p>
        </w:tc>
        <w:tc>
          <w:tcPr>
            <w:tcW w:w="90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154626FF" w14:textId="77777777" w:rsidR="00801D07" w:rsidRDefault="00000000">
            <w:pPr>
              <w:jc w:val="center"/>
            </w:pPr>
            <w:r>
              <w:rPr>
                <w:b/>
                <w:bCs/>
                <w:color w:val="7B4D00"/>
                <w:sz w:val="17"/>
                <w:szCs w:val="17"/>
              </w:rPr>
              <w:t>MEDIUM</w:t>
            </w:r>
          </w:p>
        </w:tc>
        <w:tc>
          <w:tcPr>
            <w:tcW w:w="53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tcPr>
          <w:p w14:paraId="3F52CC45" w14:textId="77777777" w:rsidR="00801D07" w:rsidRDefault="00000000">
            <w:r>
              <w:rPr>
                <w:sz w:val="17"/>
                <w:szCs w:val="17"/>
              </w:rPr>
              <w:t xml:space="preserve">M5–M7 buffer used for DW schema generation research. </w:t>
            </w:r>
            <w:proofErr w:type="spellStart"/>
            <w:r>
              <w:rPr>
                <w:sz w:val="17"/>
                <w:szCs w:val="17"/>
              </w:rPr>
              <w:t>dbt</w:t>
            </w:r>
            <w:proofErr w:type="spellEnd"/>
            <w:r>
              <w:rPr>
                <w:sz w:val="17"/>
                <w:szCs w:val="17"/>
              </w:rPr>
              <w:t xml:space="preserve"> snapshot patterns studied as partial reference. M8 given 4-week scope. Architecture document (M3) must resolve the metadata schema representation approach before M8 begins.</w:t>
            </w:r>
          </w:p>
        </w:tc>
      </w:tr>
      <w:tr w:rsidR="00801D07" w14:paraId="28CF3F4E" w14:textId="77777777">
        <w:tblPrEx>
          <w:tblCellMar>
            <w:top w:w="0" w:type="dxa"/>
            <w:bottom w:w="0" w:type="dxa"/>
          </w:tblCellMar>
        </w:tblPrEx>
        <w:tc>
          <w:tcPr>
            <w:tcW w:w="26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vAlign w:val="center"/>
          </w:tcPr>
          <w:p w14:paraId="6E54C93B" w14:textId="77777777" w:rsidR="00801D07" w:rsidRDefault="00000000">
            <w:pPr>
              <w:jc w:val="center"/>
            </w:pPr>
            <w:r>
              <w:rPr>
                <w:b/>
                <w:bCs/>
                <w:color w:val="1F4E79"/>
              </w:rPr>
              <w:t>R3</w:t>
            </w:r>
          </w:p>
        </w:tc>
        <w:tc>
          <w:tcPr>
            <w:tcW w:w="20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45B8C2B6" w14:textId="77777777" w:rsidR="00801D07" w:rsidRDefault="00000000">
            <w:r>
              <w:rPr>
                <w:sz w:val="18"/>
                <w:szCs w:val="18"/>
              </w:rPr>
              <w:t>Exam schedule reduces Abdullah and Beyza availability in June 2026</w:t>
            </w:r>
          </w:p>
        </w:tc>
        <w:tc>
          <w:tcPr>
            <w:tcW w:w="90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5C1297B5" w14:textId="77777777" w:rsidR="00801D07" w:rsidRDefault="00000000">
            <w:pPr>
              <w:jc w:val="center"/>
            </w:pPr>
            <w:r>
              <w:rPr>
                <w:b/>
                <w:bCs/>
                <w:color w:val="7B4D00"/>
                <w:sz w:val="17"/>
                <w:szCs w:val="17"/>
              </w:rPr>
              <w:t>MEDIUM</w:t>
            </w:r>
          </w:p>
        </w:tc>
        <w:tc>
          <w:tcPr>
            <w:tcW w:w="900" w:type="dxa"/>
            <w:tcBorders>
              <w:top w:val="single" w:sz="1" w:space="0" w:color="DDE4EE"/>
              <w:left w:val="single" w:sz="1" w:space="0" w:color="DDE4EE"/>
              <w:bottom w:val="single" w:sz="1" w:space="0" w:color="DDE4EE"/>
              <w:right w:val="single" w:sz="1" w:space="0" w:color="DDE4EE"/>
            </w:tcBorders>
            <w:shd w:val="clear" w:color="auto" w:fill="E3F2FD"/>
            <w:tcMar>
              <w:top w:w="80" w:type="dxa"/>
              <w:left w:w="120" w:type="dxa"/>
              <w:bottom w:w="80" w:type="dxa"/>
              <w:right w:w="120" w:type="dxa"/>
            </w:tcMar>
            <w:vAlign w:val="center"/>
          </w:tcPr>
          <w:p w14:paraId="5052E18E" w14:textId="77777777" w:rsidR="00801D07" w:rsidRDefault="00000000">
            <w:pPr>
              <w:jc w:val="center"/>
            </w:pPr>
            <w:r>
              <w:rPr>
                <w:b/>
                <w:bCs/>
                <w:color w:val="0D47A1"/>
                <w:sz w:val="17"/>
                <w:szCs w:val="17"/>
              </w:rPr>
              <w:t>CONFIRMED</w:t>
            </w:r>
          </w:p>
        </w:tc>
        <w:tc>
          <w:tcPr>
            <w:tcW w:w="53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16A3E685" w14:textId="77777777" w:rsidR="00801D07" w:rsidRDefault="00000000">
            <w:r>
              <w:rPr>
                <w:sz w:val="17"/>
                <w:szCs w:val="17"/>
              </w:rPr>
              <w:t>Week 6 workload formally documented as lighter for Abdullah. Beyza carried full load Week 6. Advisor informed via Week 6 progress report. No deliverable compression — scope protected by documented exam window.</w:t>
            </w:r>
          </w:p>
        </w:tc>
      </w:tr>
      <w:tr w:rsidR="00801D07" w14:paraId="1D22030B" w14:textId="77777777">
        <w:tblPrEx>
          <w:tblCellMar>
            <w:top w:w="0" w:type="dxa"/>
            <w:bottom w:w="0" w:type="dxa"/>
          </w:tblCellMar>
        </w:tblPrEx>
        <w:tc>
          <w:tcPr>
            <w:tcW w:w="26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vAlign w:val="center"/>
          </w:tcPr>
          <w:p w14:paraId="31BC55A6" w14:textId="77777777" w:rsidR="00801D07" w:rsidRDefault="00000000">
            <w:pPr>
              <w:jc w:val="center"/>
            </w:pPr>
            <w:r>
              <w:rPr>
                <w:b/>
                <w:bCs/>
                <w:color w:val="1F4E79"/>
              </w:rPr>
              <w:t>R4</w:t>
            </w:r>
          </w:p>
        </w:tc>
        <w:tc>
          <w:tcPr>
            <w:tcW w:w="20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tcPr>
          <w:p w14:paraId="212E91A1" w14:textId="77777777" w:rsidR="00801D07" w:rsidRDefault="00000000">
            <w:r>
              <w:rPr>
                <w:sz w:val="18"/>
                <w:szCs w:val="18"/>
              </w:rPr>
              <w:t>CI/CD pipeline activated before M3 scope — intent unconfirmed</w:t>
            </w:r>
          </w:p>
        </w:tc>
        <w:tc>
          <w:tcPr>
            <w:tcW w:w="900" w:type="dxa"/>
            <w:tcBorders>
              <w:top w:val="single" w:sz="1" w:space="0" w:color="DDE4EE"/>
              <w:left w:val="single" w:sz="1" w:space="0" w:color="DDE4EE"/>
              <w:bottom w:val="single" w:sz="1" w:space="0" w:color="DDE4EE"/>
              <w:right w:val="single" w:sz="1" w:space="0" w:color="DDE4EE"/>
            </w:tcBorders>
            <w:shd w:val="clear" w:color="auto" w:fill="E8F5E9"/>
            <w:tcMar>
              <w:top w:w="80" w:type="dxa"/>
              <w:left w:w="120" w:type="dxa"/>
              <w:bottom w:w="80" w:type="dxa"/>
              <w:right w:w="120" w:type="dxa"/>
            </w:tcMar>
            <w:vAlign w:val="center"/>
          </w:tcPr>
          <w:p w14:paraId="12959C8A" w14:textId="77777777" w:rsidR="00801D07" w:rsidRDefault="00000000">
            <w:pPr>
              <w:jc w:val="center"/>
            </w:pPr>
            <w:r>
              <w:rPr>
                <w:b/>
                <w:bCs/>
                <w:color w:val="1B5E20"/>
                <w:sz w:val="17"/>
                <w:szCs w:val="17"/>
              </w:rPr>
              <w:t>LOW</w:t>
            </w:r>
          </w:p>
        </w:tc>
        <w:tc>
          <w:tcPr>
            <w:tcW w:w="900" w:type="dxa"/>
            <w:tcBorders>
              <w:top w:val="single" w:sz="1" w:space="0" w:color="DDE4EE"/>
              <w:left w:val="single" w:sz="1" w:space="0" w:color="DDE4EE"/>
              <w:bottom w:val="single" w:sz="1" w:space="0" w:color="DDE4EE"/>
              <w:right w:val="single" w:sz="1" w:space="0" w:color="DDE4EE"/>
            </w:tcBorders>
            <w:shd w:val="clear" w:color="auto" w:fill="E3F2FD"/>
            <w:tcMar>
              <w:top w:w="80" w:type="dxa"/>
              <w:left w:w="120" w:type="dxa"/>
              <w:bottom w:w="80" w:type="dxa"/>
              <w:right w:w="120" w:type="dxa"/>
            </w:tcMar>
            <w:vAlign w:val="center"/>
          </w:tcPr>
          <w:p w14:paraId="10A325D0" w14:textId="77777777" w:rsidR="00801D07" w:rsidRDefault="00000000">
            <w:pPr>
              <w:jc w:val="center"/>
            </w:pPr>
            <w:r>
              <w:rPr>
                <w:b/>
                <w:bCs/>
                <w:color w:val="0D47A1"/>
                <w:sz w:val="17"/>
                <w:szCs w:val="17"/>
              </w:rPr>
              <w:t>CONFIRMED</w:t>
            </w:r>
          </w:p>
        </w:tc>
        <w:tc>
          <w:tcPr>
            <w:tcW w:w="53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tcPr>
          <w:p w14:paraId="5DEE6192" w14:textId="77777777" w:rsidR="00801D07" w:rsidRDefault="00000000">
            <w:r>
              <w:rPr>
                <w:sz w:val="17"/>
                <w:szCs w:val="17"/>
              </w:rPr>
              <w:t>Omer to confirm in writing (team task board) whether the early CI/CD activation was intentional or exploratory before M3 kickoff. If intentional, document as scope acceleration. If exploratory, ensure pipeline is stable and does not block M3 architecture work.</w:t>
            </w:r>
          </w:p>
        </w:tc>
      </w:tr>
      <w:tr w:rsidR="00801D07" w14:paraId="5483E44E" w14:textId="77777777">
        <w:tblPrEx>
          <w:tblCellMar>
            <w:top w:w="0" w:type="dxa"/>
            <w:bottom w:w="0" w:type="dxa"/>
          </w:tblCellMar>
        </w:tblPrEx>
        <w:tc>
          <w:tcPr>
            <w:tcW w:w="26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vAlign w:val="center"/>
          </w:tcPr>
          <w:p w14:paraId="3CDB9124" w14:textId="77777777" w:rsidR="00801D07" w:rsidRDefault="00000000">
            <w:pPr>
              <w:jc w:val="center"/>
            </w:pPr>
            <w:r>
              <w:rPr>
                <w:b/>
                <w:bCs/>
                <w:color w:val="1F4E79"/>
              </w:rPr>
              <w:t>R5</w:t>
            </w:r>
          </w:p>
        </w:tc>
        <w:tc>
          <w:tcPr>
            <w:tcW w:w="20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4E5BEB3E" w14:textId="77777777" w:rsidR="00801D07" w:rsidRDefault="00000000">
            <w:r>
              <w:rPr>
                <w:sz w:val="18"/>
                <w:szCs w:val="18"/>
              </w:rPr>
              <w:t xml:space="preserve">Pilot </w:t>
            </w:r>
            <w:proofErr w:type="spellStart"/>
            <w:r>
              <w:rPr>
                <w:sz w:val="18"/>
                <w:szCs w:val="18"/>
              </w:rPr>
              <w:t>organisation</w:t>
            </w:r>
            <w:proofErr w:type="spellEnd"/>
            <w:r>
              <w:rPr>
                <w:sz w:val="18"/>
                <w:szCs w:val="18"/>
              </w:rPr>
              <w:t xml:space="preserve"> recruitment delayed beyond January 2027</w:t>
            </w:r>
          </w:p>
        </w:tc>
        <w:tc>
          <w:tcPr>
            <w:tcW w:w="90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375C8935" w14:textId="77777777" w:rsidR="00801D07" w:rsidRDefault="00000000">
            <w:pPr>
              <w:jc w:val="center"/>
            </w:pPr>
            <w:r>
              <w:rPr>
                <w:b/>
                <w:bCs/>
                <w:color w:val="B71C1C"/>
                <w:sz w:val="17"/>
                <w:szCs w:val="17"/>
              </w:rPr>
              <w:t>HIGH</w:t>
            </w:r>
          </w:p>
        </w:tc>
        <w:tc>
          <w:tcPr>
            <w:tcW w:w="900" w:type="dxa"/>
            <w:tcBorders>
              <w:top w:val="single" w:sz="1" w:space="0" w:color="DDE4EE"/>
              <w:left w:val="single" w:sz="1" w:space="0" w:color="DDE4EE"/>
              <w:bottom w:val="single" w:sz="1" w:space="0" w:color="DDE4EE"/>
              <w:right w:val="single" w:sz="1" w:space="0" w:color="DDE4EE"/>
            </w:tcBorders>
            <w:shd w:val="clear" w:color="auto" w:fill="FFF3CD"/>
            <w:tcMar>
              <w:top w:w="80" w:type="dxa"/>
              <w:left w:w="120" w:type="dxa"/>
              <w:bottom w:w="80" w:type="dxa"/>
              <w:right w:w="120" w:type="dxa"/>
            </w:tcMar>
            <w:vAlign w:val="center"/>
          </w:tcPr>
          <w:p w14:paraId="74088E5E" w14:textId="77777777" w:rsidR="00801D07" w:rsidRDefault="00000000">
            <w:pPr>
              <w:jc w:val="center"/>
            </w:pPr>
            <w:r>
              <w:rPr>
                <w:b/>
                <w:bCs/>
                <w:color w:val="7B4D00"/>
                <w:sz w:val="17"/>
                <w:szCs w:val="17"/>
              </w:rPr>
              <w:t>MEDIUM</w:t>
            </w:r>
          </w:p>
        </w:tc>
        <w:tc>
          <w:tcPr>
            <w:tcW w:w="5300" w:type="dxa"/>
            <w:tcBorders>
              <w:top w:val="single" w:sz="1" w:space="0" w:color="DDE4EE"/>
              <w:left w:val="single" w:sz="1" w:space="0" w:color="DDE4EE"/>
              <w:bottom w:val="single" w:sz="1" w:space="0" w:color="DDE4EE"/>
              <w:right w:val="single" w:sz="1" w:space="0" w:color="DDE4EE"/>
            </w:tcBorders>
            <w:shd w:val="clear" w:color="auto" w:fill="FFFFFF"/>
            <w:tcMar>
              <w:top w:w="80" w:type="dxa"/>
              <w:left w:w="120" w:type="dxa"/>
              <w:bottom w:w="80" w:type="dxa"/>
              <w:right w:w="120" w:type="dxa"/>
            </w:tcMar>
          </w:tcPr>
          <w:p w14:paraId="074A9D5E" w14:textId="77777777" w:rsidR="00801D07" w:rsidRDefault="00000000">
            <w:r>
              <w:rPr>
                <w:sz w:val="17"/>
                <w:szCs w:val="17"/>
              </w:rPr>
              <w:t xml:space="preserve">Three pilot </w:t>
            </w:r>
            <w:proofErr w:type="spellStart"/>
            <w:r>
              <w:rPr>
                <w:sz w:val="17"/>
                <w:szCs w:val="17"/>
              </w:rPr>
              <w:t>organisation</w:t>
            </w:r>
            <w:proofErr w:type="spellEnd"/>
            <w:r>
              <w:rPr>
                <w:sz w:val="17"/>
                <w:szCs w:val="17"/>
              </w:rPr>
              <w:t xml:space="preserve"> profiles written in this report (M2W7T3) provide the outreach basis. Abdullah to identify and approach candidate </w:t>
            </w:r>
            <w:proofErr w:type="spellStart"/>
            <w:r>
              <w:rPr>
                <w:sz w:val="17"/>
                <w:szCs w:val="17"/>
              </w:rPr>
              <w:t>organisations</w:t>
            </w:r>
            <w:proofErr w:type="spellEnd"/>
            <w:r>
              <w:rPr>
                <w:sz w:val="17"/>
                <w:szCs w:val="17"/>
              </w:rPr>
              <w:t xml:space="preserve"> during M10 (December 2026–January 2027) — no later than the start of M11. Minimum 2 confirmed pilot </w:t>
            </w:r>
            <w:proofErr w:type="spellStart"/>
            <w:r>
              <w:rPr>
                <w:sz w:val="17"/>
                <w:szCs w:val="17"/>
              </w:rPr>
              <w:t>organisations</w:t>
            </w:r>
            <w:proofErr w:type="spellEnd"/>
            <w:r>
              <w:rPr>
                <w:sz w:val="17"/>
                <w:szCs w:val="17"/>
              </w:rPr>
              <w:t xml:space="preserve"> required before M12 begins.</w:t>
            </w:r>
          </w:p>
        </w:tc>
      </w:tr>
      <w:tr w:rsidR="00801D07" w14:paraId="6C15BE52" w14:textId="77777777">
        <w:tblPrEx>
          <w:tblCellMar>
            <w:top w:w="0" w:type="dxa"/>
            <w:bottom w:w="0" w:type="dxa"/>
          </w:tblCellMar>
        </w:tblPrEx>
        <w:tc>
          <w:tcPr>
            <w:tcW w:w="26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vAlign w:val="center"/>
          </w:tcPr>
          <w:p w14:paraId="62DA7746" w14:textId="77777777" w:rsidR="00801D07" w:rsidRDefault="00000000">
            <w:pPr>
              <w:jc w:val="center"/>
            </w:pPr>
            <w:r>
              <w:rPr>
                <w:b/>
                <w:bCs/>
                <w:color w:val="1F4E79"/>
              </w:rPr>
              <w:t>R6</w:t>
            </w:r>
          </w:p>
        </w:tc>
        <w:tc>
          <w:tcPr>
            <w:tcW w:w="20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tcPr>
          <w:p w14:paraId="721EAAB1" w14:textId="77777777" w:rsidR="00801D07" w:rsidRDefault="00000000">
            <w:r>
              <w:rPr>
                <w:sz w:val="18"/>
                <w:szCs w:val="18"/>
              </w:rPr>
              <w:t>High-risk milestones M4, M7, M11 require technical capabilities at the team's learning edge</w:t>
            </w:r>
          </w:p>
        </w:tc>
        <w:tc>
          <w:tcPr>
            <w:tcW w:w="90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1D874895" w14:textId="77777777" w:rsidR="00801D07" w:rsidRDefault="00000000">
            <w:pPr>
              <w:jc w:val="center"/>
            </w:pPr>
            <w:r>
              <w:rPr>
                <w:b/>
                <w:bCs/>
                <w:color w:val="B71C1C"/>
                <w:sz w:val="17"/>
                <w:szCs w:val="17"/>
              </w:rPr>
              <w:t>HIGH</w:t>
            </w:r>
          </w:p>
        </w:tc>
        <w:tc>
          <w:tcPr>
            <w:tcW w:w="900" w:type="dxa"/>
            <w:tcBorders>
              <w:top w:val="single" w:sz="1" w:space="0" w:color="DDE4EE"/>
              <w:left w:val="single" w:sz="1" w:space="0" w:color="DDE4EE"/>
              <w:bottom w:val="single" w:sz="1" w:space="0" w:color="DDE4EE"/>
              <w:right w:val="single" w:sz="1" w:space="0" w:color="DDE4EE"/>
            </w:tcBorders>
            <w:shd w:val="clear" w:color="auto" w:fill="FFEBEE"/>
            <w:tcMar>
              <w:top w:w="80" w:type="dxa"/>
              <w:left w:w="120" w:type="dxa"/>
              <w:bottom w:w="80" w:type="dxa"/>
              <w:right w:w="120" w:type="dxa"/>
            </w:tcMar>
            <w:vAlign w:val="center"/>
          </w:tcPr>
          <w:p w14:paraId="69F82E67" w14:textId="77777777" w:rsidR="00801D07" w:rsidRDefault="00000000">
            <w:pPr>
              <w:jc w:val="center"/>
            </w:pPr>
            <w:r>
              <w:rPr>
                <w:b/>
                <w:bCs/>
                <w:color w:val="B71C1C"/>
                <w:sz w:val="17"/>
                <w:szCs w:val="17"/>
              </w:rPr>
              <w:t>HIGH</w:t>
            </w:r>
          </w:p>
        </w:tc>
        <w:tc>
          <w:tcPr>
            <w:tcW w:w="5300" w:type="dxa"/>
            <w:tcBorders>
              <w:top w:val="single" w:sz="1" w:space="0" w:color="DDE4EE"/>
              <w:left w:val="single" w:sz="1" w:space="0" w:color="DDE4EE"/>
              <w:bottom w:val="single" w:sz="1" w:space="0" w:color="DDE4EE"/>
              <w:right w:val="single" w:sz="1" w:space="0" w:color="DDE4EE"/>
            </w:tcBorders>
            <w:shd w:val="clear" w:color="auto" w:fill="D6E4F0"/>
            <w:tcMar>
              <w:top w:w="80" w:type="dxa"/>
              <w:left w:w="120" w:type="dxa"/>
              <w:bottom w:w="80" w:type="dxa"/>
              <w:right w:w="120" w:type="dxa"/>
            </w:tcMar>
          </w:tcPr>
          <w:p w14:paraId="7119210C" w14:textId="77777777" w:rsidR="00801D07" w:rsidRDefault="00000000">
            <w:r>
              <w:rPr>
                <w:sz w:val="17"/>
                <w:szCs w:val="17"/>
              </w:rPr>
              <w:t>One-week buffer reviews at the end of each phase (after M4, M7, M10). Scope flexibility defined: 5 connectors required, 8 stretch; PostgreSQL and MySQL CDC required, Oracle CDC stretch; SCD Type 1 and 2 required, Types 4–6 stretch. Required scope is achievable; stretch scope is time-dependent.</w:t>
            </w:r>
          </w:p>
        </w:tc>
      </w:tr>
    </w:tbl>
    <w:p w14:paraId="19333E76" w14:textId="77777777" w:rsidR="00801D07" w:rsidRDefault="00801D07">
      <w:pPr>
        <w:spacing w:after="80"/>
      </w:pPr>
    </w:p>
    <w:p w14:paraId="5DEFF348" w14:textId="77777777" w:rsidR="00801D07" w:rsidRDefault="00000000">
      <w:pPr>
        <w:spacing w:before="80" w:after="80"/>
        <w:jc w:val="both"/>
      </w:pPr>
      <w:r>
        <w:t>High-risk milestones confirmed: M4 (Database Abstraction Layer), M7 (CDC/Kafka), and M11 (Security/KVKK Compliance). Phase-end buffer reviews are scheduled after M4, M7, M10, and M12 as quality checkpoints. Required vs. stretch scope is documented: 5 connectors required (8 stretch), PostgreSQL and MySQL CDC required (Oracle CDC stretch), SCD Type 1 and 2 required (Types 4-6 stretch).</w:t>
      </w:r>
    </w:p>
    <w:p w14:paraId="5954F6C2" w14:textId="77777777" w:rsidR="00801D07" w:rsidRDefault="00000000">
      <w:r>
        <w:br w:type="page"/>
      </w:r>
    </w:p>
    <w:p w14:paraId="2B8B5602" w14:textId="77777777" w:rsidR="00801D07" w:rsidRDefault="00000000">
      <w:pPr>
        <w:pBdr>
          <w:bottom w:val="single" w:sz="6" w:space="2" w:color="2E75B6"/>
        </w:pBdr>
        <w:spacing w:before="200" w:after="100"/>
      </w:pPr>
      <w:r>
        <w:rPr>
          <w:b/>
          <w:bCs/>
          <w:color w:val="1F4E79"/>
          <w:sz w:val="26"/>
          <w:szCs w:val="26"/>
        </w:rPr>
        <w:lastRenderedPageBreak/>
        <w:t>5. M2 Conclusion</w:t>
      </w:r>
    </w:p>
    <w:p w14:paraId="1B6F42ED" w14:textId="77777777" w:rsidR="00801D07" w:rsidRDefault="00801D0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1D07" w14:paraId="2A420366"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D6E4F0"/>
            <w:tcMar>
              <w:top w:w="160" w:type="dxa"/>
              <w:left w:w="200" w:type="dxa"/>
              <w:bottom w:w="160" w:type="dxa"/>
              <w:right w:w="200" w:type="dxa"/>
            </w:tcMar>
          </w:tcPr>
          <w:p w14:paraId="16673A6B" w14:textId="77777777" w:rsidR="00801D07" w:rsidRDefault="00000000">
            <w:pPr>
              <w:spacing w:after="60" w:line="300" w:lineRule="auto"/>
              <w:jc w:val="both"/>
            </w:pPr>
            <w:r>
              <w:rPr>
                <w:b/>
                <w:bCs/>
                <w:i/>
                <w:iCs/>
                <w:color w:val="1F4E79"/>
              </w:rPr>
              <w:t>Milestone 2 has confirmed three findings that directly determine the Milestone 3 architecture decisions: (1) SUBOP's database-agnostic abstraction layer, integrated CDC, self-service BI, and metadata-driven warehouse automation collectively address a genuine, documented gap in the competitive landscape that no existing tool fully resolves — the SUBOP positioning statement is supported by evidence, not assumption. (2) All nine SUBOP platform modules are technically feasible within the 12-month timeline, with Kafka/</w:t>
            </w:r>
            <w:proofErr w:type="spellStart"/>
            <w:r>
              <w:rPr>
                <w:b/>
                <w:bCs/>
                <w:i/>
                <w:iCs/>
                <w:color w:val="1F4E79"/>
              </w:rPr>
              <w:t>Debezium</w:t>
            </w:r>
            <w:proofErr w:type="spellEnd"/>
            <w:r>
              <w:rPr>
                <w:b/>
                <w:bCs/>
                <w:i/>
                <w:iCs/>
                <w:color w:val="1F4E79"/>
              </w:rPr>
              <w:t xml:space="preserve"> CDC the only HIGH WITH RISK module, mitigated by a structured study plan beginning Week 8. (3) Three concrete pilot </w:t>
            </w:r>
            <w:proofErr w:type="spellStart"/>
            <w:r>
              <w:rPr>
                <w:b/>
                <w:bCs/>
                <w:i/>
                <w:iCs/>
                <w:color w:val="1F4E79"/>
              </w:rPr>
              <w:t>organisation</w:t>
            </w:r>
            <w:proofErr w:type="spellEnd"/>
            <w:r>
              <w:rPr>
                <w:b/>
                <w:bCs/>
                <w:i/>
                <w:iCs/>
                <w:color w:val="1F4E79"/>
              </w:rPr>
              <w:t xml:space="preserve"> profiles have been identified in the Turkish market, providing the outreach basis required for M12 pilot recruitment and protecting the project from the late-stage pilot risk flagged in the original roadmap.</w:t>
            </w:r>
          </w:p>
          <w:p w14:paraId="1138D6D1" w14:textId="77777777" w:rsidR="00801D07" w:rsidRDefault="00801D07">
            <w:pPr>
              <w:spacing w:after="40"/>
            </w:pPr>
          </w:p>
          <w:p w14:paraId="4C95CF64" w14:textId="77777777" w:rsidR="00801D07" w:rsidRDefault="00000000">
            <w:pPr>
              <w:spacing w:line="280" w:lineRule="auto"/>
              <w:jc w:val="both"/>
            </w:pPr>
            <w:r>
              <w:rPr>
                <w:color w:val="1F4E79"/>
              </w:rPr>
              <w:t xml:space="preserve">For the M3 architecture document — the most critical single deliverable in the project — the following M2 conclusions must be resolved into architecture decisions before the first section is written: the Adapter pattern is confirmed as the abstraction layer design (not </w:t>
            </w:r>
            <w:proofErr w:type="spellStart"/>
            <w:r>
              <w:rPr>
                <w:color w:val="1F4E79"/>
              </w:rPr>
              <w:t>SQLAlchemy</w:t>
            </w:r>
            <w:proofErr w:type="spellEnd"/>
            <w:r>
              <w:rPr>
                <w:color w:val="1F4E79"/>
              </w:rPr>
              <w:t xml:space="preserve"> ORM, not custom DSL); </w:t>
            </w:r>
            <w:proofErr w:type="spellStart"/>
            <w:r>
              <w:rPr>
                <w:color w:val="1F4E79"/>
              </w:rPr>
              <w:t>Debezium</w:t>
            </w:r>
            <w:proofErr w:type="spellEnd"/>
            <w:r>
              <w:rPr>
                <w:color w:val="1F4E79"/>
              </w:rPr>
              <w:t xml:space="preserve"> + Kafka is confirmed as the CDC architecture (not polling-based extraction); React + Tailwind CSS is confirmed as the frontend stack; and the nine-module dependency chain (Connector → Abstraction → ETL → CDC → DW → BI → Quality → Lineage → Security) defines the mandatory sequencing constraint the architecture diagram must reflect. Milestone 3 begins Monday 29 June with the team in full alignment on these decisions.</w:t>
            </w:r>
          </w:p>
        </w:tc>
      </w:tr>
    </w:tbl>
    <w:p w14:paraId="41893240" w14:textId="77777777" w:rsidR="00801D07" w:rsidRDefault="00801D07">
      <w:pPr>
        <w:spacing w:after="120"/>
      </w:pPr>
    </w:p>
    <w:p w14:paraId="4759A50E" w14:textId="77777777" w:rsidR="00801D07" w:rsidRDefault="00000000">
      <w:pPr>
        <w:pBdr>
          <w:top w:val="single" w:sz="4" w:space="0" w:color="DDE4EE"/>
        </w:pBdr>
        <w:spacing w:before="100"/>
      </w:pPr>
      <w:r>
        <w:rPr>
          <w:i/>
          <w:iCs/>
          <w:color w:val="2E75B6"/>
          <w:sz w:val="16"/>
          <w:szCs w:val="16"/>
        </w:rPr>
        <w:t>SUBOP  ·  Milestone 2  ·  Feasibility Report — Final v1  ·  25 June 2026  ·  Abdullah</w:t>
      </w:r>
    </w:p>
    <w:sectPr w:rsidR="00801D07">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BB725" w14:textId="77777777" w:rsidR="00C961CA" w:rsidRDefault="00C961CA">
      <w:r>
        <w:separator/>
      </w:r>
    </w:p>
  </w:endnote>
  <w:endnote w:type="continuationSeparator" w:id="0">
    <w:p w14:paraId="0DAD55F5" w14:textId="77777777" w:rsidR="00C961CA" w:rsidRDefault="00C961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4BA3F" w14:textId="77777777" w:rsidR="00801D07" w:rsidRDefault="00000000">
    <w:pPr>
      <w:jc w:val="right"/>
    </w:pPr>
    <w:r>
      <w:rPr>
        <w:color w:val="2E75B6"/>
        <w:sz w:val="16"/>
        <w:szCs w:val="16"/>
      </w:rPr>
      <w:t xml:space="preserve">Page </w:t>
    </w:r>
    <w:r>
      <w:rPr>
        <w:color w:val="2E75B6"/>
        <w:sz w:val="16"/>
        <w:szCs w:val="16"/>
      </w:rPr>
      <w:fldChar w:fldCharType="begin"/>
    </w:r>
    <w:r>
      <w:rPr>
        <w:color w:val="2E75B6"/>
        <w:sz w:val="16"/>
        <w:szCs w:val="16"/>
      </w:rPr>
      <w:instrText>PAGE</w:instrText>
    </w:r>
    <w:r>
      <w:rPr>
        <w:color w:val="2E75B6"/>
        <w:sz w:val="16"/>
        <w:szCs w:val="16"/>
      </w:rPr>
      <w:fldChar w:fldCharType="separate"/>
    </w:r>
    <w:r w:rsidR="00E57DBD">
      <w:rPr>
        <w:noProof/>
        <w:color w:val="2E75B6"/>
        <w:sz w:val="16"/>
        <w:szCs w:val="16"/>
      </w:rPr>
      <w:t>1</w:t>
    </w:r>
    <w:r>
      <w:rPr>
        <w:color w:val="2E75B6"/>
        <w:sz w:val="16"/>
        <w:szCs w:val="16"/>
      </w:rPr>
      <w:fldChar w:fldCharType="end"/>
    </w:r>
    <w:r>
      <w:rPr>
        <w:color w:val="2E75B6"/>
        <w:sz w:val="16"/>
        <w:szCs w:val="16"/>
      </w:rPr>
      <w:t xml:space="preserve"> of </w:t>
    </w:r>
    <w:r>
      <w:rPr>
        <w:color w:val="2E75B6"/>
        <w:sz w:val="16"/>
        <w:szCs w:val="16"/>
      </w:rPr>
      <w:fldChar w:fldCharType="begin"/>
    </w:r>
    <w:r>
      <w:rPr>
        <w:color w:val="2E75B6"/>
        <w:sz w:val="16"/>
        <w:szCs w:val="16"/>
      </w:rPr>
      <w:instrText>NUMPAGES</w:instrText>
    </w:r>
    <w:r>
      <w:rPr>
        <w:color w:val="2E75B6"/>
        <w:sz w:val="16"/>
        <w:szCs w:val="16"/>
      </w:rPr>
      <w:fldChar w:fldCharType="separate"/>
    </w:r>
    <w:r w:rsidR="00E57DBD">
      <w:rPr>
        <w:noProof/>
        <w:color w:val="2E75B6"/>
        <w:sz w:val="16"/>
        <w:szCs w:val="16"/>
      </w:rPr>
      <w:t>2</w:t>
    </w:r>
    <w:r>
      <w:rPr>
        <w:color w:val="2E75B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4739F" w14:textId="77777777" w:rsidR="00C961CA" w:rsidRDefault="00C961CA">
      <w:r>
        <w:separator/>
      </w:r>
    </w:p>
  </w:footnote>
  <w:footnote w:type="continuationSeparator" w:id="0">
    <w:p w14:paraId="08A59DE9" w14:textId="77777777" w:rsidR="00C961CA" w:rsidRDefault="00C961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D6053"/>
    <w:multiLevelType w:val="hybridMultilevel"/>
    <w:tmpl w:val="529A399C"/>
    <w:lvl w:ilvl="0" w:tplc="8E8898F2">
      <w:start w:val="1"/>
      <w:numFmt w:val="bullet"/>
      <w:lvlText w:val="●"/>
      <w:lvlJc w:val="left"/>
      <w:pPr>
        <w:ind w:left="720" w:hanging="360"/>
      </w:pPr>
    </w:lvl>
    <w:lvl w:ilvl="1" w:tplc="2A265B9A">
      <w:start w:val="1"/>
      <w:numFmt w:val="bullet"/>
      <w:lvlText w:val="○"/>
      <w:lvlJc w:val="left"/>
      <w:pPr>
        <w:ind w:left="1440" w:hanging="360"/>
      </w:pPr>
    </w:lvl>
    <w:lvl w:ilvl="2" w:tplc="88384538">
      <w:start w:val="1"/>
      <w:numFmt w:val="bullet"/>
      <w:lvlText w:val="■"/>
      <w:lvlJc w:val="left"/>
      <w:pPr>
        <w:ind w:left="2160" w:hanging="360"/>
      </w:pPr>
    </w:lvl>
    <w:lvl w:ilvl="3" w:tplc="FC10B53E">
      <w:start w:val="1"/>
      <w:numFmt w:val="bullet"/>
      <w:lvlText w:val="●"/>
      <w:lvlJc w:val="left"/>
      <w:pPr>
        <w:ind w:left="2880" w:hanging="360"/>
      </w:pPr>
    </w:lvl>
    <w:lvl w:ilvl="4" w:tplc="98EAE074">
      <w:start w:val="1"/>
      <w:numFmt w:val="bullet"/>
      <w:lvlText w:val="○"/>
      <w:lvlJc w:val="left"/>
      <w:pPr>
        <w:ind w:left="3600" w:hanging="360"/>
      </w:pPr>
    </w:lvl>
    <w:lvl w:ilvl="5" w:tplc="3B8CDF06">
      <w:start w:val="1"/>
      <w:numFmt w:val="bullet"/>
      <w:lvlText w:val="■"/>
      <w:lvlJc w:val="left"/>
      <w:pPr>
        <w:ind w:left="4320" w:hanging="360"/>
      </w:pPr>
    </w:lvl>
    <w:lvl w:ilvl="6" w:tplc="91F4C436">
      <w:start w:val="1"/>
      <w:numFmt w:val="bullet"/>
      <w:lvlText w:val="●"/>
      <w:lvlJc w:val="left"/>
      <w:pPr>
        <w:ind w:left="5040" w:hanging="360"/>
      </w:pPr>
    </w:lvl>
    <w:lvl w:ilvl="7" w:tplc="F6327174">
      <w:start w:val="1"/>
      <w:numFmt w:val="bullet"/>
      <w:lvlText w:val="●"/>
      <w:lvlJc w:val="left"/>
      <w:pPr>
        <w:ind w:left="5760" w:hanging="360"/>
      </w:pPr>
    </w:lvl>
    <w:lvl w:ilvl="8" w:tplc="03C87C2E">
      <w:start w:val="1"/>
      <w:numFmt w:val="bullet"/>
      <w:lvlText w:val="●"/>
      <w:lvlJc w:val="left"/>
      <w:pPr>
        <w:ind w:left="6480" w:hanging="360"/>
      </w:pPr>
    </w:lvl>
  </w:abstractNum>
  <w:num w:numId="1" w16cid:durableId="11130891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D07"/>
    <w:rsid w:val="00801D07"/>
    <w:rsid w:val="00C51184"/>
    <w:rsid w:val="00C961CA"/>
    <w:rsid w:val="00E57D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1CEF0"/>
  <w15:docId w15:val="{91FD227A-DB7F-4B6C-ADA9-BCDB89EA7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A4A5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4388</Words>
  <Characters>25012</Characters>
  <Application>Microsoft Office Word</Application>
  <DocSecurity>0</DocSecurity>
  <Lines>208</Lines>
  <Paragraphs>58</Paragraphs>
  <ScaleCrop>false</ScaleCrop>
  <Company/>
  <LinksUpToDate>false</LinksUpToDate>
  <CharactersWithSpaces>29342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abdalla jeylani</cp:lastModifiedBy>
  <cp:revision>2</cp:revision>
  <dcterms:created xsi:type="dcterms:W3CDTF">2026-06-25T08:30:00Z</dcterms:created>
  <dcterms:modified xsi:type="dcterms:W3CDTF">2026-06-25T10:17:00Z</dcterms:modified>
</cp:coreProperties>
</file>