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34"/>
          <w:szCs w:val="34"/>
        </w:rPr>
      </w:pPr>
      <w:r w:rsidDel="00000000" w:rsidR="00000000" w:rsidRPr="00000000">
        <w:rPr>
          <w:rFonts w:ascii="Calibri" w:cs="Calibri" w:eastAsia="Calibri" w:hAnsi="Calibri"/>
          <w:b w:val="1"/>
          <w:bCs w:val="1"/>
          <w:color w:val="1b3a6b"/>
          <w:sz w:val="46"/>
          <w:szCs w:val="46"/>
          <w:rtl w:val="0"/>
        </w:rPr>
        <w:t xml:space="preserve">SUBOP</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b w:val="1"/>
          <w:bCs w:val="1"/>
          <w:color w:val="3a4a5a"/>
          <w:sz w:val="26"/>
          <w:szCs w:val="26"/>
          <w:rtl w:val="0"/>
        </w:rPr>
        <w:t xml:space="preserve">Milestone 3 Completion Checklist</w:t>
      </w:r>
      <w:r w:rsidDel="00000000" w:rsidR="00000000" w:rsidRPr="00000000">
        <w:rPr>
          <w:rtl w:val="0"/>
        </w:rPr>
      </w:r>
    </w:p>
    <w:p w:rsidR="00000000" w:rsidDel="00000000" w:rsidP="00000000" w:rsidRDefault="00000000" w:rsidRPr="00000000" w14:paraId="00000003">
      <w:pPr>
        <w:pBdr>
          <w:bottom w:color="dde4ee" w:space="8" w:sz="6" w:val="single"/>
        </w:pBdr>
        <w:spacing w:after="240" w:lineRule="auto"/>
        <w:jc w:val="center"/>
        <w:rPr/>
      </w:pPr>
      <w:r w:rsidDel="00000000" w:rsidR="00000000" w:rsidRPr="00000000">
        <w:rPr>
          <w:rtl w:val="0"/>
        </w:rPr>
      </w:r>
    </w:p>
    <w:p w:rsidR="00000000" w:rsidDel="00000000" w:rsidP="00000000" w:rsidRDefault="00000000" w:rsidRPr="00000000" w14:paraId="00000004">
      <w:pPr>
        <w:spacing w:after="220" w:lineRule="auto"/>
        <w:rPr/>
      </w:pPr>
      <w:r w:rsidDel="00000000" w:rsidR="00000000" w:rsidRPr="00000000">
        <w:rPr>
          <w:rFonts w:ascii="Calibri" w:cs="Calibri" w:eastAsia="Calibri" w:hAnsi="Calibri"/>
          <w:color w:val="3a4a5a"/>
          <w:sz w:val="20"/>
          <w:szCs w:val="20"/>
          <w:rtl w:val="0"/>
        </w:rPr>
        <w:t xml:space="preserve">This checklist walks through every success criterion defined for Milestone 3. Each item is marked Done with an evidence pointer, or given an explicit resolution plan naming the milestone it rolls into. Items marked "Done*" have a small, named follow-up landing before Saturday's M3 sign-off — flagged rather than silently assumed complete.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1200"/>
        <w:gridCol w:w="3460"/>
        <w:tblGridChange w:id="0">
          <w:tblGrid>
            <w:gridCol w:w="1500"/>
            <w:gridCol w:w="3200"/>
            <w:gridCol w:w="1200"/>
            <w:gridCol w:w="3460"/>
          </w:tblGrid>
        </w:tblGridChange>
      </w:tblGrid>
      <w:tr>
        <w:trPr>
          <w:cantSplit w:val="0"/>
          <w:tblHeader w:val="1"/>
        </w:trPr>
        <w:tc>
          <w:tcPr>
            <w:tcBorders>
              <w:top w:color="dde4ee" w:space="0" w:sz="4" w:val="single"/>
              <w:left w:color="dde4ee" w:space="0" w:sz="4" w:val="single"/>
              <w:bottom w:color="dde4ee" w:space="0" w:sz="4" w:val="single"/>
              <w:right w:color="dde4ee" w:space="0" w:sz="4" w:val="single"/>
            </w:tcBorders>
            <w:shd w:fill="1b3a6b" w:val="clear"/>
            <w:tcMar>
              <w:top w:w="80.0" w:type="dxa"/>
              <w:left w:w="100.0" w:type="dxa"/>
              <w:bottom w:w="80.0" w:type="dxa"/>
              <w:right w:w="10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1b3a6b" w:val="clear"/>
            <w:tcMar>
              <w:top w:w="80.0" w:type="dxa"/>
              <w:left w:w="100.0" w:type="dxa"/>
              <w:bottom w:w="80.0" w:type="dxa"/>
              <w:right w:w="10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0"/>
                <w:szCs w:val="20"/>
                <w:rtl w:val="0"/>
              </w:rPr>
              <w:t xml:space="preserve">M3 Success Criterion</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1b3a6b" w:val="clea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1b3a6b" w:val="clea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Evidence / Resolution Plan</w:t>
            </w:r>
            <w:r w:rsidDel="00000000" w:rsidR="00000000" w:rsidRPr="00000000">
              <w:rPr>
                <w:rtl w:val="0"/>
              </w:rPr>
            </w:r>
          </w:p>
        </w:tc>
      </w:tr>
      <w:tr>
        <w:trPr>
          <w:cantSplit w:val="0"/>
          <w:tblHeader w:val="0"/>
        </w:trPr>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09">
            <w:pPr>
              <w:spacing w:after="40" w:lineRule="auto"/>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0A">
            <w:pPr>
              <w:spacing w:after="40" w:lineRule="auto"/>
              <w:rPr/>
            </w:pPr>
            <w:r w:rsidDel="00000000" w:rsidR="00000000" w:rsidRPr="00000000">
              <w:rPr>
                <w:rFonts w:ascii="Calibri" w:cs="Calibri" w:eastAsia="Calibri" w:hAnsi="Calibri"/>
                <w:sz w:val="19"/>
                <w:szCs w:val="19"/>
                <w:rtl w:val="0"/>
              </w:rPr>
              <w:t xml:space="preserve">Architecture Document complete across all nine sections and internally consistent.</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0B">
            <w:pPr>
              <w:rPr>
                <w:color w:val="1b6b3a"/>
              </w:rPr>
            </w:pPr>
            <w:r w:rsidDel="00000000" w:rsidR="00000000" w:rsidRPr="00000000">
              <w:rPr>
                <w:rFonts w:ascii="Calibri" w:cs="Calibri" w:eastAsia="Calibri" w:hAnsi="Calibri"/>
                <w:b w:val="1"/>
                <w:bCs w:val="1"/>
                <w:color w:val="1b6b3a"/>
                <w:sz w:val="19"/>
                <w:szCs w:val="19"/>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0C">
            <w:pPr>
              <w:spacing w:after="30" w:lineRule="auto"/>
              <w:rPr/>
            </w:pPr>
            <w:r w:rsidDel="00000000" w:rsidR="00000000" w:rsidRPr="00000000">
              <w:rPr>
                <w:rFonts w:ascii="Calibri" w:cs="Calibri" w:eastAsia="Calibri" w:hAnsi="Calibri"/>
                <w:color w:val="3a4a5a"/>
                <w:sz w:val="18"/>
                <w:szCs w:val="18"/>
                <w:rtl w:val="0"/>
              </w:rPr>
              <w:t xml:space="preserve">• Sections 1–9 all drafted (1–6 in Week 8; 7–9 in Week 9).</w:t>
            </w:r>
            <w:r w:rsidDel="00000000" w:rsidR="00000000" w:rsidRPr="00000000">
              <w:rPr>
                <w:rtl w:val="0"/>
              </w:rPr>
            </w:r>
          </w:p>
          <w:p w:rsidR="00000000" w:rsidDel="00000000" w:rsidP="00000000" w:rsidRDefault="00000000" w:rsidRPr="00000000" w14:paraId="0000000D">
            <w:pPr>
              <w:spacing w:after="30" w:lineRule="auto"/>
              <w:rPr/>
            </w:pPr>
            <w:r w:rsidDel="00000000" w:rsidR="00000000" w:rsidRPr="00000000">
              <w:rPr>
                <w:rFonts w:ascii="Calibri" w:cs="Calibri" w:eastAsia="Calibri" w:hAnsi="Calibri"/>
                <w:color w:val="3a4a5a"/>
                <w:sz w:val="18"/>
                <w:szCs w:val="18"/>
                <w:rtl w:val="0"/>
              </w:rPr>
              <w:t xml:space="preserve">• Final end-to-end consistency pass completed this week (M3W10T2).</w:t>
            </w:r>
            <w:r w:rsidDel="00000000" w:rsidR="00000000" w:rsidRPr="00000000">
              <w:rPr>
                <w:rtl w:val="0"/>
              </w:rPr>
            </w:r>
          </w:p>
          <w:p w:rsidR="00000000" w:rsidDel="00000000" w:rsidP="00000000" w:rsidRDefault="00000000" w:rsidRPr="00000000" w14:paraId="0000000E">
            <w:pPr>
              <w:spacing w:after="30" w:lineRule="auto"/>
              <w:rPr/>
            </w:pPr>
            <w:r w:rsidDel="00000000" w:rsidR="00000000" w:rsidRPr="00000000">
              <w:rPr>
                <w:rFonts w:ascii="Calibri" w:cs="Calibri" w:eastAsia="Calibri" w:hAnsi="Calibri"/>
                <w:color w:val="3a4a5a"/>
                <w:sz w:val="18"/>
                <w:szCs w:val="18"/>
                <w:rtl w:val="0"/>
              </w:rPr>
              <w:t xml:space="preserve">• architecture_doc_v1.docx — final consolidated version — docs/milestones/milestone-3/week-10/</w:t>
            </w:r>
            <w:r w:rsidDel="00000000" w:rsidR="00000000" w:rsidRPr="00000000">
              <w:rPr>
                <w:rtl w:val="0"/>
              </w:rPr>
            </w:r>
          </w:p>
        </w:tc>
      </w:tr>
      <w:tr>
        <w:trPr>
          <w:cantSplit w:val="0"/>
          <w:tblHeader w:val="0"/>
        </w:trPr>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0F">
            <w:pPr>
              <w:spacing w:after="40" w:lineRule="auto"/>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0">
            <w:pPr>
              <w:spacing w:after="40" w:lineRule="auto"/>
              <w:rPr/>
            </w:pPr>
            <w:r w:rsidDel="00000000" w:rsidR="00000000" w:rsidRPr="00000000">
              <w:rPr>
                <w:rFonts w:ascii="Calibri" w:cs="Calibri" w:eastAsia="Calibri" w:hAnsi="Calibri"/>
                <w:sz w:val="19"/>
                <w:szCs w:val="19"/>
                <w:rtl w:val="0"/>
              </w:rPr>
              <w:t xml:space="preserve">All five open architecture questions from Milestone 2 formally answered.</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1">
            <w:pPr>
              <w:rPr>
                <w:color w:val="1b6b3a"/>
              </w:rPr>
            </w:pPr>
            <w:r w:rsidDel="00000000" w:rsidR="00000000" w:rsidRPr="00000000">
              <w:rPr>
                <w:rFonts w:ascii="Calibri" w:cs="Calibri" w:eastAsia="Calibri" w:hAnsi="Calibri"/>
                <w:b w:val="1"/>
                <w:bCs w:val="1"/>
                <w:color w:val="1b6b3a"/>
                <w:sz w:val="19"/>
                <w:szCs w:val="19"/>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2">
            <w:pPr>
              <w:spacing w:after="30" w:lineRule="auto"/>
              <w:rPr/>
            </w:pPr>
            <w:r w:rsidDel="00000000" w:rsidR="00000000" w:rsidRPr="00000000">
              <w:rPr>
                <w:rFonts w:ascii="Calibri" w:cs="Calibri" w:eastAsia="Calibri" w:hAnsi="Calibri"/>
                <w:color w:val="3a4a5a"/>
                <w:sz w:val="18"/>
                <w:szCs w:val="18"/>
                <w:rtl w:val="0"/>
              </w:rPr>
              <w:t xml:space="preserve">• Section 9.2 — all 5 questions (sync/async execution, shared vs. extended interfaces, non-relational sources, connector-specific features, common result/error format) answered and cross-referenced to §3–§8.</w:t>
            </w:r>
            <w:r w:rsidDel="00000000" w:rsidR="00000000" w:rsidRPr="00000000">
              <w:rPr>
                <w:rtl w:val="0"/>
              </w:rPr>
            </w:r>
          </w:p>
        </w:tc>
      </w:tr>
      <w:tr>
        <w:trPr>
          <w:cantSplit w:val="0"/>
          <w:tblHeader w:val="0"/>
        </w:trPr>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3">
            <w:pPr>
              <w:spacing w:after="40" w:lineRule="auto"/>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4">
            <w:pPr>
              <w:spacing w:after="40" w:lineRule="auto"/>
              <w:rPr/>
            </w:pPr>
            <w:r w:rsidDel="00000000" w:rsidR="00000000" w:rsidRPr="00000000">
              <w:rPr>
                <w:rFonts w:ascii="Calibri" w:cs="Calibri" w:eastAsia="Calibri" w:hAnsi="Calibri"/>
                <w:sz w:val="19"/>
                <w:szCs w:val="19"/>
                <w:rtl w:val="0"/>
              </w:rPr>
              <w:t xml:space="preserve">CI/CD pipeline operational on push/PR, all 15 connector tests passing in a clean environment.</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5">
            <w:pPr>
              <w:rPr>
                <w:color w:val="1b6b3a"/>
              </w:rPr>
            </w:pPr>
            <w:r w:rsidDel="00000000" w:rsidR="00000000" w:rsidRPr="00000000">
              <w:rPr>
                <w:rFonts w:ascii="Calibri" w:cs="Calibri" w:eastAsia="Calibri" w:hAnsi="Calibri"/>
                <w:b w:val="1"/>
                <w:bCs w:val="1"/>
                <w:color w:val="1b6b3a"/>
                <w:sz w:val="19"/>
                <w:szCs w:val="19"/>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6">
            <w:pPr>
              <w:spacing w:after="30" w:lineRule="auto"/>
              <w:rPr/>
            </w:pPr>
            <w:r w:rsidDel="00000000" w:rsidR="00000000" w:rsidRPr="00000000">
              <w:rPr>
                <w:rFonts w:ascii="Calibri" w:cs="Calibri" w:eastAsia="Calibri" w:hAnsi="Calibri"/>
                <w:color w:val="3a4a5a"/>
                <w:sz w:val="18"/>
                <w:szCs w:val="18"/>
                <w:rtl w:val="0"/>
              </w:rPr>
              <w:t xml:space="preserve">• .github/workflows/ci.yml — 3 service containers (postgres, mysql, mssql), 15 tests (5+5+5) confirmed in workflow config.</w:t>
            </w:r>
            <w:r w:rsidDel="00000000" w:rsidR="00000000" w:rsidRPr="00000000">
              <w:rPr>
                <w:rtl w:val="0"/>
              </w:rPr>
            </w:r>
          </w:p>
          <w:p w:rsidR="00000000" w:rsidDel="00000000" w:rsidP="00000000" w:rsidRDefault="00000000" w:rsidRPr="00000000" w14:paraId="00000017">
            <w:pPr>
              <w:spacing w:after="30" w:lineRule="auto"/>
              <w:rPr/>
            </w:pPr>
            <w:r w:rsidDel="00000000" w:rsidR="00000000" w:rsidRPr="00000000">
              <w:rPr>
                <w:rFonts w:ascii="Calibri" w:cs="Calibri" w:eastAsia="Calibri" w:hAnsi="Calibri"/>
                <w:color w:val="3a4a5a"/>
                <w:sz w:val="18"/>
                <w:szCs w:val="18"/>
                <w:rtl w:val="0"/>
              </w:rPr>
              <w:t xml:space="preserve">• *One lint-style flag on mssql_connector.py being resolved by Omer today (Fri 17 July); CI Actions run URL to follow per M3W10T9.</w:t>
            </w:r>
            <w:r w:rsidDel="00000000" w:rsidR="00000000" w:rsidRPr="00000000">
              <w:rPr>
                <w:rtl w:val="0"/>
              </w:rPr>
            </w:r>
          </w:p>
        </w:tc>
      </w:tr>
      <w:tr>
        <w:trPr>
          <w:cantSplit w:val="0"/>
          <w:tblHeader w:val="0"/>
        </w:trPr>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sz w:val="19"/>
                <w:szCs w:val="19"/>
                <w:rtl w:val="0"/>
              </w:rPr>
              <w:t xml:space="preserve">PostgreSQL, MySQL, MSSQL connector foundations complete; Docker Compose verified for all 3 databases plus Kafka/Zookeeper.</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A">
            <w:pPr>
              <w:rPr>
                <w:color w:val="1b6b3a"/>
              </w:rPr>
            </w:pPr>
            <w:r w:rsidDel="00000000" w:rsidR="00000000" w:rsidRPr="00000000">
              <w:rPr>
                <w:rFonts w:ascii="Calibri" w:cs="Calibri" w:eastAsia="Calibri" w:hAnsi="Calibri"/>
                <w:b w:val="1"/>
                <w:bCs w:val="1"/>
                <w:color w:val="1b6b3a"/>
                <w:sz w:val="19"/>
                <w:szCs w:val="19"/>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1B">
            <w:pPr>
              <w:spacing w:after="30" w:lineRule="auto"/>
              <w:rPr/>
            </w:pPr>
            <w:r w:rsidDel="00000000" w:rsidR="00000000" w:rsidRPr="00000000">
              <w:rPr>
                <w:rFonts w:ascii="Calibri" w:cs="Calibri" w:eastAsia="Calibri" w:hAnsi="Calibri"/>
                <w:color w:val="3a4a5a"/>
                <w:sz w:val="18"/>
                <w:szCs w:val="18"/>
                <w:rtl w:val="0"/>
              </w:rPr>
              <w:t xml:space="preserve">• docker-compose.yml — postgres, mysql, mssql, kafka, zookeeper, pgadmin (+ kafka-ui) all defined and verified.</w:t>
            </w:r>
            <w:r w:rsidDel="00000000" w:rsidR="00000000" w:rsidRPr="00000000">
              <w:rPr>
                <w:rtl w:val="0"/>
              </w:rPr>
            </w:r>
          </w:p>
        </w:tc>
      </w:tr>
      <w:tr>
        <w:trPr>
          <w:cantSplit w:val="0"/>
          <w:tblHeader w:val="0"/>
        </w:trPr>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sz w:val="19"/>
                <w:szCs w:val="19"/>
                <w:rtl w:val="0"/>
              </w:rPr>
              <w:t xml:space="preserve">Frontend initialized with all eight routes and five shared components built to Design System v1.</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E">
            <w:pPr>
              <w:rPr>
                <w:color w:val="1b6b3a"/>
              </w:rPr>
            </w:pPr>
            <w:r w:rsidDel="00000000" w:rsidR="00000000" w:rsidRPr="00000000">
              <w:rPr>
                <w:rFonts w:ascii="Calibri" w:cs="Calibri" w:eastAsia="Calibri" w:hAnsi="Calibri"/>
                <w:b w:val="1"/>
                <w:bCs w:val="1"/>
                <w:color w:val="1b6b3a"/>
                <w:sz w:val="19"/>
                <w:szCs w:val="19"/>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80.0" w:type="dxa"/>
              <w:left w:w="100.0" w:type="dxa"/>
              <w:bottom w:w="80.0" w:type="dxa"/>
              <w:right w:w="100.0" w:type="dxa"/>
            </w:tcMar>
            <w:vAlign w:val="center"/>
          </w:tcPr>
          <w:p w:rsidR="00000000" w:rsidDel="00000000" w:rsidP="00000000" w:rsidRDefault="00000000" w:rsidRPr="00000000" w14:paraId="0000001F">
            <w:pPr>
              <w:spacing w:after="30" w:lineRule="auto"/>
              <w:rPr/>
            </w:pPr>
            <w:r w:rsidDel="00000000" w:rsidR="00000000" w:rsidRPr="00000000">
              <w:rPr>
                <w:rFonts w:ascii="Calibri" w:cs="Calibri" w:eastAsia="Calibri" w:hAnsi="Calibri"/>
                <w:color w:val="3a4a5a"/>
                <w:sz w:val="18"/>
                <w:szCs w:val="18"/>
                <w:rtl w:val="0"/>
              </w:rPr>
              <w:t xml:space="preserve">• services/bi-dashboard/frontend/components/ — AppShell, KPISummaryCard, NavigationSidebar, StatusBadge, DataTable (5/5) present on develop.</w:t>
            </w:r>
            <w:r w:rsidDel="00000000" w:rsidR="00000000" w:rsidRPr="00000000">
              <w:rPr>
                <w:rtl w:val="0"/>
              </w:rPr>
            </w:r>
          </w:p>
          <w:p w:rsidR="00000000" w:rsidDel="00000000" w:rsidP="00000000" w:rsidRDefault="00000000" w:rsidRPr="00000000" w14:paraId="00000020">
            <w:pPr>
              <w:spacing w:after="30" w:lineRule="auto"/>
              <w:rPr/>
            </w:pPr>
            <w:r w:rsidDel="00000000" w:rsidR="00000000" w:rsidRPr="00000000">
              <w:rPr>
                <w:rFonts w:ascii="Calibri" w:cs="Calibri" w:eastAsia="Calibri" w:hAnsi="Calibri"/>
                <w:color w:val="3a4a5a"/>
                <w:sz w:val="18"/>
                <w:szCs w:val="18"/>
                <w:rtl w:val="0"/>
              </w:rPr>
              <w:t xml:space="preserve">• 8 page files present: Home, Admin, Catalog, Lineage, Pipelines, Quality, Reports, Users.</w:t>
            </w:r>
            <w:r w:rsidDel="00000000" w:rsidR="00000000" w:rsidRPr="00000000">
              <w:rPr>
                <w:rtl w:val="0"/>
              </w:rPr>
            </w:r>
          </w:p>
          <w:p w:rsidR="00000000" w:rsidDel="00000000" w:rsidP="00000000" w:rsidRDefault="00000000" w:rsidRPr="00000000" w14:paraId="00000021">
            <w:pPr>
              <w:spacing w:after="30" w:lineRule="auto"/>
              <w:rPr/>
            </w:pPr>
            <w:r w:rsidDel="00000000" w:rsidR="00000000" w:rsidRPr="00000000">
              <w:rPr>
                <w:rFonts w:ascii="Calibri" w:cs="Calibri" w:eastAsia="Calibri" w:hAnsi="Calibri"/>
                <w:color w:val="3a4a5a"/>
                <w:sz w:val="18"/>
                <w:szCs w:val="18"/>
                <w:rtl w:val="0"/>
              </w:rPr>
              <w:t xml:space="preserve">• *Resolution: merge develop → main and confirm full routing table before M3 sign-off (Sat 18 July).</w:t>
            </w:r>
            <w:r w:rsidDel="00000000" w:rsidR="00000000" w:rsidRPr="00000000">
              <w:rPr>
                <w:rtl w:val="0"/>
              </w:rPr>
            </w:r>
          </w:p>
        </w:tc>
      </w:tr>
      <w:tr>
        <w:trPr>
          <w:cantSplit w:val="0"/>
          <w:tblHeader w:val="0"/>
        </w:trPr>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sz w:val="19"/>
                <w:szCs w:val="19"/>
                <w:rtl w:val="0"/>
              </w:rPr>
              <w:t xml:space="preserve">Weeks 8, 9, and 10 advisor reports sent on schedule.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24">
            <w:pPr>
              <w:rPr>
                <w:color w:val="1b6b3a"/>
              </w:rPr>
            </w:pPr>
            <w:r w:rsidDel="00000000" w:rsidR="00000000" w:rsidRPr="00000000">
              <w:rPr>
                <w:rFonts w:ascii="Calibri" w:cs="Calibri" w:eastAsia="Calibri" w:hAnsi="Calibri"/>
                <w:b w:val="1"/>
                <w:bCs w:val="1"/>
                <w:color w:val="1b6b3a"/>
                <w:sz w:val="19"/>
                <w:szCs w:val="19"/>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80.0" w:type="dxa"/>
              <w:left w:w="100.0" w:type="dxa"/>
              <w:bottom w:w="80.0" w:type="dxa"/>
              <w:right w:w="100.0" w:type="dxa"/>
            </w:tcMar>
            <w:vAlign w:val="center"/>
          </w:tcPr>
          <w:p w:rsidR="00000000" w:rsidDel="00000000" w:rsidP="00000000" w:rsidRDefault="00000000" w:rsidRPr="00000000" w14:paraId="00000025">
            <w:pPr>
              <w:spacing w:after="30" w:lineRule="auto"/>
              <w:rPr/>
            </w:pPr>
            <w:r w:rsidDel="00000000" w:rsidR="00000000" w:rsidRPr="00000000">
              <w:rPr>
                <w:rFonts w:ascii="Calibri" w:cs="Calibri" w:eastAsia="Calibri" w:hAnsi="Calibri"/>
                <w:color w:val="3a4a5a"/>
                <w:sz w:val="18"/>
                <w:szCs w:val="18"/>
                <w:rtl w:val="0"/>
              </w:rPr>
              <w:t xml:space="preserve">• Sent by email to advisor Emrah on the Friday/Sunday cadence; not committed to the repository by design.</w:t>
            </w:r>
            <w:r w:rsidDel="00000000" w:rsidR="00000000" w:rsidRPr="00000000">
              <w:rPr>
                <w:rtl w:val="0"/>
              </w:rPr>
            </w:r>
          </w:p>
        </w:tc>
      </w:tr>
    </w:tbl>
    <w:p w:rsidR="00000000" w:rsidDel="00000000" w:rsidP="00000000" w:rsidRDefault="00000000" w:rsidRPr="00000000" w14:paraId="00000026">
      <w:pPr>
        <w:spacing w:before="260" w:lineRule="auto"/>
        <w:rPr/>
      </w:pPr>
      <w:r w:rsidDel="00000000" w:rsidR="00000000" w:rsidRPr="00000000">
        <w:rPr>
          <w:rFonts w:ascii="Calibri" w:cs="Calibri" w:eastAsia="Calibri" w:hAnsi="Calibri"/>
          <w:b w:val="1"/>
          <w:bCs w:val="1"/>
          <w:color w:val="1b3a6b"/>
          <w:sz w:val="22"/>
          <w:szCs w:val="22"/>
          <w:rtl w:val="0"/>
        </w:rPr>
        <w:t xml:space="preserve">Overall M3 Status</w:t>
      </w:r>
      <w:r w:rsidDel="00000000" w:rsidR="00000000" w:rsidRPr="00000000">
        <w:rPr>
          <w:rtl w:val="0"/>
        </w:rPr>
      </w:r>
    </w:p>
    <w:p w:rsidR="00000000" w:rsidDel="00000000" w:rsidP="00000000" w:rsidRDefault="00000000" w:rsidRPr="00000000" w14:paraId="00000027">
      <w:pPr>
        <w:spacing w:after="60" w:before="100" w:lineRule="auto"/>
        <w:rPr/>
      </w:pPr>
      <w:r w:rsidDel="00000000" w:rsidR="00000000" w:rsidRPr="00000000">
        <w:rPr>
          <w:rFonts w:ascii="Calibri" w:cs="Calibri" w:eastAsia="Calibri" w:hAnsi="Calibri"/>
          <w:color w:val="3a4a5a"/>
          <w:sz w:val="20"/>
          <w:szCs w:val="20"/>
          <w:rtl w:val="0"/>
        </w:rPr>
        <w:t xml:space="preserve">Substantially complete. All six criteria are met or on track to close before Sunday's sign-off. Two small, named items remain open going into Saturday's cross-team confirmation:</w:t>
      </w:r>
      <w:r w:rsidDel="00000000" w:rsidR="00000000" w:rsidRPr="00000000">
        <w:rPr>
          <w:rtl w:val="0"/>
        </w:rPr>
      </w:r>
    </w:p>
    <w:p w:rsidR="00000000" w:rsidDel="00000000" w:rsidP="00000000" w:rsidRDefault="00000000" w:rsidRPr="00000000" w14:paraId="00000028">
      <w:pPr>
        <w:spacing w:after="30" w:lineRule="auto"/>
        <w:rPr/>
      </w:pPr>
      <w:r w:rsidDel="00000000" w:rsidR="00000000" w:rsidRPr="00000000">
        <w:rPr>
          <w:rFonts w:ascii="Calibri" w:cs="Calibri" w:eastAsia="Calibri" w:hAnsi="Calibri"/>
          <w:color w:val="3a4a5a"/>
          <w:sz w:val="18"/>
          <w:szCs w:val="18"/>
          <w:rtl w:val="0"/>
        </w:rPr>
        <w:t xml:space="preserve">• CI/CD: final lint-style fix on mssql_connector.py (Omer, due today).</w:t>
      </w:r>
      <w:r w:rsidDel="00000000" w:rsidR="00000000" w:rsidRPr="00000000">
        <w:rPr>
          <w:rtl w:val="0"/>
        </w:rPr>
      </w:r>
    </w:p>
    <w:p w:rsidR="00000000" w:rsidDel="00000000" w:rsidP="00000000" w:rsidRDefault="00000000" w:rsidRPr="00000000" w14:paraId="00000029">
      <w:pPr>
        <w:spacing w:after="30" w:lineRule="auto"/>
        <w:rPr/>
      </w:pPr>
      <w:r w:rsidDel="00000000" w:rsidR="00000000" w:rsidRPr="00000000">
        <w:rPr>
          <w:rFonts w:ascii="Calibri" w:cs="Calibri" w:eastAsia="Calibri" w:hAnsi="Calibri"/>
          <w:color w:val="3a4a5a"/>
          <w:sz w:val="18"/>
          <w:szCs w:val="18"/>
          <w:rtl w:val="0"/>
        </w:rPr>
        <w:t xml:space="preserve">• Frontend: develop → main merge and full 8-route wiring confirmation (Beyza/Abdullah, before Sat 18 July).</w:t>
      </w:r>
      <w:r w:rsidDel="00000000" w:rsidR="00000000" w:rsidRPr="00000000">
        <w:rPr>
          <w:rtl w:val="0"/>
        </w:rPr>
      </w:r>
    </w:p>
    <w:p w:rsidR="00000000" w:rsidDel="00000000" w:rsidP="00000000" w:rsidRDefault="00000000" w:rsidRPr="00000000" w14:paraId="0000002A">
      <w:pPr>
        <w:spacing w:after="60" w:before="140" w:lineRule="auto"/>
        <w:rPr/>
      </w:pPr>
      <w:r w:rsidDel="00000000" w:rsidR="00000000" w:rsidRPr="00000000">
        <w:rPr>
          <w:rFonts w:ascii="Calibri" w:cs="Calibri" w:eastAsia="Calibri" w:hAnsi="Calibri"/>
          <w:color w:val="3a4a5a"/>
          <w:sz w:val="20"/>
          <w:szCs w:val="20"/>
          <w:rtl w:val="0"/>
        </w:rPr>
        <w:t xml:space="preserve">One item is intentionally carried forward rather than closed here: two VERBİS registration fields (data subject categories, transfer recipients) have no current home in the module interface contracts. This is real, unresolved scope for M4/M5 — documented in Architecture Document §9.3 — and is not a Milestone 3 closure item.</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