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0301" w14:textId="32A45A96" w:rsidR="00CE2A01" w:rsidRPr="00CE2A01" w:rsidRDefault="00024666" w:rsidP="00652F54">
      <w:pPr>
        <w:spacing w:line="360" w:lineRule="auto"/>
        <w:rPr>
          <w:rFonts w:ascii="Times New Roman" w:hAnsi="Times New Roman" w:cs="Times New Roman"/>
          <w:b/>
          <w:bCs/>
          <w:sz w:val="30"/>
          <w:szCs w:val="30"/>
        </w:rPr>
      </w:pPr>
      <w:r w:rsidRPr="00024666">
        <w:rPr>
          <w:rFonts w:ascii="Times New Roman" w:hAnsi="Times New Roman" w:cs="Times New Roman"/>
          <w:noProof/>
          <w:sz w:val="25"/>
          <w:szCs w:val="25"/>
        </w:rPr>
        <w:drawing>
          <wp:anchor distT="0" distB="0" distL="114300" distR="114300" simplePos="0" relativeHeight="251658240" behindDoc="0" locked="0" layoutInCell="1" allowOverlap="1" wp14:anchorId="001D9F2A" wp14:editId="11DBA0AA">
            <wp:simplePos x="0" y="0"/>
            <wp:positionH relativeFrom="page">
              <wp:align>right</wp:align>
            </wp:positionH>
            <wp:positionV relativeFrom="page">
              <wp:align>top</wp:align>
            </wp:positionV>
            <wp:extent cx="1391285" cy="237400"/>
            <wp:effectExtent l="0" t="0" r="0" b="0"/>
            <wp:wrapSquare wrapText="bothSides"/>
            <wp:docPr id="31" name="Picture 30" descr="10 Top IT Companies In Nepal (2024)">
              <a:extLst xmlns:a="http://schemas.openxmlformats.org/drawingml/2006/main">
                <a:ext uri="{FF2B5EF4-FFF2-40B4-BE49-F238E27FC236}">
                  <a16:creationId xmlns:a16="http://schemas.microsoft.com/office/drawing/2014/main" id="{76D69811-1331-DE23-D5DA-0ED393DCB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10 Top IT Companies In Nepal (2024)">
                      <a:extLst>
                        <a:ext uri="{FF2B5EF4-FFF2-40B4-BE49-F238E27FC236}">
                          <a16:creationId xmlns:a16="http://schemas.microsoft.com/office/drawing/2014/main" id="{76D69811-1331-DE23-D5DA-0ED393DCBB24}"/>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1285" cy="237400"/>
                    </a:xfrm>
                    <a:prstGeom prst="rect">
                      <a:avLst/>
                    </a:prstGeom>
                  </pic:spPr>
                </pic:pic>
              </a:graphicData>
            </a:graphic>
            <wp14:sizeRelH relativeFrom="margin">
              <wp14:pctWidth>0</wp14:pctWidth>
            </wp14:sizeRelH>
            <wp14:sizeRelV relativeFrom="margin">
              <wp14:pctHeight>0</wp14:pctHeight>
            </wp14:sizeRelV>
          </wp:anchor>
        </w:drawing>
      </w:r>
      <w:r w:rsidR="00652F54" w:rsidRPr="00CE2A01">
        <w:rPr>
          <w:rFonts w:ascii="Times New Roman" w:hAnsi="Times New Roman" w:cs="Times New Roman"/>
          <w:b/>
          <w:bCs/>
          <w:sz w:val="30"/>
          <w:szCs w:val="30"/>
        </w:rPr>
        <w:t>Clinical Decision Making and Pattern Recognition in Health Care</w:t>
      </w:r>
      <w:r w:rsidR="00013CE3" w:rsidRPr="00CE2A01">
        <w:rPr>
          <w:rFonts w:ascii="Times New Roman" w:hAnsi="Times New Roman" w:cs="Times New Roman"/>
          <w:b/>
          <w:bCs/>
          <w:sz w:val="30"/>
          <w:szCs w:val="30"/>
        </w:rPr>
        <w:t xml:space="preserve"> </w:t>
      </w:r>
      <w:r w:rsidR="00013CE3" w:rsidRPr="00CE2A01">
        <w:rPr>
          <w:rFonts w:ascii="Times New Roman" w:hAnsi="Times New Roman" w:cs="Times New Roman"/>
          <w:sz w:val="30"/>
          <w:szCs w:val="30"/>
        </w:rPr>
        <w:t>-</w:t>
      </w:r>
      <w:r w:rsidR="00652F54" w:rsidRPr="00CE2A01">
        <w:rPr>
          <w:rFonts w:ascii="Times New Roman" w:hAnsi="Times New Roman" w:cs="Times New Roman"/>
          <w:b/>
          <w:bCs/>
          <w:sz w:val="30"/>
          <w:szCs w:val="30"/>
        </w:rPr>
        <w:t xml:space="preserve"> A Strategy for Payment Integrity</w:t>
      </w:r>
    </w:p>
    <w:p w14:paraId="6105428F" w14:textId="72580880" w:rsidR="00652F54" w:rsidRDefault="00652F54" w:rsidP="00652F54">
      <w:pPr>
        <w:spacing w:line="360" w:lineRule="auto"/>
        <w:jc w:val="right"/>
        <w:rPr>
          <w:rFonts w:ascii="Times New Roman" w:hAnsi="Times New Roman" w:cs="Times New Roman"/>
          <w:sz w:val="27"/>
          <w:szCs w:val="27"/>
        </w:rPr>
      </w:pPr>
      <w:r w:rsidRPr="00CE2A01">
        <w:rPr>
          <w:rFonts w:ascii="Times New Roman" w:hAnsi="Times New Roman" w:cs="Times New Roman"/>
          <w:b/>
          <w:bCs/>
          <w:sz w:val="27"/>
          <w:szCs w:val="27"/>
        </w:rPr>
        <w:t xml:space="preserve">Candidate: </w:t>
      </w:r>
      <w:r w:rsidRPr="00CE2A01">
        <w:rPr>
          <w:rFonts w:ascii="Times New Roman" w:hAnsi="Times New Roman" w:cs="Times New Roman"/>
          <w:sz w:val="27"/>
          <w:szCs w:val="27"/>
        </w:rPr>
        <w:t>Jey Praveen Sivaraj</w:t>
      </w:r>
    </w:p>
    <w:p w14:paraId="6D1DAB56" w14:textId="56BB9024" w:rsidR="00652F54" w:rsidRPr="00CE2A01" w:rsidRDefault="00652F54" w:rsidP="00652F54">
      <w:pPr>
        <w:spacing w:line="360" w:lineRule="auto"/>
        <w:rPr>
          <w:rFonts w:ascii="Times New Roman" w:hAnsi="Times New Roman" w:cs="Times New Roman"/>
          <w:b/>
          <w:bCs/>
          <w:sz w:val="27"/>
          <w:szCs w:val="27"/>
        </w:rPr>
      </w:pPr>
      <w:r w:rsidRPr="00CE2A01">
        <w:rPr>
          <w:rFonts w:ascii="Times New Roman" w:hAnsi="Times New Roman" w:cs="Times New Roman"/>
          <w:b/>
          <w:bCs/>
          <w:sz w:val="27"/>
          <w:szCs w:val="27"/>
        </w:rPr>
        <w:t>Definition of the Topic Concept</w:t>
      </w:r>
      <w:r w:rsidR="00013CE3" w:rsidRPr="00CE2A01">
        <w:rPr>
          <w:rFonts w:ascii="Times New Roman" w:hAnsi="Times New Roman" w:cs="Times New Roman"/>
          <w:b/>
          <w:bCs/>
          <w:sz w:val="27"/>
          <w:szCs w:val="27"/>
        </w:rPr>
        <w:t>:</w:t>
      </w:r>
    </w:p>
    <w:p w14:paraId="36544F9B" w14:textId="57E373A0"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 xml:space="preserve">The integration of Clinical Decision Making and Pattern Recognition within the Treatment, Payment, and Operations (TPO) ecosystem represents a structural shift from rules-based logic to deterministic machine learning. In the context of healthcare payment integrity, this framework establishes a mathematical foundation of risk. By utilizing Time-Series Anomaly Detection, such as computing rolling Z-scores to identify temporal billing surges, and applying K-Means Clustering on multi-dimensional feature matrices, systems can accurately segment provider </w:t>
      </w:r>
      <w:r w:rsidR="00013CE3" w:rsidRPr="00CE2A01">
        <w:rPr>
          <w:rFonts w:ascii="Times New Roman" w:hAnsi="Times New Roman" w:cs="Times New Roman"/>
          <w:sz w:val="25"/>
          <w:szCs w:val="25"/>
        </w:rPr>
        <w:t>behaviours</w:t>
      </w:r>
      <w:r w:rsidRPr="00CE2A01">
        <w:rPr>
          <w:rFonts w:ascii="Times New Roman" w:hAnsi="Times New Roman" w:cs="Times New Roman"/>
          <w:sz w:val="25"/>
          <w:szCs w:val="25"/>
        </w:rPr>
        <w:t xml:space="preserve"> into actionable typologies like "Diagnosis-Procedure Mismatch" or "High-Volume Billing Anomalies."</w:t>
      </w:r>
    </w:p>
    <w:p w14:paraId="2DDB4970" w14:textId="730219CA"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Agentic Generative AI and Chain Reasoning are subsequently layered atop this deterministic foundation. Agentic AI acts as an autonomous orchestrator capable of multi-step task sequencing, data loading, and risk classification. Chain Reasoning allows Large Language Models (LLMs) to mimic the stepwise cognitive workflows of medical auditors. By breaking complex inferences into structured phases, including flag analysis, pattern confirmation, and regulatory cross-referencing, this technology forms a closed-loop intelligence system capable of executing autonomous audit workflows across the entire TPO spectrum.</w:t>
      </w:r>
    </w:p>
    <w:p w14:paraId="76CEC5D7" w14:textId="450A72EE" w:rsidR="00652F54" w:rsidRPr="00CE2A01" w:rsidRDefault="00652F54" w:rsidP="00652F54">
      <w:pPr>
        <w:spacing w:line="360" w:lineRule="auto"/>
        <w:jc w:val="both"/>
        <w:rPr>
          <w:rFonts w:ascii="Times New Roman" w:hAnsi="Times New Roman" w:cs="Times New Roman"/>
          <w:sz w:val="27"/>
          <w:szCs w:val="27"/>
        </w:rPr>
      </w:pPr>
      <w:r w:rsidRPr="00CE2A01">
        <w:rPr>
          <w:rFonts w:ascii="Times New Roman" w:hAnsi="Times New Roman" w:cs="Times New Roman"/>
          <w:b/>
          <w:bCs/>
          <w:sz w:val="27"/>
          <w:szCs w:val="27"/>
        </w:rPr>
        <w:t>Analysis of Relevant Trends</w:t>
      </w:r>
      <w:r w:rsidR="00013CE3" w:rsidRPr="00CE2A01">
        <w:rPr>
          <w:rFonts w:ascii="Times New Roman" w:hAnsi="Times New Roman" w:cs="Times New Roman"/>
          <w:b/>
          <w:bCs/>
          <w:sz w:val="27"/>
          <w:szCs w:val="27"/>
        </w:rPr>
        <w:t>:</w:t>
      </w:r>
      <w:r w:rsidRPr="00CE2A01">
        <w:rPr>
          <w:rFonts w:ascii="Times New Roman" w:hAnsi="Times New Roman" w:cs="Times New Roman"/>
          <w:sz w:val="27"/>
          <w:szCs w:val="27"/>
        </w:rPr>
        <w:t xml:space="preserve"> </w:t>
      </w:r>
    </w:p>
    <w:p w14:paraId="11FEC766" w14:textId="0837AB96"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The healthcare payment integrity market is undergoing a paradigm shift, moving aggressively from reactive "pay-and-chase" post-payment recovery to proactive, enterprise-wide control (</w:t>
      </w:r>
      <w:proofErr w:type="spellStart"/>
      <w:r w:rsidRPr="00CE2A01">
        <w:rPr>
          <w:rFonts w:ascii="Times New Roman" w:hAnsi="Times New Roman" w:cs="Times New Roman"/>
          <w:sz w:val="25"/>
          <w:szCs w:val="25"/>
        </w:rPr>
        <w:t>ClarisHealth</w:t>
      </w:r>
      <w:proofErr w:type="spellEnd"/>
      <w:r w:rsidRPr="00CE2A01">
        <w:rPr>
          <w:rFonts w:ascii="Times New Roman" w:hAnsi="Times New Roman" w:cs="Times New Roman"/>
          <w:sz w:val="25"/>
          <w:szCs w:val="25"/>
        </w:rPr>
        <w:t>, 2026). Fraud, Waste, and Abuse (FWA) detection is effectively "shifting left" (</w:t>
      </w:r>
      <w:proofErr w:type="spellStart"/>
      <w:r w:rsidRPr="00CE2A01">
        <w:rPr>
          <w:rFonts w:ascii="Times New Roman" w:hAnsi="Times New Roman" w:cs="Times New Roman"/>
          <w:sz w:val="25"/>
          <w:szCs w:val="25"/>
        </w:rPr>
        <w:t>HealthEdge</w:t>
      </w:r>
      <w:proofErr w:type="spellEnd"/>
      <w:r w:rsidRPr="00CE2A01">
        <w:rPr>
          <w:rFonts w:ascii="Times New Roman" w:hAnsi="Times New Roman" w:cs="Times New Roman"/>
          <w:sz w:val="25"/>
          <w:szCs w:val="25"/>
        </w:rPr>
        <w:t xml:space="preserve">, 2026). Rather than evaluating claims as isolated, point-in-time events, modern architectures track longitudinal data to detect </w:t>
      </w:r>
      <w:r w:rsidR="00013CE3" w:rsidRPr="00CE2A01">
        <w:rPr>
          <w:rFonts w:ascii="Times New Roman" w:hAnsi="Times New Roman" w:cs="Times New Roman"/>
          <w:sz w:val="25"/>
          <w:szCs w:val="25"/>
        </w:rPr>
        <w:t>behavioural</w:t>
      </w:r>
      <w:r w:rsidRPr="00CE2A01">
        <w:rPr>
          <w:rFonts w:ascii="Times New Roman" w:hAnsi="Times New Roman" w:cs="Times New Roman"/>
          <w:sz w:val="25"/>
          <w:szCs w:val="25"/>
        </w:rPr>
        <w:t xml:space="preserve"> deviations (such as sudden end-of-year billing spikes) before funds are disbursed.</w:t>
      </w:r>
    </w:p>
    <w:p w14:paraId="05EFAFD1" w14:textId="46A03093"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Concurrently, Agentic AI is transitioning from hype to normalized infrastructure (Cohere Health, 2026). Health plans are increasingly utilizing AI not for sweeping, opaque automation, but for targeted precision tasks like workflow orchestration and cross-referencing provider billing against localized payment policy (</w:t>
      </w:r>
      <w:proofErr w:type="spellStart"/>
      <w:r w:rsidRPr="00CE2A01">
        <w:rPr>
          <w:rFonts w:ascii="Times New Roman" w:hAnsi="Times New Roman" w:cs="Times New Roman"/>
          <w:sz w:val="25"/>
          <w:szCs w:val="25"/>
        </w:rPr>
        <w:t>ClarisHealth</w:t>
      </w:r>
      <w:proofErr w:type="spellEnd"/>
      <w:r w:rsidRPr="00CE2A01">
        <w:rPr>
          <w:rFonts w:ascii="Times New Roman" w:hAnsi="Times New Roman" w:cs="Times New Roman"/>
          <w:sz w:val="25"/>
          <w:szCs w:val="25"/>
        </w:rPr>
        <w:t>, 2026). Despite this momentum, fragmented payer data remains the core bottleneck. Agentic AI is emerging as the critical translation layer, pulling fragmented data from clinical, claims, and administrative systems into unified intelligence briefs without requiring the total replacement of legacy infrastructure (Cohere Health, 2026).</w:t>
      </w:r>
      <w:r w:rsidR="00024666" w:rsidRPr="00024666">
        <w:rPr>
          <w:noProof/>
        </w:rPr>
        <w:t xml:space="preserve"> </w:t>
      </w:r>
    </w:p>
    <w:p w14:paraId="60416700" w14:textId="78C4D9A9" w:rsidR="00CE2A01" w:rsidRDefault="00CE2A01" w:rsidP="00652F54">
      <w:pPr>
        <w:spacing w:line="360" w:lineRule="auto"/>
        <w:jc w:val="both"/>
        <w:rPr>
          <w:rFonts w:ascii="Times New Roman" w:hAnsi="Times New Roman" w:cs="Times New Roman"/>
          <w:b/>
          <w:bCs/>
          <w:sz w:val="27"/>
          <w:szCs w:val="27"/>
        </w:rPr>
      </w:pPr>
    </w:p>
    <w:p w14:paraId="228725C0" w14:textId="391BEF55" w:rsidR="00652F54" w:rsidRPr="00CE2A01" w:rsidRDefault="00024666" w:rsidP="00652F54">
      <w:pPr>
        <w:spacing w:line="360" w:lineRule="auto"/>
        <w:jc w:val="both"/>
        <w:rPr>
          <w:rFonts w:ascii="Times New Roman" w:hAnsi="Times New Roman" w:cs="Times New Roman"/>
          <w:b/>
          <w:bCs/>
          <w:sz w:val="27"/>
          <w:szCs w:val="27"/>
        </w:rPr>
      </w:pPr>
      <w:r w:rsidRPr="00024666">
        <w:rPr>
          <w:rFonts w:ascii="Times New Roman" w:hAnsi="Times New Roman" w:cs="Times New Roman"/>
          <w:noProof/>
          <w:sz w:val="25"/>
          <w:szCs w:val="25"/>
        </w:rPr>
        <w:lastRenderedPageBreak/>
        <w:drawing>
          <wp:anchor distT="0" distB="0" distL="114300" distR="114300" simplePos="0" relativeHeight="251660288" behindDoc="0" locked="0" layoutInCell="1" allowOverlap="1" wp14:anchorId="7FB97301" wp14:editId="21995196">
            <wp:simplePos x="0" y="0"/>
            <wp:positionH relativeFrom="page">
              <wp:align>right</wp:align>
            </wp:positionH>
            <wp:positionV relativeFrom="page">
              <wp:align>top</wp:align>
            </wp:positionV>
            <wp:extent cx="1393200" cy="237727"/>
            <wp:effectExtent l="0" t="0" r="0" b="0"/>
            <wp:wrapSquare wrapText="bothSides"/>
            <wp:docPr id="926315889" name="Picture 30" descr="10 Top IT Companies In Nepal (2024)">
              <a:extLst xmlns:a="http://schemas.openxmlformats.org/drawingml/2006/main">
                <a:ext uri="{FF2B5EF4-FFF2-40B4-BE49-F238E27FC236}">
                  <a16:creationId xmlns:a16="http://schemas.microsoft.com/office/drawing/2014/main" id="{76D69811-1331-DE23-D5DA-0ED393DCB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10 Top IT Companies In Nepal (2024)">
                      <a:extLst>
                        <a:ext uri="{FF2B5EF4-FFF2-40B4-BE49-F238E27FC236}">
                          <a16:creationId xmlns:a16="http://schemas.microsoft.com/office/drawing/2014/main" id="{76D69811-1331-DE23-D5DA-0ED393DCBB24}"/>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3200" cy="237727"/>
                    </a:xfrm>
                    <a:prstGeom prst="rect">
                      <a:avLst/>
                    </a:prstGeom>
                  </pic:spPr>
                </pic:pic>
              </a:graphicData>
            </a:graphic>
            <wp14:sizeRelH relativeFrom="margin">
              <wp14:pctWidth>0</wp14:pctWidth>
            </wp14:sizeRelH>
            <wp14:sizeRelV relativeFrom="margin">
              <wp14:pctHeight>0</wp14:pctHeight>
            </wp14:sizeRelV>
          </wp:anchor>
        </w:drawing>
      </w:r>
      <w:r w:rsidR="00652F54" w:rsidRPr="00CE2A01">
        <w:rPr>
          <w:rFonts w:ascii="Times New Roman" w:hAnsi="Times New Roman" w:cs="Times New Roman"/>
          <w:b/>
          <w:bCs/>
          <w:sz w:val="27"/>
          <w:szCs w:val="27"/>
        </w:rPr>
        <w:t>Associated Opportunities and Threats</w:t>
      </w:r>
      <w:r w:rsidR="00013CE3" w:rsidRPr="00CE2A01">
        <w:rPr>
          <w:rFonts w:ascii="Times New Roman" w:hAnsi="Times New Roman" w:cs="Times New Roman"/>
          <w:b/>
          <w:bCs/>
          <w:sz w:val="27"/>
          <w:szCs w:val="27"/>
        </w:rPr>
        <w:t>:</w:t>
      </w:r>
      <w:r w:rsidRPr="00024666">
        <w:rPr>
          <w:rFonts w:ascii="Times New Roman" w:hAnsi="Times New Roman" w:cs="Times New Roman"/>
          <w:sz w:val="25"/>
          <w:szCs w:val="25"/>
        </w:rPr>
        <w:t xml:space="preserve"> </w:t>
      </w:r>
    </w:p>
    <w:p w14:paraId="1F50FDCB" w14:textId="0EA512FF"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The integration of Agentic AI and pattern recognition presents immense operational opportunities. In the Treatment domain, proactive algorithms can calculate dynamic risk scores based on patient care gaps (e.g., days since last visit and diagnosis severity) to prevent adverse health outcomes (Capgemini, 2026). For Payment and Operations, Agentic AI scales human capability by transforming raw statistical anomalies into structured audit intelligence. An operations manager can seamlessly visualize portfolio-wide financial exposure across distinct K-Means clusters and dynamically enforce targeted utilization policies based on exact risk tiers.</w:t>
      </w:r>
    </w:p>
    <w:p w14:paraId="326605AD" w14:textId="674A059D"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However, significant threats persist regarding AI automation bias and trust. Poorly implemented AI agents, especially "black box" LLMs generating ungrounded assumptions, can erode provider engagement and increase administrative friction (Cohere Health, 2026). Deploying generative AI without deterministic guardrails risks clinical hallucination, potentially misinterpreting complex billing codes (e.g., unbundling CPT 29881 and 29882) or generating medically inaccurate justifications that fail under audit scrutiny.</w:t>
      </w:r>
    </w:p>
    <w:p w14:paraId="06D4833C" w14:textId="3676F65C" w:rsidR="00D615C8" w:rsidRPr="00CE2A01" w:rsidRDefault="00D615C8" w:rsidP="00652F54">
      <w:pPr>
        <w:spacing w:line="360" w:lineRule="auto"/>
        <w:jc w:val="both"/>
        <w:rPr>
          <w:rFonts w:ascii="Times New Roman" w:hAnsi="Times New Roman" w:cs="Times New Roman"/>
          <w:b/>
          <w:bCs/>
          <w:sz w:val="27"/>
          <w:szCs w:val="27"/>
        </w:rPr>
      </w:pPr>
      <w:r w:rsidRPr="00CE2A01">
        <w:rPr>
          <w:rFonts w:ascii="Times New Roman" w:hAnsi="Times New Roman" w:cs="Times New Roman"/>
          <w:b/>
          <w:bCs/>
          <w:sz w:val="27"/>
          <w:szCs w:val="27"/>
        </w:rPr>
        <w:t>Strategic Proposals for Cotiviti</w:t>
      </w:r>
      <w:r w:rsidR="00013CE3" w:rsidRPr="00CE2A01">
        <w:rPr>
          <w:rFonts w:ascii="Times New Roman" w:hAnsi="Times New Roman" w:cs="Times New Roman"/>
          <w:b/>
          <w:bCs/>
          <w:sz w:val="27"/>
          <w:szCs w:val="27"/>
        </w:rPr>
        <w:t>:</w:t>
      </w:r>
    </w:p>
    <w:p w14:paraId="77CE5646" w14:textId="196332AA" w:rsidR="00D615C8" w:rsidRPr="00CE2A01" w:rsidRDefault="00D615C8" w:rsidP="00652F54">
      <w:pPr>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Cotiviti recently secured the #1 client-rated position in the 2026 Black Book payer claims platform rankings, reflecting market dominance in payment policy execution (Morningstar, 2026). To capitalize on the agentic AI evolution, Cotiviti should explore the following strategic investments:</w:t>
      </w:r>
    </w:p>
    <w:p w14:paraId="76AD3010" w14:textId="0CD6041D" w:rsidR="00D615C8" w:rsidRPr="00CE2A01" w:rsidRDefault="00D615C8" w:rsidP="00D615C8">
      <w:pPr>
        <w:pStyle w:val="ListParagraph"/>
        <w:numPr>
          <w:ilvl w:val="0"/>
          <w:numId w:val="1"/>
        </w:numPr>
        <w:spacing w:line="360" w:lineRule="auto"/>
        <w:jc w:val="both"/>
        <w:rPr>
          <w:rFonts w:ascii="Times New Roman" w:hAnsi="Times New Roman" w:cs="Times New Roman"/>
          <w:b/>
          <w:bCs/>
          <w:sz w:val="25"/>
          <w:szCs w:val="25"/>
        </w:rPr>
      </w:pPr>
      <w:r w:rsidRPr="00CE2A01">
        <w:rPr>
          <w:rFonts w:ascii="Times New Roman" w:hAnsi="Times New Roman" w:cs="Times New Roman"/>
          <w:b/>
          <w:bCs/>
          <w:sz w:val="25"/>
          <w:szCs w:val="25"/>
        </w:rPr>
        <w:t>Commercialize a Hybrid "Deterministic-to-Generative" Audit Engine</w:t>
      </w:r>
      <w:r w:rsidR="00013CE3" w:rsidRPr="00CE2A01">
        <w:rPr>
          <w:rFonts w:ascii="Times New Roman" w:hAnsi="Times New Roman" w:cs="Times New Roman"/>
          <w:b/>
          <w:bCs/>
          <w:sz w:val="25"/>
          <w:szCs w:val="25"/>
        </w:rPr>
        <w:t>:</w:t>
      </w:r>
    </w:p>
    <w:p w14:paraId="24B51BA7" w14:textId="6ACAA64A" w:rsidR="00D615C8" w:rsidRPr="00CE2A01" w:rsidRDefault="00D615C8" w:rsidP="00D615C8">
      <w:pPr>
        <w:pStyle w:val="ListParagraph"/>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Cotiviti should invest in an architecture that strictly segregates deterministic ML from Generative AI. By relying on statistical algorithms (e.g., NumPy Z-scores and Scikit-learn clustering) to extract confidence-weighted risk factors, LLMs can be restricted solely to downstream synthesis. Utilizing strict 5-step Chain Reasoning prompts that require Flag Analysis, Pattern Confirmation, Regulatory Context, Risk Verdict, and Recommended Action forces the AI to ground its analysis entirely in verifiable claim data. This hybrid approach mitigates hallucination risks and guarantees audit defensibility.</w:t>
      </w:r>
    </w:p>
    <w:p w14:paraId="38F22F72" w14:textId="0968741A" w:rsidR="00D615C8" w:rsidRPr="00CE2A01" w:rsidRDefault="00D615C8" w:rsidP="00D615C8">
      <w:pPr>
        <w:pStyle w:val="ListParagraph"/>
        <w:numPr>
          <w:ilvl w:val="0"/>
          <w:numId w:val="1"/>
        </w:numPr>
        <w:spacing w:line="360" w:lineRule="auto"/>
        <w:jc w:val="both"/>
        <w:rPr>
          <w:rFonts w:ascii="Times New Roman" w:hAnsi="Times New Roman" w:cs="Times New Roman"/>
          <w:b/>
          <w:bCs/>
          <w:sz w:val="25"/>
          <w:szCs w:val="25"/>
        </w:rPr>
      </w:pPr>
      <w:r w:rsidRPr="00CE2A01">
        <w:rPr>
          <w:rFonts w:ascii="Times New Roman" w:hAnsi="Times New Roman" w:cs="Times New Roman"/>
          <w:b/>
          <w:bCs/>
          <w:sz w:val="25"/>
          <w:szCs w:val="25"/>
        </w:rPr>
        <w:t>Productize "Shift-Left" Provider Longitudinal Operations Profiling</w:t>
      </w:r>
      <w:r w:rsidR="00013CE3" w:rsidRPr="00CE2A01">
        <w:rPr>
          <w:rFonts w:ascii="Times New Roman" w:hAnsi="Times New Roman" w:cs="Times New Roman"/>
          <w:b/>
          <w:bCs/>
          <w:sz w:val="25"/>
          <w:szCs w:val="25"/>
        </w:rPr>
        <w:t>:</w:t>
      </w:r>
    </w:p>
    <w:p w14:paraId="41D2BD87" w14:textId="38B570B2" w:rsidR="00D615C8" w:rsidRPr="00CE2A01" w:rsidRDefault="00D615C8" w:rsidP="00D615C8">
      <w:pPr>
        <w:pStyle w:val="ListParagraph"/>
        <w:spacing w:line="360" w:lineRule="auto"/>
        <w:jc w:val="both"/>
        <w:rPr>
          <w:rFonts w:ascii="Times New Roman" w:hAnsi="Times New Roman" w:cs="Times New Roman"/>
          <w:sz w:val="25"/>
          <w:szCs w:val="25"/>
        </w:rPr>
      </w:pPr>
      <w:r w:rsidRPr="00CE2A01">
        <w:rPr>
          <w:rFonts w:ascii="Times New Roman" w:hAnsi="Times New Roman" w:cs="Times New Roman"/>
          <w:sz w:val="25"/>
          <w:szCs w:val="25"/>
        </w:rPr>
        <w:t xml:space="preserve">Cotiviti should expand its Payment Operations offerings by developing portfolio-wide predictive dashboards that track provider </w:t>
      </w:r>
      <w:r w:rsidR="00013CE3" w:rsidRPr="00CE2A01">
        <w:rPr>
          <w:rFonts w:ascii="Times New Roman" w:hAnsi="Times New Roman" w:cs="Times New Roman"/>
          <w:sz w:val="25"/>
          <w:szCs w:val="25"/>
        </w:rPr>
        <w:t>behavioural</w:t>
      </w:r>
      <w:r w:rsidRPr="00CE2A01">
        <w:rPr>
          <w:rFonts w:ascii="Times New Roman" w:hAnsi="Times New Roman" w:cs="Times New Roman"/>
          <w:sz w:val="25"/>
          <w:szCs w:val="25"/>
        </w:rPr>
        <w:t xml:space="preserve"> momentum. Instead of merely scoring individual claims, this system would evaluate the trajectory of clinical procedure coding (CPT/ICD-10 alignments) and referral rates over continuous 12-to-24-month cycles. Identifying the statistical precursors to typologies like "Upcoding" or "Phantom Billing" empowers health plans to implement pre-payment clinical reviews earlier in the billing lifecycle, moving definitively into the proactive payment integrity space (</w:t>
      </w:r>
      <w:proofErr w:type="spellStart"/>
      <w:r w:rsidRPr="00CE2A01">
        <w:rPr>
          <w:rFonts w:ascii="Times New Roman" w:hAnsi="Times New Roman" w:cs="Times New Roman"/>
          <w:sz w:val="25"/>
          <w:szCs w:val="25"/>
        </w:rPr>
        <w:t>HealthEdge</w:t>
      </w:r>
      <w:proofErr w:type="spellEnd"/>
      <w:r w:rsidRPr="00CE2A01">
        <w:rPr>
          <w:rFonts w:ascii="Times New Roman" w:hAnsi="Times New Roman" w:cs="Times New Roman"/>
          <w:sz w:val="25"/>
          <w:szCs w:val="25"/>
        </w:rPr>
        <w:t>, 2026).</w:t>
      </w:r>
    </w:p>
    <w:p w14:paraId="5DEF96B5" w14:textId="43E3DB5B" w:rsidR="00D615C8" w:rsidRPr="00CE2A01" w:rsidRDefault="00CE2A01" w:rsidP="00CE2A01">
      <w:pPr>
        <w:rPr>
          <w:rFonts w:ascii="Times New Roman" w:hAnsi="Times New Roman" w:cs="Times New Roman"/>
          <w:b/>
          <w:bCs/>
          <w:sz w:val="27"/>
          <w:szCs w:val="27"/>
        </w:rPr>
      </w:pPr>
      <w:r>
        <w:rPr>
          <w:rFonts w:ascii="Times New Roman" w:hAnsi="Times New Roman" w:cs="Times New Roman"/>
          <w:b/>
          <w:bCs/>
        </w:rPr>
        <w:br w:type="page"/>
      </w:r>
      <w:r w:rsidR="00024666" w:rsidRPr="00024666">
        <w:rPr>
          <w:rFonts w:ascii="Times New Roman" w:hAnsi="Times New Roman" w:cs="Times New Roman"/>
          <w:noProof/>
          <w:sz w:val="25"/>
          <w:szCs w:val="25"/>
        </w:rPr>
        <w:lastRenderedPageBreak/>
        <w:drawing>
          <wp:anchor distT="0" distB="0" distL="114300" distR="114300" simplePos="0" relativeHeight="251662336" behindDoc="0" locked="0" layoutInCell="1" allowOverlap="1" wp14:anchorId="42C43033" wp14:editId="491ABB89">
            <wp:simplePos x="0" y="0"/>
            <wp:positionH relativeFrom="page">
              <wp:align>right</wp:align>
            </wp:positionH>
            <wp:positionV relativeFrom="page">
              <wp:align>top</wp:align>
            </wp:positionV>
            <wp:extent cx="1389600" cy="237112"/>
            <wp:effectExtent l="0" t="0" r="1270" b="0"/>
            <wp:wrapSquare wrapText="bothSides"/>
            <wp:docPr id="646173278" name="Picture 30" descr="10 Top IT Companies In Nepal (2024)">
              <a:extLst xmlns:a="http://schemas.openxmlformats.org/drawingml/2006/main">
                <a:ext uri="{FF2B5EF4-FFF2-40B4-BE49-F238E27FC236}">
                  <a16:creationId xmlns:a16="http://schemas.microsoft.com/office/drawing/2014/main" id="{76D69811-1331-DE23-D5DA-0ED393DCB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10 Top IT Companies In Nepal (2024)">
                      <a:extLst>
                        <a:ext uri="{FF2B5EF4-FFF2-40B4-BE49-F238E27FC236}">
                          <a16:creationId xmlns:a16="http://schemas.microsoft.com/office/drawing/2014/main" id="{76D69811-1331-DE23-D5DA-0ED393DCBB24}"/>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9600" cy="237112"/>
                    </a:xfrm>
                    <a:prstGeom prst="rect">
                      <a:avLst/>
                    </a:prstGeom>
                  </pic:spPr>
                </pic:pic>
              </a:graphicData>
            </a:graphic>
            <wp14:sizeRelH relativeFrom="margin">
              <wp14:pctWidth>0</wp14:pctWidth>
            </wp14:sizeRelH>
            <wp14:sizeRelV relativeFrom="margin">
              <wp14:pctHeight>0</wp14:pctHeight>
            </wp14:sizeRelV>
          </wp:anchor>
        </w:drawing>
      </w:r>
      <w:r w:rsidR="00D615C8" w:rsidRPr="00CE2A01">
        <w:rPr>
          <w:rFonts w:ascii="Times New Roman" w:hAnsi="Times New Roman" w:cs="Times New Roman"/>
          <w:b/>
          <w:bCs/>
          <w:sz w:val="27"/>
          <w:szCs w:val="27"/>
        </w:rPr>
        <w:t>References</w:t>
      </w:r>
      <w:r w:rsidR="00013CE3" w:rsidRPr="00CE2A01">
        <w:rPr>
          <w:rFonts w:ascii="Times New Roman" w:hAnsi="Times New Roman" w:cs="Times New Roman"/>
          <w:b/>
          <w:bCs/>
          <w:sz w:val="27"/>
          <w:szCs w:val="27"/>
        </w:rPr>
        <w:t>:</w:t>
      </w:r>
      <w:r w:rsidR="00024666" w:rsidRPr="00024666">
        <w:rPr>
          <w:rFonts w:ascii="Times New Roman" w:hAnsi="Times New Roman" w:cs="Times New Roman"/>
          <w:sz w:val="25"/>
          <w:szCs w:val="25"/>
        </w:rPr>
        <w:t xml:space="preserve"> </w:t>
      </w:r>
    </w:p>
    <w:p w14:paraId="129B7AE5" w14:textId="06E37E1C" w:rsidR="006303E7" w:rsidRPr="006303E7" w:rsidRDefault="006303E7" w:rsidP="00BA6B77">
      <w:pPr>
        <w:spacing w:line="360" w:lineRule="auto"/>
        <w:ind w:left="720" w:hanging="720"/>
        <w:rPr>
          <w:rFonts w:ascii="Times New Roman" w:hAnsi="Times New Roman" w:cs="Times New Roman"/>
          <w:sz w:val="25"/>
          <w:szCs w:val="25"/>
        </w:rPr>
      </w:pPr>
      <w:r w:rsidRPr="006303E7">
        <w:rPr>
          <w:rFonts w:ascii="Times New Roman" w:hAnsi="Times New Roman" w:cs="Times New Roman"/>
          <w:sz w:val="25"/>
          <w:szCs w:val="25"/>
        </w:rPr>
        <w:t xml:space="preserve">Capgemini. (2026). </w:t>
      </w:r>
      <w:r w:rsidRPr="006303E7">
        <w:rPr>
          <w:rFonts w:ascii="Times New Roman" w:hAnsi="Times New Roman" w:cs="Times New Roman"/>
          <w:i/>
          <w:iCs/>
          <w:sz w:val="25"/>
          <w:szCs w:val="25"/>
        </w:rPr>
        <w:t>Trends in 2026 for healthcare – How is AI making insight-driven patient care a reality?</w:t>
      </w:r>
      <w:r w:rsidRPr="006303E7">
        <w:rPr>
          <w:rFonts w:ascii="Times New Roman" w:hAnsi="Times New Roman" w:cs="Times New Roman"/>
          <w:sz w:val="25"/>
          <w:szCs w:val="25"/>
        </w:rPr>
        <w:t xml:space="preserve"> Capgemini Insights. </w:t>
      </w:r>
      <w:hyperlink r:id="rId6" w:tgtFrame="_blank" w:history="1">
        <w:r w:rsidRPr="006303E7">
          <w:rPr>
            <w:rStyle w:val="Hyperlink"/>
            <w:rFonts w:ascii="Times New Roman" w:hAnsi="Times New Roman" w:cs="Times New Roman"/>
            <w:sz w:val="25"/>
            <w:szCs w:val="25"/>
          </w:rPr>
          <w:t>https://www.capgemini.com/insights/expert-perspectives/trends-in-2026-for-healthcare-how-is-ai-making-insight-driven-patient-care-a-reality/</w:t>
        </w:r>
      </w:hyperlink>
      <w:r w:rsidR="00BA6B77">
        <w:rPr>
          <w:rFonts w:ascii="Times New Roman" w:hAnsi="Times New Roman" w:cs="Times New Roman"/>
          <w:sz w:val="25"/>
          <w:szCs w:val="25"/>
        </w:rPr>
        <w:tab/>
      </w:r>
    </w:p>
    <w:p w14:paraId="71C65457" w14:textId="447CE82A" w:rsidR="006303E7" w:rsidRPr="006303E7" w:rsidRDefault="006303E7" w:rsidP="00BA6B77">
      <w:pPr>
        <w:spacing w:line="360" w:lineRule="auto"/>
        <w:ind w:left="720" w:hanging="720"/>
        <w:rPr>
          <w:rFonts w:ascii="Times New Roman" w:hAnsi="Times New Roman" w:cs="Times New Roman"/>
          <w:sz w:val="25"/>
          <w:szCs w:val="25"/>
        </w:rPr>
      </w:pPr>
      <w:proofErr w:type="spellStart"/>
      <w:r w:rsidRPr="006303E7">
        <w:rPr>
          <w:rFonts w:ascii="Times New Roman" w:hAnsi="Times New Roman" w:cs="Times New Roman"/>
          <w:sz w:val="25"/>
          <w:szCs w:val="25"/>
        </w:rPr>
        <w:t>ClarisHealth</w:t>
      </w:r>
      <w:proofErr w:type="spellEnd"/>
      <w:r w:rsidRPr="006303E7">
        <w:rPr>
          <w:rFonts w:ascii="Times New Roman" w:hAnsi="Times New Roman" w:cs="Times New Roman"/>
          <w:sz w:val="25"/>
          <w:szCs w:val="25"/>
        </w:rPr>
        <w:t xml:space="preserve">. (2026, January 27). </w:t>
      </w:r>
      <w:r w:rsidRPr="006303E7">
        <w:rPr>
          <w:rFonts w:ascii="Times New Roman" w:hAnsi="Times New Roman" w:cs="Times New Roman"/>
          <w:i/>
          <w:iCs/>
          <w:sz w:val="25"/>
          <w:szCs w:val="25"/>
        </w:rPr>
        <w:t xml:space="preserve">2026 Payment Integrity Technology Trends: The Shift </w:t>
      </w:r>
      <w:proofErr w:type="gramStart"/>
      <w:r w:rsidRPr="006303E7">
        <w:rPr>
          <w:rFonts w:ascii="Times New Roman" w:hAnsi="Times New Roman" w:cs="Times New Roman"/>
          <w:i/>
          <w:iCs/>
          <w:sz w:val="25"/>
          <w:szCs w:val="25"/>
        </w:rPr>
        <w:t>From</w:t>
      </w:r>
      <w:proofErr w:type="gramEnd"/>
      <w:r w:rsidRPr="006303E7">
        <w:rPr>
          <w:rFonts w:ascii="Times New Roman" w:hAnsi="Times New Roman" w:cs="Times New Roman"/>
          <w:i/>
          <w:iCs/>
          <w:sz w:val="25"/>
          <w:szCs w:val="25"/>
        </w:rPr>
        <w:t xml:space="preserve"> Savings Engine to Enterprise Control.</w:t>
      </w:r>
      <w:r w:rsidRPr="006303E7">
        <w:rPr>
          <w:rFonts w:ascii="Times New Roman" w:hAnsi="Times New Roman" w:cs="Times New Roman"/>
          <w:sz w:val="25"/>
          <w:szCs w:val="25"/>
        </w:rPr>
        <w:t xml:space="preserve"> </w:t>
      </w:r>
      <w:proofErr w:type="spellStart"/>
      <w:r w:rsidRPr="006303E7">
        <w:rPr>
          <w:rFonts w:ascii="Times New Roman" w:hAnsi="Times New Roman" w:cs="Times New Roman"/>
          <w:sz w:val="25"/>
          <w:szCs w:val="25"/>
        </w:rPr>
        <w:t>ClarisHealth</w:t>
      </w:r>
      <w:proofErr w:type="spellEnd"/>
      <w:r w:rsidRPr="006303E7">
        <w:rPr>
          <w:rFonts w:ascii="Times New Roman" w:hAnsi="Times New Roman" w:cs="Times New Roman"/>
          <w:sz w:val="25"/>
          <w:szCs w:val="25"/>
        </w:rPr>
        <w:t xml:space="preserve"> Blog. </w:t>
      </w:r>
      <w:hyperlink r:id="rId7" w:tgtFrame="_blank" w:history="1">
        <w:r w:rsidRPr="006303E7">
          <w:rPr>
            <w:rStyle w:val="Hyperlink"/>
            <w:rFonts w:ascii="Times New Roman" w:hAnsi="Times New Roman" w:cs="Times New Roman"/>
            <w:sz w:val="25"/>
            <w:szCs w:val="25"/>
          </w:rPr>
          <w:t>https://www.clarishealth.com/blog/healthcare-payer-technology-trends/</w:t>
        </w:r>
      </w:hyperlink>
    </w:p>
    <w:p w14:paraId="609E93CD" w14:textId="77777777" w:rsidR="006303E7" w:rsidRPr="006303E7" w:rsidRDefault="006303E7" w:rsidP="00BA6B77">
      <w:pPr>
        <w:spacing w:line="360" w:lineRule="auto"/>
        <w:ind w:left="720" w:hanging="720"/>
        <w:rPr>
          <w:rFonts w:ascii="Times New Roman" w:hAnsi="Times New Roman" w:cs="Times New Roman"/>
          <w:sz w:val="25"/>
          <w:szCs w:val="25"/>
        </w:rPr>
      </w:pPr>
      <w:r w:rsidRPr="006303E7">
        <w:rPr>
          <w:rFonts w:ascii="Times New Roman" w:hAnsi="Times New Roman" w:cs="Times New Roman"/>
          <w:sz w:val="25"/>
          <w:szCs w:val="25"/>
        </w:rPr>
        <w:t xml:space="preserve">Cohere Health. (2026, February 27). </w:t>
      </w:r>
      <w:r w:rsidRPr="006303E7">
        <w:rPr>
          <w:rFonts w:ascii="Times New Roman" w:hAnsi="Times New Roman" w:cs="Times New Roman"/>
          <w:i/>
          <w:iCs/>
          <w:sz w:val="25"/>
          <w:szCs w:val="25"/>
        </w:rPr>
        <w:t>Agentic AI for Health Plans: Key Gartner 2026 Insights.</w:t>
      </w:r>
      <w:r w:rsidRPr="006303E7">
        <w:rPr>
          <w:rFonts w:ascii="Times New Roman" w:hAnsi="Times New Roman" w:cs="Times New Roman"/>
          <w:sz w:val="25"/>
          <w:szCs w:val="25"/>
        </w:rPr>
        <w:t xml:space="preserve"> Cohere Health Blog. </w:t>
      </w:r>
      <w:hyperlink r:id="rId8" w:tgtFrame="_blank" w:history="1">
        <w:r w:rsidRPr="006303E7">
          <w:rPr>
            <w:rStyle w:val="Hyperlink"/>
            <w:rFonts w:ascii="Times New Roman" w:hAnsi="Times New Roman" w:cs="Times New Roman"/>
            <w:sz w:val="25"/>
            <w:szCs w:val="25"/>
          </w:rPr>
          <w:t>https://www.coherehealth.com/blog/agentic-ai-health-plans-gartner-2026-insights</w:t>
        </w:r>
      </w:hyperlink>
    </w:p>
    <w:p w14:paraId="3E99059A" w14:textId="77777777" w:rsidR="006303E7" w:rsidRPr="006303E7" w:rsidRDefault="006303E7" w:rsidP="00BA6B77">
      <w:pPr>
        <w:spacing w:line="360" w:lineRule="auto"/>
        <w:ind w:left="720" w:hanging="720"/>
        <w:rPr>
          <w:rFonts w:ascii="Times New Roman" w:hAnsi="Times New Roman" w:cs="Times New Roman"/>
          <w:sz w:val="25"/>
          <w:szCs w:val="25"/>
        </w:rPr>
      </w:pPr>
      <w:proofErr w:type="spellStart"/>
      <w:r w:rsidRPr="006303E7">
        <w:rPr>
          <w:rFonts w:ascii="Times New Roman" w:hAnsi="Times New Roman" w:cs="Times New Roman"/>
          <w:sz w:val="25"/>
          <w:szCs w:val="25"/>
        </w:rPr>
        <w:t>HealthEdge</w:t>
      </w:r>
      <w:proofErr w:type="spellEnd"/>
      <w:r w:rsidRPr="006303E7">
        <w:rPr>
          <w:rFonts w:ascii="Times New Roman" w:hAnsi="Times New Roman" w:cs="Times New Roman"/>
          <w:sz w:val="25"/>
          <w:szCs w:val="25"/>
        </w:rPr>
        <w:t xml:space="preserve">. (2026, March 13). </w:t>
      </w:r>
      <w:r w:rsidRPr="006303E7">
        <w:rPr>
          <w:rFonts w:ascii="Times New Roman" w:hAnsi="Times New Roman" w:cs="Times New Roman"/>
          <w:i/>
          <w:iCs/>
          <w:sz w:val="25"/>
          <w:szCs w:val="25"/>
        </w:rPr>
        <w:t>7 Payment Integrity Trends Health Plans Can't Afford to Ignore in 2026.</w:t>
      </w:r>
      <w:r w:rsidRPr="006303E7">
        <w:rPr>
          <w:rFonts w:ascii="Times New Roman" w:hAnsi="Times New Roman" w:cs="Times New Roman"/>
          <w:sz w:val="25"/>
          <w:szCs w:val="25"/>
        </w:rPr>
        <w:t xml:space="preserve"> </w:t>
      </w:r>
      <w:proofErr w:type="spellStart"/>
      <w:r w:rsidRPr="006303E7">
        <w:rPr>
          <w:rFonts w:ascii="Times New Roman" w:hAnsi="Times New Roman" w:cs="Times New Roman"/>
          <w:sz w:val="25"/>
          <w:szCs w:val="25"/>
        </w:rPr>
        <w:t>HealthEdge</w:t>
      </w:r>
      <w:proofErr w:type="spellEnd"/>
      <w:r w:rsidRPr="006303E7">
        <w:rPr>
          <w:rFonts w:ascii="Times New Roman" w:hAnsi="Times New Roman" w:cs="Times New Roman"/>
          <w:sz w:val="25"/>
          <w:szCs w:val="25"/>
        </w:rPr>
        <w:t xml:space="preserve"> Resources. </w:t>
      </w:r>
      <w:hyperlink r:id="rId9" w:tgtFrame="_blank" w:history="1">
        <w:r w:rsidRPr="006303E7">
          <w:rPr>
            <w:rStyle w:val="Hyperlink"/>
            <w:rFonts w:ascii="Times New Roman" w:hAnsi="Times New Roman" w:cs="Times New Roman"/>
            <w:sz w:val="25"/>
            <w:szCs w:val="25"/>
          </w:rPr>
          <w:t>https://healthedge.com/resources/blog/src-7-payment-integrity-trends-health-plans-can-t-afford-to-ignore-in-2026</w:t>
        </w:r>
      </w:hyperlink>
    </w:p>
    <w:p w14:paraId="0F78AE87" w14:textId="77777777" w:rsidR="006303E7" w:rsidRPr="006303E7" w:rsidRDefault="006303E7" w:rsidP="00BA6B77">
      <w:pPr>
        <w:spacing w:line="360" w:lineRule="auto"/>
        <w:ind w:left="720" w:hanging="720"/>
        <w:rPr>
          <w:rFonts w:ascii="Times New Roman" w:hAnsi="Times New Roman" w:cs="Times New Roman"/>
          <w:sz w:val="25"/>
          <w:szCs w:val="25"/>
        </w:rPr>
      </w:pPr>
      <w:r w:rsidRPr="006303E7">
        <w:rPr>
          <w:rFonts w:ascii="Times New Roman" w:hAnsi="Times New Roman" w:cs="Times New Roman"/>
          <w:sz w:val="25"/>
          <w:szCs w:val="25"/>
        </w:rPr>
        <w:t xml:space="preserve">Morningstar. (2026, June 15). </w:t>
      </w:r>
      <w:r w:rsidRPr="006303E7">
        <w:rPr>
          <w:rFonts w:ascii="Times New Roman" w:hAnsi="Times New Roman" w:cs="Times New Roman"/>
          <w:i/>
          <w:iCs/>
          <w:sz w:val="25"/>
          <w:szCs w:val="25"/>
        </w:rPr>
        <w:t>Cotiviti Leads 2026 Black Book Payer Claims Platform Rankings, Rated #1 by Managed Care Clients.</w:t>
      </w:r>
      <w:r w:rsidRPr="006303E7">
        <w:rPr>
          <w:rFonts w:ascii="Times New Roman" w:hAnsi="Times New Roman" w:cs="Times New Roman"/>
          <w:sz w:val="25"/>
          <w:szCs w:val="25"/>
        </w:rPr>
        <w:t xml:space="preserve"> Morningstar Press Releases. </w:t>
      </w:r>
      <w:hyperlink r:id="rId10" w:tgtFrame="_blank" w:history="1">
        <w:r w:rsidRPr="006303E7">
          <w:rPr>
            <w:rStyle w:val="Hyperlink"/>
            <w:rFonts w:ascii="Times New Roman" w:hAnsi="Times New Roman" w:cs="Times New Roman"/>
            <w:sz w:val="25"/>
            <w:szCs w:val="25"/>
          </w:rPr>
          <w:t>https://www.morningstar.com/news/accesswire/1176183msn/cotiviti-leads-2026-black-book-payer-claims-platform-rankings-rated-1-by-managed-care-clients</w:t>
        </w:r>
      </w:hyperlink>
    </w:p>
    <w:p w14:paraId="180CEF4B" w14:textId="422DBCDE" w:rsidR="00652F54" w:rsidRPr="00CE2A01" w:rsidRDefault="00652F54" w:rsidP="00187BFE">
      <w:pPr>
        <w:spacing w:line="360" w:lineRule="auto"/>
        <w:jc w:val="both"/>
        <w:rPr>
          <w:rFonts w:ascii="Times New Roman" w:hAnsi="Times New Roman" w:cs="Times New Roman"/>
          <w:sz w:val="25"/>
          <w:szCs w:val="25"/>
        </w:rPr>
      </w:pPr>
    </w:p>
    <w:sectPr w:rsidR="00652F54" w:rsidRPr="00CE2A01" w:rsidSect="00652F5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A76AF"/>
    <w:multiLevelType w:val="hybridMultilevel"/>
    <w:tmpl w:val="3EA00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305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54"/>
    <w:rsid w:val="00013CE3"/>
    <w:rsid w:val="00024666"/>
    <w:rsid w:val="00187BFE"/>
    <w:rsid w:val="001908DA"/>
    <w:rsid w:val="00377EE6"/>
    <w:rsid w:val="003D00A1"/>
    <w:rsid w:val="006303E7"/>
    <w:rsid w:val="00652F54"/>
    <w:rsid w:val="006E02A9"/>
    <w:rsid w:val="006F4447"/>
    <w:rsid w:val="007A7FC8"/>
    <w:rsid w:val="00B4659C"/>
    <w:rsid w:val="00BA6B77"/>
    <w:rsid w:val="00CE2A01"/>
    <w:rsid w:val="00D61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A709"/>
  <w15:chartTrackingRefBased/>
  <w15:docId w15:val="{151CD821-2EF0-4B16-AEBB-005C5DE6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F54"/>
    <w:rPr>
      <w:rFonts w:eastAsiaTheme="majorEastAsia" w:cstheme="majorBidi"/>
      <w:color w:val="272727" w:themeColor="text1" w:themeTint="D8"/>
    </w:rPr>
  </w:style>
  <w:style w:type="paragraph" w:styleId="Title">
    <w:name w:val="Title"/>
    <w:basedOn w:val="Normal"/>
    <w:next w:val="Normal"/>
    <w:link w:val="TitleChar"/>
    <w:uiPriority w:val="10"/>
    <w:qFormat/>
    <w:rsid w:val="0065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F54"/>
    <w:pPr>
      <w:spacing w:before="160"/>
      <w:jc w:val="center"/>
    </w:pPr>
    <w:rPr>
      <w:i/>
      <w:iCs/>
      <w:color w:val="404040" w:themeColor="text1" w:themeTint="BF"/>
    </w:rPr>
  </w:style>
  <w:style w:type="character" w:customStyle="1" w:styleId="QuoteChar">
    <w:name w:val="Quote Char"/>
    <w:basedOn w:val="DefaultParagraphFont"/>
    <w:link w:val="Quote"/>
    <w:uiPriority w:val="29"/>
    <w:rsid w:val="00652F54"/>
    <w:rPr>
      <w:i/>
      <w:iCs/>
      <w:color w:val="404040" w:themeColor="text1" w:themeTint="BF"/>
    </w:rPr>
  </w:style>
  <w:style w:type="paragraph" w:styleId="ListParagraph">
    <w:name w:val="List Paragraph"/>
    <w:basedOn w:val="Normal"/>
    <w:uiPriority w:val="34"/>
    <w:qFormat/>
    <w:rsid w:val="00652F54"/>
    <w:pPr>
      <w:ind w:left="720"/>
      <w:contextualSpacing/>
    </w:pPr>
  </w:style>
  <w:style w:type="character" w:styleId="IntenseEmphasis">
    <w:name w:val="Intense Emphasis"/>
    <w:basedOn w:val="DefaultParagraphFont"/>
    <w:uiPriority w:val="21"/>
    <w:qFormat/>
    <w:rsid w:val="00652F54"/>
    <w:rPr>
      <w:i/>
      <w:iCs/>
      <w:color w:val="0F4761" w:themeColor="accent1" w:themeShade="BF"/>
    </w:rPr>
  </w:style>
  <w:style w:type="paragraph" w:styleId="IntenseQuote">
    <w:name w:val="Intense Quote"/>
    <w:basedOn w:val="Normal"/>
    <w:next w:val="Normal"/>
    <w:link w:val="IntenseQuoteChar"/>
    <w:uiPriority w:val="30"/>
    <w:qFormat/>
    <w:rsid w:val="00652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F54"/>
    <w:rPr>
      <w:i/>
      <w:iCs/>
      <w:color w:val="0F4761" w:themeColor="accent1" w:themeShade="BF"/>
    </w:rPr>
  </w:style>
  <w:style w:type="character" w:styleId="IntenseReference">
    <w:name w:val="Intense Reference"/>
    <w:basedOn w:val="DefaultParagraphFont"/>
    <w:uiPriority w:val="32"/>
    <w:qFormat/>
    <w:rsid w:val="00652F54"/>
    <w:rPr>
      <w:b/>
      <w:bCs/>
      <w:smallCaps/>
      <w:color w:val="0F4761" w:themeColor="accent1" w:themeShade="BF"/>
      <w:spacing w:val="5"/>
    </w:rPr>
  </w:style>
  <w:style w:type="character" w:styleId="Hyperlink">
    <w:name w:val="Hyperlink"/>
    <w:basedOn w:val="DefaultParagraphFont"/>
    <w:uiPriority w:val="99"/>
    <w:unhideWhenUsed/>
    <w:rsid w:val="00187BFE"/>
    <w:rPr>
      <w:color w:val="467886" w:themeColor="hyperlink"/>
      <w:u w:val="single"/>
    </w:rPr>
  </w:style>
  <w:style w:type="character" w:styleId="UnresolvedMention">
    <w:name w:val="Unresolved Mention"/>
    <w:basedOn w:val="DefaultParagraphFont"/>
    <w:uiPriority w:val="99"/>
    <w:semiHidden/>
    <w:unhideWhenUsed/>
    <w:rsid w:val="00187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herehealth.com/blog/agentic-ai-health-plans-gartner-2026-insights" TargetMode="External"/><Relationship Id="rId3" Type="http://schemas.openxmlformats.org/officeDocument/2006/relationships/settings" Target="settings.xml"/><Relationship Id="rId7" Type="http://schemas.openxmlformats.org/officeDocument/2006/relationships/hyperlink" Target="https://www.clarishealth.com/blog/healthcare-payer-technology-tren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pgemini.com/insights/expert-perspectives/trends-in-2026-for-healthcare-how-is-ai-making-insight-driven-patient-care-a-realit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search?q=https%3A%2F%2Fwww.morningstar.com%2Fnews%2Faccesswire%2F1176183msn%2Fcotiviti-leads-2026-black-book-payer-claims-platform-rankings-rated-1-by-managed-care-clients" TargetMode="External"/><Relationship Id="rId4" Type="http://schemas.openxmlformats.org/officeDocument/2006/relationships/webSettings" Target="webSettings.xml"/><Relationship Id="rId9" Type="http://schemas.openxmlformats.org/officeDocument/2006/relationships/hyperlink" Target="https://www.google.com/search?q=https%3A%2F%2Fhealthedge.com%2Fresources%2Fblog%2Fsrc-7-payment-integrity-trends-health-plans-can-t-afford-to-ignore-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 Praveen</dc:creator>
  <cp:keywords/>
  <dc:description/>
  <cp:lastModifiedBy>Jey Praveen</cp:lastModifiedBy>
  <cp:revision>6</cp:revision>
  <dcterms:created xsi:type="dcterms:W3CDTF">2026-06-30T12:41:00Z</dcterms:created>
  <dcterms:modified xsi:type="dcterms:W3CDTF">2026-07-01T08:58:00Z</dcterms:modified>
</cp:coreProperties>
</file>