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Indicadores de la tesis y trazabilidad de datos en ETRAL</w:t>
      </w:r>
    </w:p>
    <w:p>
      <w:r>
        <w:t>Guía breve para leer las tarjetas, revisar las fichas Excel y comprobar de dónde sale cada valor.</w:t>
      </w:r>
    </w:p>
    <w:p>
      <w:r>
        <w:t>El avance de una fase acredita las cantidades de materiales de sus reservas BOM. Las salidas explícitas prevalecen; la cantidad restante se identifica como estimación. Para expresar productividad en soles, esas cantidades necesitan costo unitario. Las horas registradas acreditan tiempo, mientras que su costo depende de la tarifa del trabajador.</w:t>
      </w:r>
    </w:p>
    <w:p>
      <w:pPr>
        <w:spacing w:after="40"/>
        <w:jc w:val="center"/>
      </w:pPr>
      <w:r>
        <w:drawing>
          <wp:inline xmlns:a="http://schemas.openxmlformats.org/drawingml/2006/main" xmlns:pic="http://schemas.openxmlformats.org/drawingml/2006/picture">
            <wp:extent cx="6080760" cy="2929147"/>
            <wp:docPr id="1" name="Picture 1"/>
            <wp:cNvGraphicFramePr>
              <a:graphicFrameLocks noChangeAspect="1"/>
            </wp:cNvGraphicFramePr>
            <a:graphic>
              <a:graphicData uri="http://schemas.openxmlformats.org/drawingml/2006/picture">
                <pic:pic>
                  <pic:nvPicPr>
                    <pic:cNvPr id="0" name="dashboard_progress_demo.png"/>
                    <pic:cNvPicPr/>
                  </pic:nvPicPr>
                  <pic:blipFill>
                    <a:blip r:embed="rId9"/>
                    <a:stretch>
                      <a:fillRect/>
                    </a:stretch>
                  </pic:blipFill>
                  <pic:spPr>
                    <a:xfrm>
                      <a:off x="0" y="0"/>
                      <a:ext cx="6080760" cy="2929147"/>
                    </a:xfrm>
                    <a:prstGeom prst="rect"/>
                  </pic:spPr>
                </pic:pic>
              </a:graphicData>
            </a:graphic>
          </wp:inline>
        </w:drawing>
      </w:r>
    </w:p>
    <w:p>
      <w:pPr>
        <w:pStyle w:val="Compactcaption"/>
      </w:pPr>
      <w:r>
        <w:t>Tablero ilustrativo. Las dos tarjetas monetarias distinguen avance registrado de valoración pendiente.</w:t>
      </w:r>
    </w:p>
    <w:p>
      <w:pPr>
        <w:pStyle w:val="Heading2"/>
      </w:pPr>
      <w:r>
        <w:t>Mapa rápido</w:t>
      </w:r>
    </w:p>
    <w:tbl>
      <w:tblPr>
        <w:tblW w:type="auto" w:w="0"/>
        <w:jc w:val="center"/>
        <w:tblLayout w:type="fixed"/>
        <w:tblLook w:firstColumn="1" w:firstRow="1" w:lastColumn="0" w:lastRow="0" w:noHBand="0" w:noVBand="1" w:val="04A0"/>
      </w:tblPr>
      <w:tblGrid>
        <w:gridCol w:w="2232"/>
        <w:gridCol w:w="3715"/>
        <w:gridCol w:w="3960"/>
      </w:tblGrid>
      <w:tr>
        <w:trPr>
          <w:tblHeader/>
          <w:cantSplit/>
        </w:trPr>
        <w:tc>
          <w:tcPr>
            <w:tcW w:type="dxa" w:w="3389"/>
            <w:shd w:fill="183153"/>
          </w:tcPr>
          <w:p>
            <w:r>
              <w:rPr>
                <w:b/>
                <w:color w:val="FFFFFF"/>
                <w:sz w:val="18"/>
              </w:rPr>
              <w:t>Indicador</w:t>
            </w:r>
          </w:p>
        </w:tc>
        <w:tc>
          <w:tcPr>
            <w:tcW w:type="dxa" w:w="3389"/>
            <w:shd w:fill="183153"/>
          </w:tcPr>
          <w:p>
            <w:r>
              <w:rPr>
                <w:b/>
                <w:color w:val="FFFFFF"/>
                <w:sz w:val="18"/>
              </w:rPr>
              <w:t>Cálculo</w:t>
            </w:r>
          </w:p>
        </w:tc>
        <w:tc>
          <w:tcPr>
            <w:tcW w:type="dxa" w:w="3389"/>
            <w:shd w:fill="183153"/>
          </w:tcPr>
          <w:p>
            <w:r>
              <w:rPr>
                <w:b/>
                <w:color w:val="FFFFFF"/>
                <w:sz w:val="18"/>
              </w:rPr>
              <w:t>Registro principal</w:t>
            </w:r>
          </w:p>
        </w:tc>
      </w:tr>
      <w:tr>
        <w:trPr>
          <w:cantSplit/>
        </w:trPr>
        <w:tc>
          <w:tcPr>
            <w:tcW w:type="dxa" w:w="2232"/>
          </w:tcPr>
          <w:p>
            <w:pPr>
              <w:spacing w:after="60" w:line="254" w:lineRule="auto"/>
            </w:pPr>
            <w:r>
              <w:rPr>
                <w:sz w:val="18"/>
              </w:rPr>
              <w:t>Cumplimiento PMP</w:t>
            </w:r>
          </w:p>
        </w:tc>
        <w:tc>
          <w:tcPr>
            <w:tcW w:type="dxa" w:w="3715"/>
          </w:tcPr>
          <w:p>
            <w:pPr>
              <w:spacing w:after="60" w:line="254" w:lineRule="auto"/>
            </w:pPr>
            <w:r>
              <w:rPr>
                <w:sz w:val="18"/>
              </w:rPr>
              <w:t>CECO cerrados / CECO planificados × 100</w:t>
            </w:r>
          </w:p>
        </w:tc>
        <w:tc>
          <w:tcPr>
            <w:tcW w:type="dxa" w:w="3960"/>
          </w:tcPr>
          <w:p>
            <w:pPr>
              <w:spacing w:after="60" w:line="254" w:lineRule="auto"/>
            </w:pPr>
            <w:r>
              <w:rPr>
                <w:sz w:val="18"/>
              </w:rPr>
              <w:t>Orden y fecha pactada</w:t>
            </w:r>
          </w:p>
        </w:tc>
      </w:tr>
      <w:tr>
        <w:trPr>
          <w:cantSplit/>
        </w:trPr>
        <w:tc>
          <w:tcPr>
            <w:tcW w:type="dxa" w:w="2232"/>
            <w:shd w:fill="F1F4F8"/>
          </w:tcPr>
          <w:p>
            <w:pPr>
              <w:spacing w:after="60" w:line="254" w:lineRule="auto"/>
            </w:pPr>
            <w:r>
              <w:rPr>
                <w:sz w:val="18"/>
              </w:rPr>
              <w:t>Nivel de avance</w:t>
            </w:r>
          </w:p>
        </w:tc>
        <w:tc>
          <w:tcPr>
            <w:tcW w:type="dxa" w:w="3715"/>
            <w:shd w:fill="F1F4F8"/>
          </w:tcPr>
          <w:p>
            <w:pPr>
              <w:spacing w:after="60" w:line="254" w:lineRule="auto"/>
            </w:pPr>
            <w:r>
              <w:rPr>
                <w:sz w:val="18"/>
              </w:rPr>
              <w:t>Actividades terminadas / actividades programadas × 100</w:t>
            </w:r>
          </w:p>
        </w:tc>
        <w:tc>
          <w:tcPr>
            <w:tcW w:type="dxa" w:w="3960"/>
            <w:shd w:fill="F1F4F8"/>
          </w:tcPr>
          <w:p>
            <w:pPr>
              <w:spacing w:after="60" w:line="254" w:lineRule="auto"/>
            </w:pPr>
            <w:r>
              <w:rPr>
                <w:sz w:val="18"/>
              </w:rPr>
              <w:t>Avance por actividad y fase</w:t>
            </w:r>
          </w:p>
        </w:tc>
      </w:tr>
      <w:tr>
        <w:trPr>
          <w:cantSplit/>
        </w:trPr>
        <w:tc>
          <w:tcPr>
            <w:tcW w:type="dxa" w:w="2232"/>
          </w:tcPr>
          <w:p>
            <w:pPr>
              <w:spacing w:after="60" w:line="254" w:lineRule="auto"/>
            </w:pPr>
            <w:r>
              <w:rPr>
                <w:sz w:val="18"/>
              </w:rPr>
              <w:t>Retraso</w:t>
            </w:r>
          </w:p>
        </w:tc>
        <w:tc>
          <w:tcPr>
            <w:tcW w:type="dxa" w:w="3715"/>
          </w:tcPr>
          <w:p>
            <w:pPr>
              <w:spacing w:after="60" w:line="254" w:lineRule="auto"/>
            </w:pPr>
            <w:r>
              <w:rPr>
                <w:sz w:val="18"/>
              </w:rPr>
              <w:t>Fecha real de cierre − fecha pactada</w:t>
            </w:r>
          </w:p>
        </w:tc>
        <w:tc>
          <w:tcPr>
            <w:tcW w:type="dxa" w:w="3960"/>
          </w:tcPr>
          <w:p>
            <w:pPr>
              <w:spacing w:after="60" w:line="254" w:lineRule="auto"/>
            </w:pPr>
            <w:r>
              <w:rPr>
                <w:sz w:val="18"/>
              </w:rPr>
              <w:t>Cierre y fecha pactada</w:t>
            </w:r>
          </w:p>
        </w:tc>
      </w:tr>
      <w:tr>
        <w:trPr>
          <w:cantSplit/>
        </w:trPr>
        <w:tc>
          <w:tcPr>
            <w:tcW w:type="dxa" w:w="2232"/>
            <w:shd w:fill="F1F4F8"/>
          </w:tcPr>
          <w:p>
            <w:pPr>
              <w:spacing w:after="60" w:line="254" w:lineRule="auto"/>
            </w:pPr>
            <w:r>
              <w:rPr>
                <w:sz w:val="18"/>
              </w:rPr>
              <w:t>Cobertura de seguridad</w:t>
            </w:r>
          </w:p>
        </w:tc>
        <w:tc>
          <w:tcPr>
            <w:tcW w:type="dxa" w:w="3715"/>
            <w:shd w:fill="F1F4F8"/>
          </w:tcPr>
          <w:p>
            <w:pPr>
              <w:spacing w:after="60" w:line="254" w:lineRule="auto"/>
            </w:pPr>
            <w:r>
              <w:rPr>
                <w:sz w:val="18"/>
              </w:rPr>
              <w:t>Materiales con disponible ≥ SS / total × 100</w:t>
            </w:r>
          </w:p>
        </w:tc>
        <w:tc>
          <w:tcPr>
            <w:tcW w:type="dxa" w:w="3960"/>
            <w:shd w:fill="F1F4F8"/>
          </w:tcPr>
          <w:p>
            <w:pPr>
              <w:spacing w:after="60" w:line="254" w:lineRule="auto"/>
            </w:pPr>
            <w:r>
              <w:rPr>
                <w:sz w:val="18"/>
              </w:rPr>
              <w:t>Inventario y fórmula SS</w:t>
            </w:r>
          </w:p>
        </w:tc>
      </w:tr>
      <w:tr>
        <w:trPr>
          <w:cantSplit/>
        </w:trPr>
        <w:tc>
          <w:tcPr>
            <w:tcW w:type="dxa" w:w="2232"/>
          </w:tcPr>
          <w:p>
            <w:pPr>
              <w:spacing w:after="60" w:line="254" w:lineRule="auto"/>
            </w:pPr>
            <w:r>
              <w:rPr>
                <w:sz w:val="18"/>
              </w:rPr>
              <w:t>Mano de obra</w:t>
            </w:r>
          </w:p>
        </w:tc>
        <w:tc>
          <w:tcPr>
            <w:tcW w:type="dxa" w:w="3715"/>
          </w:tcPr>
          <w:p>
            <w:pPr>
              <w:spacing w:after="60" w:line="254" w:lineRule="auto"/>
            </w:pPr>
            <w:r>
              <w:rPr>
                <w:sz w:val="18"/>
              </w:rPr>
              <w:t>Unidades terminadas / horas reportadas</w:t>
            </w:r>
          </w:p>
        </w:tc>
        <w:tc>
          <w:tcPr>
            <w:tcW w:type="dxa" w:w="3960"/>
          </w:tcPr>
          <w:p>
            <w:pPr>
              <w:spacing w:after="60" w:line="254" w:lineRule="auto"/>
            </w:pPr>
            <w:r>
              <w:rPr>
                <w:sz w:val="18"/>
              </w:rPr>
              <w:t>Partes diarios</w:t>
            </w:r>
          </w:p>
        </w:tc>
      </w:tr>
      <w:tr>
        <w:trPr>
          <w:cantSplit/>
        </w:trPr>
        <w:tc>
          <w:tcPr>
            <w:tcW w:type="dxa" w:w="2232"/>
            <w:shd w:fill="F1F4F8"/>
          </w:tcPr>
          <w:p>
            <w:pPr>
              <w:spacing w:after="60" w:line="254" w:lineRule="auto"/>
            </w:pPr>
            <w:r>
              <w:rPr>
                <w:sz w:val="18"/>
              </w:rPr>
              <w:t>Materiales</w:t>
            </w:r>
          </w:p>
        </w:tc>
        <w:tc>
          <w:tcPr>
            <w:tcW w:type="dxa" w:w="3715"/>
            <w:shd w:fill="F1F4F8"/>
          </w:tcPr>
          <w:p>
            <w:pPr>
              <w:spacing w:after="60" w:line="254" w:lineRule="auto"/>
            </w:pPr>
            <w:r>
              <w:rPr>
                <w:sz w:val="18"/>
              </w:rPr>
              <w:t>Unidades terminadas / costo de material usado</w:t>
            </w:r>
          </w:p>
        </w:tc>
        <w:tc>
          <w:tcPr>
            <w:tcW w:type="dxa" w:w="3960"/>
            <w:shd w:fill="F1F4F8"/>
          </w:tcPr>
          <w:p>
            <w:pPr>
              <w:spacing w:after="60" w:line="254" w:lineRule="auto"/>
            </w:pPr>
            <w:r>
              <w:rPr>
                <w:sz w:val="18"/>
              </w:rPr>
              <w:t>Avance, BOM, salidas y costo unitario</w:t>
            </w:r>
          </w:p>
        </w:tc>
      </w:tr>
      <w:tr>
        <w:trPr>
          <w:cantSplit/>
        </w:trPr>
        <w:tc>
          <w:tcPr>
            <w:tcW w:type="dxa" w:w="2232"/>
          </w:tcPr>
          <w:p>
            <w:pPr>
              <w:spacing w:after="60" w:line="254" w:lineRule="auto"/>
            </w:pPr>
            <w:r>
              <w:rPr>
                <w:sz w:val="18"/>
              </w:rPr>
              <w:t>Multifactorial</w:t>
            </w:r>
          </w:p>
        </w:tc>
        <w:tc>
          <w:tcPr>
            <w:tcW w:type="dxa" w:w="3715"/>
          </w:tcPr>
          <w:p>
            <w:pPr>
              <w:spacing w:after="60" w:line="254" w:lineRule="auto"/>
            </w:pPr>
            <w:r>
              <w:rPr>
                <w:sz w:val="18"/>
              </w:rPr>
              <w:t>Valor producido / suma de cuatro factores</w:t>
            </w:r>
          </w:p>
        </w:tc>
        <w:tc>
          <w:tcPr>
            <w:tcW w:type="dxa" w:w="3960"/>
          </w:tcPr>
          <w:p>
            <w:pPr>
              <w:spacing w:after="60" w:line="254" w:lineRule="auto"/>
            </w:pPr>
            <w:r>
              <w:rPr>
                <w:sz w:val="18"/>
              </w:rPr>
              <w:t>CECO, materiales y personal</w:t>
            </w:r>
          </w:p>
        </w:tc>
      </w:tr>
    </w:tbl>
    <w:p>
      <w:pPr>
        <w:spacing w:after="0"/>
      </w:pPr>
    </w:p>
    <w:p>
      <w:pPr>
        <w:pStyle w:val="Smallnote"/>
      </w:pPr>
      <w:r>
        <w:t>Las capturas usan el modo demostración; sus cifras son ilustrativas. La disponibilidad de una tarjeta depende del periodo seleccionado.</w:t>
      </w:r>
    </w:p>
    <w:p>
      <w:pPr>
        <w:pStyle w:val="Heading1"/>
        <w:pageBreakBefore/>
      </w:pPr>
      <w:r>
        <w:t>Plan maestro, avance y retraso</w:t>
      </w:r>
    </w:p>
    <w:tbl>
      <w:tblPr>
        <w:tblW w:type="auto" w:w="0"/>
        <w:tblLayout w:type="fixed"/>
        <w:tblLook w:firstColumn="1" w:firstRow="1" w:lastColumn="0" w:lastRow="0" w:noHBand="0" w:noVBand="1" w:val="04A0"/>
      </w:tblPr>
      <w:tblGrid>
        <w:gridCol w:w="3389"/>
        <w:gridCol w:w="3389"/>
        <w:gridCol w:w="3389"/>
      </w:tblGrid>
      <w:tr>
        <w:tc>
          <w:tcPr>
            <w:tcW w:type="dxa" w:w="3197"/>
          </w:tcPr>
          <w:p>
            <w:pPr>
              <w:jc w:val="center"/>
            </w:pPr>
            <w:r>
              <w:drawing>
                <wp:inline xmlns:a="http://schemas.openxmlformats.org/drawingml/2006/main" xmlns:pic="http://schemas.openxmlformats.org/drawingml/2006/picture">
                  <wp:extent cx="1920240" cy="1129130"/>
                  <wp:docPr id="2" name="Picture 2"/>
                  <wp:cNvGraphicFramePr>
                    <a:graphicFrameLocks noChangeAspect="1"/>
                  </wp:cNvGraphicFramePr>
                  <a:graphic>
                    <a:graphicData uri="http://schemas.openxmlformats.org/drawingml/2006/picture">
                      <pic:pic>
                        <pic:nvPicPr>
                          <pic:cNvPr id="0" name="card_1.png"/>
                          <pic:cNvPicPr/>
                        </pic:nvPicPr>
                        <pic:blipFill>
                          <a:blip r:embed="rId10"/>
                          <a:stretch>
                            <a:fillRect/>
                          </a:stretch>
                        </pic:blipFill>
                        <pic:spPr>
                          <a:xfrm>
                            <a:off x="0" y="0"/>
                            <a:ext cx="1920240" cy="1129130"/>
                          </a:xfrm>
                          <a:prstGeom prst="rect"/>
                        </pic:spPr>
                      </pic:pic>
                    </a:graphicData>
                  </a:graphic>
                </wp:inline>
              </w:drawing>
            </w:r>
          </w:p>
          <w:p>
            <w:pPr>
              <w:pStyle w:val="Compactcaption"/>
            </w:pPr>
            <w:r>
              <w:t>Cumplimiento PMP</w:t>
            </w:r>
          </w:p>
        </w:tc>
        <w:tc>
          <w:tcPr>
            <w:tcW w:type="dxa" w:w="3197"/>
          </w:tcPr>
          <w:p>
            <w:pPr>
              <w:jc w:val="center"/>
            </w:pPr>
            <w:r>
              <w:drawing>
                <wp:inline xmlns:a="http://schemas.openxmlformats.org/drawingml/2006/main" xmlns:pic="http://schemas.openxmlformats.org/drawingml/2006/picture">
                  <wp:extent cx="1920240" cy="1129130"/>
                  <wp:docPr id="3" name="Picture 3"/>
                  <wp:cNvGraphicFramePr>
                    <a:graphicFrameLocks noChangeAspect="1"/>
                  </wp:cNvGraphicFramePr>
                  <a:graphic>
                    <a:graphicData uri="http://schemas.openxmlformats.org/drawingml/2006/picture">
                      <pic:pic>
                        <pic:nvPicPr>
                          <pic:cNvPr id="0" name="card_2.png"/>
                          <pic:cNvPicPr/>
                        </pic:nvPicPr>
                        <pic:blipFill>
                          <a:blip r:embed="rId11"/>
                          <a:stretch>
                            <a:fillRect/>
                          </a:stretch>
                        </pic:blipFill>
                        <pic:spPr>
                          <a:xfrm>
                            <a:off x="0" y="0"/>
                            <a:ext cx="1920240" cy="1129130"/>
                          </a:xfrm>
                          <a:prstGeom prst="rect"/>
                        </pic:spPr>
                      </pic:pic>
                    </a:graphicData>
                  </a:graphic>
                </wp:inline>
              </w:drawing>
            </w:r>
          </w:p>
          <w:p>
            <w:pPr>
              <w:pStyle w:val="Compactcaption"/>
            </w:pPr>
            <w:r>
              <w:t>Nivel de avance</w:t>
            </w:r>
          </w:p>
        </w:tc>
        <w:tc>
          <w:tcPr>
            <w:tcW w:type="dxa" w:w="3197"/>
          </w:tcPr>
          <w:p>
            <w:pPr>
              <w:jc w:val="center"/>
            </w:pPr>
            <w:r>
              <w:drawing>
                <wp:inline xmlns:a="http://schemas.openxmlformats.org/drawingml/2006/main" xmlns:pic="http://schemas.openxmlformats.org/drawingml/2006/picture">
                  <wp:extent cx="1920240" cy="1129130"/>
                  <wp:docPr id="4" name="Picture 4"/>
                  <wp:cNvGraphicFramePr>
                    <a:graphicFrameLocks noChangeAspect="1"/>
                  </wp:cNvGraphicFramePr>
                  <a:graphic>
                    <a:graphicData uri="http://schemas.openxmlformats.org/drawingml/2006/picture">
                      <pic:pic>
                        <pic:nvPicPr>
                          <pic:cNvPr id="0" name="card_3.png"/>
                          <pic:cNvPicPr/>
                        </pic:nvPicPr>
                        <pic:blipFill>
                          <a:blip r:embed="rId12"/>
                          <a:stretch>
                            <a:fillRect/>
                          </a:stretch>
                        </pic:blipFill>
                        <pic:spPr>
                          <a:xfrm>
                            <a:off x="0" y="0"/>
                            <a:ext cx="1920240" cy="1129130"/>
                          </a:xfrm>
                          <a:prstGeom prst="rect"/>
                        </pic:spPr>
                      </pic:pic>
                    </a:graphicData>
                  </a:graphic>
                </wp:inline>
              </w:drawing>
            </w:r>
          </w:p>
          <w:p>
            <w:pPr>
              <w:pStyle w:val="Compactcaption"/>
            </w:pPr>
            <w:r>
              <w:t>Retraso promedio</w:t>
            </w:r>
          </w:p>
        </w:tc>
      </w:tr>
    </w:tbl>
    <w:p>
      <w:pPr>
        <w:spacing w:after="0"/>
      </w:pPr>
    </w:p>
    <w:p>
      <w:pPr>
        <w:spacing w:after="40"/>
        <w:jc w:val="center"/>
      </w:pPr>
      <w:r>
        <w:drawing>
          <wp:inline xmlns:a="http://schemas.openxmlformats.org/drawingml/2006/main" xmlns:pic="http://schemas.openxmlformats.org/drawingml/2006/picture">
            <wp:extent cx="5303520" cy="2916135"/>
            <wp:docPr id="5" name="Picture 5"/>
            <wp:cNvGraphicFramePr>
              <a:graphicFrameLocks noChangeAspect="1"/>
            </wp:cNvGraphicFramePr>
            <a:graphic>
              <a:graphicData uri="http://schemas.openxmlformats.org/drawingml/2006/picture">
                <pic:pic>
                  <pic:nvPicPr>
                    <pic:cNvPr id="0" name="phase_progress_excerpt.png"/>
                    <pic:cNvPicPr/>
                  </pic:nvPicPr>
                  <pic:blipFill>
                    <a:blip r:embed="rId13"/>
                    <a:stretch>
                      <a:fillRect/>
                    </a:stretch>
                  </pic:blipFill>
                  <pic:spPr>
                    <a:xfrm>
                      <a:off x="0" y="0"/>
                      <a:ext cx="5303520" cy="2916135"/>
                    </a:xfrm>
                    <a:prstGeom prst="rect"/>
                  </pic:spPr>
                </pic:pic>
              </a:graphicData>
            </a:graphic>
          </wp:inline>
        </w:drawing>
      </w:r>
    </w:p>
    <w:p>
      <w:pPr>
        <w:pStyle w:val="Compactcaption"/>
      </w:pPr>
      <w:r>
        <w:t>Ruta del producto y fases del CECO.</w:t>
      </w:r>
    </w:p>
    <w:tbl>
      <w:tblPr>
        <w:tblW w:type="auto" w:w="0"/>
        <w:jc w:val="center"/>
        <w:tblLayout w:type="fixed"/>
        <w:tblLook w:firstColumn="1" w:firstRow="1" w:lastColumn="0" w:lastRow="0" w:noHBand="0" w:noVBand="1" w:val="04A0"/>
      </w:tblPr>
      <w:tblGrid>
        <w:gridCol w:w="2592"/>
        <w:gridCol w:w="7344"/>
      </w:tblGrid>
      <w:tr>
        <w:trPr>
          <w:tblHeader/>
          <w:cantSplit/>
        </w:trPr>
        <w:tc>
          <w:tcPr>
            <w:tcW w:type="dxa" w:w="5083"/>
            <w:shd w:fill="183153"/>
          </w:tcPr>
          <w:p>
            <w:r>
              <w:rPr>
                <w:b/>
                <w:color w:val="FFFFFF"/>
                <w:sz w:val="18"/>
              </w:rPr>
              <w:t>Campo</w:t>
            </w:r>
          </w:p>
        </w:tc>
        <w:tc>
          <w:tcPr>
            <w:tcW w:type="dxa" w:w="5083"/>
            <w:shd w:fill="183153"/>
          </w:tcPr>
          <w:p>
            <w:r>
              <w:rPr>
                <w:b/>
                <w:color w:val="FFFFFF"/>
                <w:sz w:val="18"/>
              </w:rPr>
              <w:t>Qué representa y de dónde sale</w:t>
            </w:r>
          </w:p>
        </w:tc>
      </w:tr>
      <w:tr>
        <w:trPr>
          <w:cantSplit/>
        </w:trPr>
        <w:tc>
          <w:tcPr>
            <w:tcW w:type="dxa" w:w="2592"/>
          </w:tcPr>
          <w:p>
            <w:pPr>
              <w:spacing w:after="60" w:line="254" w:lineRule="auto"/>
            </w:pPr>
            <w:r>
              <w:rPr>
                <w:sz w:val="18"/>
              </w:rPr>
              <w:t>CECO y producto</w:t>
            </w:r>
          </w:p>
        </w:tc>
        <w:tc>
          <w:tcPr>
            <w:tcW w:type="dxa" w:w="7344"/>
          </w:tcPr>
          <w:p>
            <w:pPr>
              <w:spacing w:after="60" w:line="254" w:lineRule="auto"/>
            </w:pPr>
            <w:r>
              <w:rPr>
                <w:sz w:val="18"/>
              </w:rPr>
              <w:t>La orden identifica el trabajo y relaciona producto, cliente, ruta, BOM, partes y avances.</w:t>
            </w:r>
          </w:p>
        </w:tc>
      </w:tr>
      <w:tr>
        <w:trPr>
          <w:cantSplit/>
        </w:trPr>
        <w:tc>
          <w:tcPr>
            <w:tcW w:type="dxa" w:w="2592"/>
            <w:shd w:fill="F1F4F8"/>
          </w:tcPr>
          <w:p>
            <w:pPr>
              <w:spacing w:after="60" w:line="254" w:lineRule="auto"/>
            </w:pPr>
            <w:r>
              <w:rPr>
                <w:sz w:val="18"/>
              </w:rPr>
              <w:t>Fecha pactada A</w:t>
            </w:r>
          </w:p>
        </w:tc>
        <w:tc>
          <w:tcPr>
            <w:tcW w:type="dxa" w:w="7344"/>
            <w:shd w:fill="F1F4F8"/>
          </w:tcPr>
          <w:p>
            <w:pPr>
              <w:spacing w:after="60" w:line="254" w:lineRule="auto"/>
            </w:pPr>
            <w:r>
              <w:rPr>
                <w:sz w:val="18"/>
              </w:rPr>
              <w:t>Fecha de entrega registrada en la orden; define la unidad planificada del periodo.</w:t>
            </w:r>
          </w:p>
        </w:tc>
      </w:tr>
      <w:tr>
        <w:trPr>
          <w:cantSplit/>
        </w:trPr>
        <w:tc>
          <w:tcPr>
            <w:tcW w:type="dxa" w:w="2592"/>
          </w:tcPr>
          <w:p>
            <w:pPr>
              <w:spacing w:after="60" w:line="254" w:lineRule="auto"/>
            </w:pPr>
            <w:r>
              <w:rPr>
                <w:sz w:val="18"/>
              </w:rPr>
              <w:t>Fecha real B</w:t>
            </w:r>
          </w:p>
        </w:tc>
        <w:tc>
          <w:tcPr>
            <w:tcW w:type="dxa" w:w="7344"/>
          </w:tcPr>
          <w:p>
            <w:pPr>
              <w:spacing w:after="60" w:line="254" w:lineRule="auto"/>
            </w:pPr>
            <w:r>
              <w:rPr>
                <w:sz w:val="18"/>
              </w:rPr>
              <w:t>Cierre documentado o parte de entrega/cierre/liberación. Una fecha inferida se marca como tal.</w:t>
            </w:r>
          </w:p>
        </w:tc>
      </w:tr>
      <w:tr>
        <w:trPr>
          <w:cantSplit/>
        </w:trPr>
        <w:tc>
          <w:tcPr>
            <w:tcW w:type="dxa" w:w="2592"/>
            <w:shd w:fill="F1F4F8"/>
          </w:tcPr>
          <w:p>
            <w:pPr>
              <w:spacing w:after="60" w:line="254" w:lineRule="auto"/>
            </w:pPr>
            <w:r>
              <w:rPr>
                <w:sz w:val="18"/>
              </w:rPr>
              <w:t>Unidades producidas</w:t>
            </w:r>
          </w:p>
        </w:tc>
        <w:tc>
          <w:tcPr>
            <w:tcW w:type="dxa" w:w="7344"/>
            <w:shd w:fill="F1F4F8"/>
          </w:tcPr>
          <w:p>
            <w:pPr>
              <w:spacing w:after="60" w:line="254" w:lineRule="auto"/>
            </w:pPr>
            <w:r>
              <w:rPr>
                <w:sz w:val="18"/>
              </w:rPr>
              <w:t>Un CECO cerrado en el periodo cuenta como una unidad.</w:t>
            </w:r>
          </w:p>
        </w:tc>
      </w:tr>
      <w:tr>
        <w:trPr>
          <w:cantSplit/>
        </w:trPr>
        <w:tc>
          <w:tcPr>
            <w:tcW w:type="dxa" w:w="2592"/>
          </w:tcPr>
          <w:p>
            <w:pPr>
              <w:spacing w:after="60" w:line="254" w:lineRule="auto"/>
            </w:pPr>
            <w:r>
              <w:rPr>
                <w:sz w:val="18"/>
              </w:rPr>
              <w:t>Actividad programada</w:t>
            </w:r>
          </w:p>
        </w:tc>
        <w:tc>
          <w:tcPr>
            <w:tcW w:type="dxa" w:w="7344"/>
          </w:tcPr>
          <w:p>
            <w:pPr>
              <w:spacing w:after="60" w:line="254" w:lineRule="auto"/>
            </w:pPr>
            <w:r>
              <w:rPr>
                <w:sz w:val="18"/>
              </w:rPr>
              <w:t>Registro de avance de actividad con fecha dentro del periodo; no es el catálogo completo.</w:t>
            </w:r>
          </w:p>
        </w:tc>
      </w:tr>
      <w:tr>
        <w:trPr>
          <w:cantSplit/>
        </w:trPr>
        <w:tc>
          <w:tcPr>
            <w:tcW w:type="dxa" w:w="2592"/>
            <w:shd w:fill="F1F4F8"/>
          </w:tcPr>
          <w:p>
            <w:pPr>
              <w:spacing w:after="60" w:line="254" w:lineRule="auto"/>
            </w:pPr>
            <w:r>
              <w:rPr>
                <w:sz w:val="18"/>
              </w:rPr>
              <w:t>Actividad ejecutada</w:t>
            </w:r>
          </w:p>
        </w:tc>
        <w:tc>
          <w:tcPr>
            <w:tcW w:type="dxa" w:w="7344"/>
            <w:shd w:fill="F1F4F8"/>
          </w:tcPr>
          <w:p>
            <w:pPr>
              <w:spacing w:after="60" w:line="254" w:lineRule="auto"/>
            </w:pPr>
            <w:r>
              <w:rPr>
                <w:sz w:val="18"/>
              </w:rPr>
              <w:t>Estado completado o avance ≥ 100 %. Se fecha por fin si terminó; por inicio si sigue en curso.</w:t>
            </w:r>
          </w:p>
        </w:tc>
      </w:tr>
      <w:tr>
        <w:trPr>
          <w:cantSplit/>
        </w:trPr>
        <w:tc>
          <w:tcPr>
            <w:tcW w:type="dxa" w:w="2592"/>
          </w:tcPr>
          <w:p>
            <w:pPr>
              <w:spacing w:after="60" w:line="254" w:lineRule="auto"/>
            </w:pPr>
            <w:r>
              <w:rPr>
                <w:sz w:val="18"/>
              </w:rPr>
              <w:t>Retraso B − A</w:t>
            </w:r>
          </w:p>
        </w:tc>
        <w:tc>
          <w:tcPr>
            <w:tcW w:type="dxa" w:w="7344"/>
          </w:tcPr>
          <w:p>
            <w:pPr>
              <w:spacing w:after="60" w:line="254" w:lineRule="auto"/>
            </w:pPr>
            <w:r>
              <w:rPr>
                <w:sz w:val="18"/>
              </w:rPr>
              <w:t>Días calendario entre cierre documentado y fecha pactada. Negativo significa anticipación.</w:t>
            </w:r>
          </w:p>
        </w:tc>
      </w:tr>
    </w:tbl>
    <w:p>
      <w:pPr>
        <w:spacing w:after="0"/>
      </w:pPr>
    </w:p>
    <w:p>
      <w:pPr>
        <w:pStyle w:val="Smallnote"/>
      </w:pPr>
      <w:r>
        <w:t>El porcentaje global del CECO promedia el progreso de las actividades de sus fases. La tarjeta Nivel de avance usa el cociente de actividades ejecutadas y programadas en el periodo.</w:t>
      </w:r>
    </w:p>
    <w:p>
      <w:pPr>
        <w:pStyle w:val="Smallnote"/>
      </w:pPr>
      <w:r>
        <w:t>En la ficha Plan maestro del libro Excel aparecen A, B, unidades, CPP y avance por CECO. Las fechas inferidas llevan una observación y no sustituyen la evidencia de entrega.</w:t>
      </w:r>
    </w:p>
    <w:p>
      <w:pPr>
        <w:pStyle w:val="Heading1"/>
        <w:pageBreakBefore/>
      </w:pPr>
      <w:r>
        <w:t>Stock de seguridad y cobertura</w:t>
      </w:r>
    </w:p>
    <w:p>
      <w:pPr>
        <w:spacing w:after="40"/>
        <w:jc w:val="center"/>
      </w:pPr>
      <w:r>
        <w:drawing>
          <wp:inline xmlns:a="http://schemas.openxmlformats.org/drawingml/2006/main" xmlns:pic="http://schemas.openxmlformats.org/drawingml/2006/picture">
            <wp:extent cx="5623560" cy="2571750"/>
            <wp:docPr id="6" name="Picture 6"/>
            <wp:cNvGraphicFramePr>
              <a:graphicFrameLocks noChangeAspect="1"/>
            </wp:cNvGraphicFramePr>
            <a:graphic>
              <a:graphicData uri="http://schemas.openxmlformats.org/drawingml/2006/picture">
                <pic:pic>
                  <pic:nvPicPr>
                    <pic:cNvPr id="0" name="stock_top.png"/>
                    <pic:cNvPicPr/>
                  </pic:nvPicPr>
                  <pic:blipFill>
                    <a:blip r:embed="rId14"/>
                    <a:stretch>
                      <a:fillRect/>
                    </a:stretch>
                  </pic:blipFill>
                  <pic:spPr>
                    <a:xfrm>
                      <a:off x="0" y="0"/>
                      <a:ext cx="5623560" cy="2571750"/>
                    </a:xfrm>
                    <a:prstGeom prst="rect"/>
                  </pic:spPr>
                </pic:pic>
              </a:graphicData>
            </a:graphic>
          </wp:inline>
        </w:drawing>
      </w:r>
    </w:p>
    <w:p>
      <w:pPr>
        <w:pStyle w:val="Compactcaption"/>
      </w:pPr>
      <w:r>
        <w:t>Inventario y stock de seguridad en el periodo seleccionado.</w:t>
      </w:r>
    </w:p>
    <w:p>
      <w:r>
        <w:t>Fórmula de la tesis: SS = techo[z × √(s1² × Lt + s2² × dp²)]. El disponible operativo es físico − comprometido; la cobertura compara ese disponible con el SS aplicado.</w:t>
      </w:r>
    </w:p>
    <w:tbl>
      <w:tblPr>
        <w:tblW w:type="auto" w:w="0"/>
        <w:jc w:val="center"/>
        <w:tblLayout w:type="fixed"/>
        <w:tblLook w:firstColumn="1" w:firstRow="1" w:lastColumn="0" w:lastRow="0" w:noHBand="0" w:noVBand="1" w:val="04A0"/>
      </w:tblPr>
      <w:tblGrid>
        <w:gridCol w:w="2232"/>
        <w:gridCol w:w="7704"/>
      </w:tblGrid>
      <w:tr>
        <w:trPr>
          <w:tblHeader/>
          <w:cantSplit/>
        </w:trPr>
        <w:tc>
          <w:tcPr>
            <w:tcW w:type="dxa" w:w="5083"/>
            <w:shd w:fill="183153"/>
          </w:tcPr>
          <w:p>
            <w:r>
              <w:rPr>
                <w:b/>
                <w:color w:val="FFFFFF"/>
                <w:sz w:val="18"/>
              </w:rPr>
              <w:t>Campo</w:t>
            </w:r>
          </w:p>
        </w:tc>
        <w:tc>
          <w:tcPr>
            <w:tcW w:type="dxa" w:w="5083"/>
            <w:shd w:fill="183153"/>
          </w:tcPr>
          <w:p>
            <w:r>
              <w:rPr>
                <w:b/>
                <w:color w:val="FFFFFF"/>
                <w:sz w:val="18"/>
              </w:rPr>
              <w:t>Interpretación y procedencia</w:t>
            </w:r>
          </w:p>
        </w:tc>
      </w:tr>
      <w:tr>
        <w:trPr>
          <w:cantSplit/>
        </w:trPr>
        <w:tc>
          <w:tcPr>
            <w:tcW w:type="dxa" w:w="2232"/>
          </w:tcPr>
          <w:p>
            <w:pPr>
              <w:spacing w:after="60" w:line="254" w:lineRule="auto"/>
            </w:pPr>
            <w:r>
              <w:rPr>
                <w:sz w:val="18"/>
              </w:rPr>
              <w:t>dp</w:t>
            </w:r>
          </w:p>
        </w:tc>
        <w:tc>
          <w:tcPr>
            <w:tcW w:type="dxa" w:w="7704"/>
          </w:tcPr>
          <w:p>
            <w:pPr>
              <w:spacing w:after="60" w:line="254" w:lineRule="auto"/>
            </w:pPr>
            <w:r>
              <w:rPr>
                <w:sz w:val="18"/>
              </w:rPr>
              <w:t>Demanda promedio diaria. Se estima con salidas/consumos del periodo o, si faltan, con CECO y BOM como demanda planificada.</w:t>
            </w:r>
          </w:p>
        </w:tc>
      </w:tr>
      <w:tr>
        <w:trPr>
          <w:cantSplit/>
        </w:trPr>
        <w:tc>
          <w:tcPr>
            <w:tcW w:type="dxa" w:w="2232"/>
            <w:shd w:fill="F1F4F8"/>
          </w:tcPr>
          <w:p>
            <w:pPr>
              <w:spacing w:after="60" w:line="254" w:lineRule="auto"/>
            </w:pPr>
            <w:r>
              <w:rPr>
                <w:sz w:val="18"/>
              </w:rPr>
              <w:t>s1</w:t>
            </w:r>
          </w:p>
        </w:tc>
        <w:tc>
          <w:tcPr>
            <w:tcW w:type="dxa" w:w="7704"/>
            <w:shd w:fill="F1F4F8"/>
          </w:tcPr>
          <w:p>
            <w:pPr>
              <w:spacing w:after="60" w:line="254" w:lineRule="auto"/>
            </w:pPr>
            <w:r>
              <w:rPr>
                <w:sz w:val="18"/>
              </w:rPr>
              <w:t>Desviación estándar muestral de demanda diaria, incluyendo días sin demanda.</w:t>
            </w:r>
          </w:p>
        </w:tc>
      </w:tr>
      <w:tr>
        <w:trPr>
          <w:cantSplit/>
        </w:trPr>
        <w:tc>
          <w:tcPr>
            <w:tcW w:type="dxa" w:w="2232"/>
          </w:tcPr>
          <w:p>
            <w:pPr>
              <w:spacing w:after="60" w:line="254" w:lineRule="auto"/>
            </w:pPr>
            <w:r>
              <w:rPr>
                <w:sz w:val="18"/>
              </w:rPr>
              <w:t>Lt</w:t>
            </w:r>
          </w:p>
        </w:tc>
        <w:tc>
          <w:tcPr>
            <w:tcW w:type="dxa" w:w="7704"/>
          </w:tcPr>
          <w:p>
            <w:pPr>
              <w:spacing w:after="60" w:line="254" w:lineRule="auto"/>
            </w:pPr>
            <w:r>
              <w:rPr>
                <w:sz w:val="18"/>
              </w:rPr>
              <w:t>Plazo medio del proveedor en días, registrado por material.</w:t>
            </w:r>
          </w:p>
        </w:tc>
      </w:tr>
      <w:tr>
        <w:trPr>
          <w:cantSplit/>
        </w:trPr>
        <w:tc>
          <w:tcPr>
            <w:tcW w:type="dxa" w:w="2232"/>
            <w:shd w:fill="F1F4F8"/>
          </w:tcPr>
          <w:p>
            <w:pPr>
              <w:spacing w:after="60" w:line="254" w:lineRule="auto"/>
            </w:pPr>
            <w:r>
              <w:rPr>
                <w:sz w:val="18"/>
              </w:rPr>
              <w:t>s2</w:t>
            </w:r>
          </w:p>
        </w:tc>
        <w:tc>
          <w:tcPr>
            <w:tcW w:type="dxa" w:w="7704"/>
            <w:shd w:fill="F1F4F8"/>
          </w:tcPr>
          <w:p>
            <w:pPr>
              <w:spacing w:after="60" w:line="254" w:lineRule="auto"/>
            </w:pPr>
            <w:r>
              <w:rPr>
                <w:sz w:val="18"/>
              </w:rPr>
              <w:t>Desviación de los plazos reales del proveedor. Requiere pedidos y recepciones vinculados; un ingreso aislado no basta.</w:t>
            </w:r>
          </w:p>
        </w:tc>
      </w:tr>
      <w:tr>
        <w:trPr>
          <w:cantSplit/>
        </w:trPr>
        <w:tc>
          <w:tcPr>
            <w:tcW w:type="dxa" w:w="2232"/>
          </w:tcPr>
          <w:p>
            <w:pPr>
              <w:spacing w:after="60" w:line="254" w:lineRule="auto"/>
            </w:pPr>
            <w:r>
              <w:rPr>
                <w:sz w:val="18"/>
              </w:rPr>
              <w:t>z</w:t>
            </w:r>
          </w:p>
        </w:tc>
        <w:tc>
          <w:tcPr>
            <w:tcW w:type="dxa" w:w="7704"/>
          </w:tcPr>
          <w:p>
            <w:pPr>
              <w:spacing w:after="60" w:line="254" w:lineRule="auto"/>
            </w:pPr>
            <w:r>
              <w:rPr>
                <w:sz w:val="18"/>
              </w:rPr>
              <w:t>Factor del nivel de servicio objetivo; se registra junto con el nivel de servicio.</w:t>
            </w:r>
          </w:p>
        </w:tc>
      </w:tr>
      <w:tr>
        <w:trPr>
          <w:cantSplit/>
        </w:trPr>
        <w:tc>
          <w:tcPr>
            <w:tcW w:type="dxa" w:w="2232"/>
            <w:shd w:fill="F1F4F8"/>
          </w:tcPr>
          <w:p>
            <w:pPr>
              <w:spacing w:after="60" w:line="254" w:lineRule="auto"/>
            </w:pPr>
            <w:r>
              <w:rPr>
                <w:sz w:val="18"/>
              </w:rPr>
              <w:t>SS según tesis</w:t>
            </w:r>
          </w:p>
        </w:tc>
        <w:tc>
          <w:tcPr>
            <w:tcW w:type="dxa" w:w="7704"/>
            <w:shd w:fill="F1F4F8"/>
          </w:tcPr>
          <w:p>
            <w:pPr>
              <w:spacing w:after="60" w:line="254" w:lineRule="auto"/>
            </w:pPr>
            <w:r>
              <w:rPr>
                <w:sz w:val="18"/>
              </w:rPr>
              <w:t>Se calcula con los cinco parámetros. Si falta uno, queda vacío en la ficha Excel.</w:t>
            </w:r>
          </w:p>
        </w:tc>
      </w:tr>
      <w:tr>
        <w:trPr>
          <w:cantSplit/>
        </w:trPr>
        <w:tc>
          <w:tcPr>
            <w:tcW w:type="dxa" w:w="2232"/>
          </w:tcPr>
          <w:p>
            <w:pPr>
              <w:spacing w:after="60" w:line="254" w:lineRule="auto"/>
            </w:pPr>
            <w:r>
              <w:rPr>
                <w:sz w:val="18"/>
              </w:rPr>
              <w:t>SS operativo</w:t>
            </w:r>
          </w:p>
        </w:tc>
        <w:tc>
          <w:tcPr>
            <w:tcW w:type="dxa" w:w="7704"/>
          </w:tcPr>
          <w:p>
            <w:pPr>
              <w:spacing w:after="60" w:line="254" w:lineRule="auto"/>
            </w:pPr>
            <w:r>
              <w:rPr>
                <w:sz w:val="18"/>
              </w:rPr>
              <w:t>Aplica la fórmula si hay datos completos; en registros anteriores conserva el mínimo previo y señala su origen.</w:t>
            </w:r>
          </w:p>
        </w:tc>
      </w:tr>
      <w:tr>
        <w:trPr>
          <w:cantSplit/>
        </w:trPr>
        <w:tc>
          <w:tcPr>
            <w:tcW w:type="dxa" w:w="2232"/>
            <w:shd w:fill="F1F4F8"/>
          </w:tcPr>
          <w:p>
            <w:pPr>
              <w:spacing w:after="60" w:line="254" w:lineRule="auto"/>
            </w:pPr>
            <w:r>
              <w:rPr>
                <w:sz w:val="18"/>
              </w:rPr>
              <w:t>Cobertura</w:t>
            </w:r>
          </w:p>
        </w:tc>
        <w:tc>
          <w:tcPr>
            <w:tcW w:type="dxa" w:w="7704"/>
            <w:shd w:fill="F1F4F8"/>
          </w:tcPr>
          <w:p>
            <w:pPr>
              <w:spacing w:after="60" w:line="254" w:lineRule="auto"/>
            </w:pPr>
            <w:r>
              <w:rPr>
                <w:sz w:val="18"/>
              </w:rPr>
              <w:t>Número de materiales con disponible ≥ SS operativo / total de materiales × 100.</w:t>
            </w:r>
          </w:p>
        </w:tc>
      </w:tr>
    </w:tbl>
    <w:p>
      <w:pPr>
        <w:spacing w:after="0"/>
      </w:pPr>
    </w:p>
    <w:p>
      <w:pPr>
        <w:pStyle w:val="Smallnote"/>
      </w:pPr>
      <w:r>
        <w:t>La ficha Stock seguridad muestra parámetros, origen, físico, comprometido, disponible y brecha. La cobertura histórica usa el saldo de inventario actual: no es una fotografía retroactiva del almacén.</w:t>
      </w:r>
    </w:p>
    <w:p>
      <w:pPr>
        <w:pStyle w:val="Heading1"/>
        <w:pageBreakBefore/>
      </w:pPr>
      <w:r>
        <w:t>Productividad de mano de obra y materiales</w:t>
      </w:r>
    </w:p>
    <w:tbl>
      <w:tblPr>
        <w:tblW w:type="auto" w:w="0"/>
        <w:tblLayout w:type="fixed"/>
        <w:tblLook w:firstColumn="1" w:firstRow="1" w:lastColumn="0" w:lastRow="0" w:noHBand="0" w:noVBand="1" w:val="04A0"/>
      </w:tblPr>
      <w:tblGrid>
        <w:gridCol w:w="5083"/>
        <w:gridCol w:w="5083"/>
      </w:tblGrid>
      <w:tr>
        <w:tc>
          <w:tcPr>
            <w:tcW w:type="dxa" w:w="3989"/>
          </w:tcPr>
          <w:p>
            <w:pPr>
              <w:jc w:val="center"/>
            </w:pPr>
            <w:r>
              <w:drawing>
                <wp:inline xmlns:a="http://schemas.openxmlformats.org/drawingml/2006/main" xmlns:pic="http://schemas.openxmlformats.org/drawingml/2006/picture">
                  <wp:extent cx="2423160" cy="1397628"/>
                  <wp:docPr id="7" name="Picture 7"/>
                  <wp:cNvGraphicFramePr>
                    <a:graphicFrameLocks noChangeAspect="1"/>
                  </wp:cNvGraphicFramePr>
                  <a:graphic>
                    <a:graphicData uri="http://schemas.openxmlformats.org/drawingml/2006/picture">
                      <pic:pic>
                        <pic:nvPicPr>
                          <pic:cNvPr id="0" name="card_5.png"/>
                          <pic:cNvPicPr/>
                        </pic:nvPicPr>
                        <pic:blipFill>
                          <a:blip r:embed="rId15"/>
                          <a:stretch>
                            <a:fillRect/>
                          </a:stretch>
                        </pic:blipFill>
                        <pic:spPr>
                          <a:xfrm>
                            <a:off x="0" y="0"/>
                            <a:ext cx="2423160" cy="1397628"/>
                          </a:xfrm>
                          <a:prstGeom prst="rect"/>
                        </pic:spPr>
                      </pic:pic>
                    </a:graphicData>
                  </a:graphic>
                </wp:inline>
              </w:drawing>
            </w:r>
          </w:p>
          <w:p>
            <w:pPr>
              <w:pStyle w:val="Compactcaption"/>
            </w:pPr>
            <w:r>
              <w:t>Unidades / horas hombre</w:t>
            </w:r>
          </w:p>
        </w:tc>
        <w:tc>
          <w:tcPr>
            <w:tcW w:type="dxa" w:w="3989"/>
          </w:tcPr>
          <w:p>
            <w:pPr>
              <w:jc w:val="center"/>
            </w:pPr>
            <w:r>
              <w:drawing>
                <wp:inline xmlns:a="http://schemas.openxmlformats.org/drawingml/2006/main" xmlns:pic="http://schemas.openxmlformats.org/drawingml/2006/picture">
                  <wp:extent cx="2423160" cy="1524685"/>
                  <wp:docPr id="8" name="Picture 8"/>
                  <wp:cNvGraphicFramePr>
                    <a:graphicFrameLocks noChangeAspect="1"/>
                  </wp:cNvGraphicFramePr>
                  <a:graphic>
                    <a:graphicData uri="http://schemas.openxmlformats.org/drawingml/2006/picture">
                      <pic:pic>
                        <pic:nvPicPr>
                          <pic:cNvPr id="0" name="card_material_progress_demo.png"/>
                          <pic:cNvPicPr/>
                        </pic:nvPicPr>
                        <pic:blipFill>
                          <a:blip r:embed="rId16"/>
                          <a:stretch>
                            <a:fillRect/>
                          </a:stretch>
                        </pic:blipFill>
                        <pic:spPr>
                          <a:xfrm>
                            <a:off x="0" y="0"/>
                            <a:ext cx="2423160" cy="1524685"/>
                          </a:xfrm>
                          <a:prstGeom prst="rect"/>
                        </pic:spPr>
                      </pic:pic>
                    </a:graphicData>
                  </a:graphic>
                </wp:inline>
              </w:drawing>
            </w:r>
          </w:p>
          <w:p>
            <w:pPr>
              <w:pStyle w:val="Compactcaption"/>
            </w:pPr>
            <w:r>
              <w:t>Unidades / S/ de material</w:t>
            </w:r>
          </w:p>
        </w:tc>
      </w:tr>
    </w:tbl>
    <w:p>
      <w:pPr>
        <w:spacing w:after="0"/>
      </w:pPr>
    </w:p>
    <w:p>
      <w:pPr>
        <w:pStyle w:val="Heading2"/>
      </w:pPr>
      <w:r>
        <w:t>Mano de obra</w:t>
      </w:r>
    </w:p>
    <w:p>
      <w:r>
        <w:t>La tarjeta divide CECO terminados entre horas de los partes diarios del periodo. La ficha Excel muestra por CECO trabajadores distintos, horas, costo por hora y productividad. El costo laboral se calcula como horas × tarifa guardada en Recursos &gt; Personal; una tarifa vacía no borra las horas.</w:t>
      </w:r>
    </w:p>
    <w:p>
      <w:pPr>
        <w:pStyle w:val="Heading2"/>
      </w:pPr>
      <w:r>
        <w:t>Materiales</w:t>
      </w:r>
    </w:p>
    <w:p>
      <w:r>
        <w:t>Al cerrar una fase o un CECO, sus reservas BOM acreditan las cantidades de material de esa fase. Si hay salidas o consumos explícitos, se usan primero y solo se imputa la diferencia. El costo total es la suma de cantidad × costo unitario de cada material; no se suman unidades de medida distintas.</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5083"/>
            <w:shd w:fill="183153"/>
          </w:tcPr>
          <w:p>
            <w:r>
              <w:rPr>
                <w:b/>
                <w:color w:val="FFFFFF"/>
                <w:sz w:val="18"/>
              </w:rPr>
              <w:t>Campo</w:t>
            </w:r>
          </w:p>
        </w:tc>
        <w:tc>
          <w:tcPr>
            <w:tcW w:type="dxa" w:w="5083"/>
            <w:shd w:fill="183153"/>
          </w:tcPr>
          <w:p>
            <w:r>
              <w:rPr>
                <w:b/>
                <w:color w:val="FFFFFF"/>
                <w:sz w:val="18"/>
              </w:rPr>
              <w:t>Lectura de la ficha Productividad</w:t>
            </w:r>
          </w:p>
        </w:tc>
      </w:tr>
      <w:tr>
        <w:trPr>
          <w:cantSplit/>
        </w:trPr>
        <w:tc>
          <w:tcPr>
            <w:tcW w:type="dxa" w:w="2880"/>
          </w:tcPr>
          <w:p>
            <w:pPr>
              <w:spacing w:after="60" w:line="254" w:lineRule="auto"/>
            </w:pPr>
            <w:r>
              <w:rPr>
                <w:sz w:val="18"/>
              </w:rPr>
              <w:t>Costo total materiales</w:t>
            </w:r>
          </w:p>
        </w:tc>
        <w:tc>
          <w:tcPr>
            <w:tcW w:type="dxa" w:w="7056"/>
          </w:tcPr>
          <w:p>
            <w:pPr>
              <w:spacing w:after="60" w:line="254" w:lineRule="auto"/>
            </w:pPr>
            <w:r>
              <w:rPr>
                <w:sz w:val="18"/>
              </w:rPr>
              <w:t>Importe en S/ por CECO; puede incluir cantidades imputadas por avance de fase/BOM, identificadas en Observaciones.</w:t>
            </w:r>
          </w:p>
        </w:tc>
      </w:tr>
      <w:tr>
        <w:trPr>
          <w:cantSplit/>
        </w:trPr>
        <w:tc>
          <w:tcPr>
            <w:tcW w:type="dxa" w:w="2880"/>
            <w:shd w:fill="F1F4F8"/>
          </w:tcPr>
          <w:p>
            <w:pPr>
              <w:spacing w:after="60" w:line="254" w:lineRule="auto"/>
            </w:pPr>
            <w:r>
              <w:rPr>
                <w:sz w:val="18"/>
              </w:rPr>
              <w:t>Productividad materiales</w:t>
            </w:r>
          </w:p>
        </w:tc>
        <w:tc>
          <w:tcPr>
            <w:tcW w:type="dxa" w:w="7056"/>
            <w:shd w:fill="F1F4F8"/>
          </w:tcPr>
          <w:p>
            <w:pPr>
              <w:spacing w:after="60" w:line="254" w:lineRule="auto"/>
            </w:pPr>
            <w:r>
              <w:rPr>
                <w:sz w:val="18"/>
              </w:rPr>
              <w:t>Una unidad terminada / costo total de su CECO; en la tarjeta se agregan unidades y costos del periodo.</w:t>
            </w:r>
          </w:p>
        </w:tc>
      </w:tr>
      <w:tr>
        <w:trPr>
          <w:cantSplit/>
        </w:trPr>
        <w:tc>
          <w:tcPr>
            <w:tcW w:type="dxa" w:w="2880"/>
          </w:tcPr>
          <w:p>
            <w:pPr>
              <w:spacing w:after="60" w:line="254" w:lineRule="auto"/>
            </w:pPr>
            <w:r>
              <w:rPr>
                <w:sz w:val="18"/>
              </w:rPr>
              <w:t>Materia prima e insumos</w:t>
            </w:r>
          </w:p>
        </w:tc>
        <w:tc>
          <w:tcPr>
            <w:tcW w:type="dxa" w:w="7056"/>
          </w:tcPr>
          <w:p>
            <w:pPr>
              <w:spacing w:after="60" w:line="254" w:lineRule="auto"/>
            </w:pPr>
            <w:r>
              <w:rPr>
                <w:sz w:val="18"/>
              </w:rPr>
              <w:t>El desglose queda vacío si el registro no documenta qué parte del costo corresponde a cada tipo.</w:t>
            </w:r>
          </w:p>
        </w:tc>
      </w:tr>
      <w:tr>
        <w:trPr>
          <w:cantSplit/>
        </w:trPr>
        <w:tc>
          <w:tcPr>
            <w:tcW w:type="dxa" w:w="2880"/>
            <w:shd w:fill="F1F4F8"/>
          </w:tcPr>
          <w:p>
            <w:pPr>
              <w:spacing w:after="60" w:line="254" w:lineRule="auto"/>
            </w:pPr>
            <w:r>
              <w:rPr>
                <w:sz w:val="18"/>
              </w:rPr>
              <w:t>Dato pendiente</w:t>
            </w:r>
          </w:p>
        </w:tc>
        <w:tc>
          <w:tcPr>
            <w:tcW w:type="dxa" w:w="7056"/>
            <w:shd w:fill="F1F4F8"/>
          </w:tcPr>
          <w:p>
            <w:pPr>
              <w:spacing w:after="60" w:line="254" w:lineRule="auto"/>
            </w:pPr>
            <w:r>
              <w:rPr>
                <w:sz w:val="18"/>
              </w:rPr>
              <w:t>Si la cantidad se acredita pero falta costo unitario, la tarjeta indica valoración pendiente, no falta de avance.</w:t>
            </w:r>
          </w:p>
        </w:tc>
      </w:tr>
    </w:tbl>
    <w:p>
      <w:pPr>
        <w:spacing w:after="0"/>
      </w:pPr>
    </w:p>
    <w:p>
      <w:pPr>
        <w:spacing w:after="40"/>
        <w:jc w:val="center"/>
      </w:pPr>
      <w:r>
        <w:drawing>
          <wp:inline xmlns:a="http://schemas.openxmlformats.org/drawingml/2006/main" xmlns:pic="http://schemas.openxmlformats.org/drawingml/2006/picture">
            <wp:extent cx="5212080" cy="2922796"/>
            <wp:docPr id="9" name="Picture 9"/>
            <wp:cNvGraphicFramePr>
              <a:graphicFrameLocks noChangeAspect="1"/>
            </wp:cNvGraphicFramePr>
            <a:graphic>
              <a:graphicData uri="http://schemas.openxmlformats.org/drawingml/2006/picture">
                <pic:pic>
                  <pic:nvPicPr>
                    <pic:cNvPr id="0" name="ceco_reservations_excerpt.png"/>
                    <pic:cNvPicPr/>
                  </pic:nvPicPr>
                  <pic:blipFill>
                    <a:blip r:embed="rId17"/>
                    <a:stretch>
                      <a:fillRect/>
                    </a:stretch>
                  </pic:blipFill>
                  <pic:spPr>
                    <a:xfrm>
                      <a:off x="0" y="0"/>
                      <a:ext cx="5212080" cy="2922796"/>
                    </a:xfrm>
                    <a:prstGeom prst="rect"/>
                  </pic:spPr>
                </pic:pic>
              </a:graphicData>
            </a:graphic>
          </wp:inline>
        </w:drawing>
      </w:r>
    </w:p>
    <w:p>
      <w:pPr>
        <w:pStyle w:val="Compactcaption"/>
      </w:pPr>
      <w:r>
        <w:t>Reservas BOM vinculadas al CECO y a cada fase.</w:t>
      </w:r>
    </w:p>
    <w:p>
      <w:pPr>
        <w:pStyle w:val="Heading1"/>
        <w:pageBreakBefore/>
      </w:pPr>
      <w:r>
        <w:t>Productividad multifactorial</w:t>
      </w:r>
    </w:p>
    <w:p>
      <w:pPr>
        <w:spacing w:after="40"/>
        <w:jc w:val="center"/>
      </w:pPr>
      <w:r>
        <w:drawing>
          <wp:inline xmlns:a="http://schemas.openxmlformats.org/drawingml/2006/main" xmlns:pic="http://schemas.openxmlformats.org/drawingml/2006/picture">
            <wp:extent cx="2331720" cy="1467150"/>
            <wp:docPr id="10" name="Picture 10"/>
            <wp:cNvGraphicFramePr>
              <a:graphicFrameLocks noChangeAspect="1"/>
            </wp:cNvGraphicFramePr>
            <a:graphic>
              <a:graphicData uri="http://schemas.openxmlformats.org/drawingml/2006/picture">
                <pic:pic>
                  <pic:nvPicPr>
                    <pic:cNvPr id="0" name="card_multifactor_progress_demo.png"/>
                    <pic:cNvPicPr/>
                  </pic:nvPicPr>
                  <pic:blipFill>
                    <a:blip r:embed="rId18"/>
                    <a:stretch>
                      <a:fillRect/>
                    </a:stretch>
                  </pic:blipFill>
                  <pic:spPr>
                    <a:xfrm>
                      <a:off x="0" y="0"/>
                      <a:ext cx="2331720" cy="1467150"/>
                    </a:xfrm>
                    <a:prstGeom prst="rect"/>
                  </pic:spPr>
                </pic:pic>
              </a:graphicData>
            </a:graphic>
          </wp:inline>
        </w:drawing>
      </w:r>
    </w:p>
    <w:p>
      <w:pPr>
        <w:pStyle w:val="Compactcaption"/>
      </w:pPr>
      <w:r>
        <w:t>La tarjeta conserva horas y cantidades acreditadas y señala solo los importes sin valoración.</w:t>
      </w:r>
    </w:p>
    <w:p>
      <w:r>
        <w:t>Fórmula: valor producido en S/ ÷ (materiales + mano de obra + energía + capital). El denominador debe ser positivo. Un campo vacío queda pendiente; cero solo corresponde cuando el costo documentado fue realmente cero.</w:t>
      </w:r>
    </w:p>
    <w:tbl>
      <w:tblPr>
        <w:tblW w:type="auto" w:w="0"/>
        <w:jc w:val="center"/>
        <w:tblLayout w:type="fixed"/>
        <w:tblLook w:firstColumn="1" w:firstRow="1" w:lastColumn="0" w:lastRow="0" w:noHBand="0" w:noVBand="1" w:val="04A0"/>
      </w:tblPr>
      <w:tblGrid>
        <w:gridCol w:w="1872"/>
        <w:gridCol w:w="4536"/>
        <w:gridCol w:w="3528"/>
      </w:tblGrid>
      <w:tr>
        <w:trPr>
          <w:tblHeader/>
          <w:cantSplit/>
        </w:trPr>
        <w:tc>
          <w:tcPr>
            <w:tcW w:type="dxa" w:w="3389"/>
            <w:shd w:fill="183153"/>
          </w:tcPr>
          <w:p>
            <w:r>
              <w:rPr>
                <w:b/>
                <w:color w:val="FFFFFF"/>
                <w:sz w:val="18"/>
              </w:rPr>
              <w:t>Factor</w:t>
            </w:r>
          </w:p>
        </w:tc>
        <w:tc>
          <w:tcPr>
            <w:tcW w:type="dxa" w:w="3389"/>
            <w:shd w:fill="183153"/>
          </w:tcPr>
          <w:p>
            <w:r>
              <w:rPr>
                <w:b/>
                <w:color w:val="FFFFFF"/>
                <w:sz w:val="18"/>
              </w:rPr>
              <w:t>Campo existente</w:t>
            </w:r>
          </w:p>
        </w:tc>
        <w:tc>
          <w:tcPr>
            <w:tcW w:type="dxa" w:w="3389"/>
            <w:shd w:fill="183153"/>
          </w:tcPr>
          <w:p>
            <w:r>
              <w:rPr>
                <w:b/>
                <w:color w:val="FFFFFF"/>
                <w:sz w:val="18"/>
              </w:rPr>
              <w:t>Cálculo</w:t>
            </w:r>
          </w:p>
        </w:tc>
      </w:tr>
      <w:tr>
        <w:trPr>
          <w:cantSplit/>
        </w:trPr>
        <w:tc>
          <w:tcPr>
            <w:tcW w:type="dxa" w:w="1872"/>
          </w:tcPr>
          <w:p>
            <w:pPr>
              <w:spacing w:after="60" w:line="254" w:lineRule="auto"/>
            </w:pPr>
            <w:r>
              <w:rPr>
                <w:sz w:val="18"/>
              </w:rPr>
              <w:t>Producto total</w:t>
            </w:r>
          </w:p>
        </w:tc>
        <w:tc>
          <w:tcPr>
            <w:tcW w:type="dxa" w:w="4536"/>
          </w:tcPr>
          <w:p>
            <w:pPr>
              <w:spacing w:after="60" w:line="254" w:lineRule="auto"/>
            </w:pPr>
            <w:r>
              <w:rPr>
                <w:sz w:val="18"/>
              </w:rPr>
              <w:t>Valor producido / venta del CECO, en S/</w:t>
            </w:r>
          </w:p>
        </w:tc>
        <w:tc>
          <w:tcPr>
            <w:tcW w:type="dxa" w:w="3528"/>
          </w:tcPr>
          <w:p>
            <w:pPr>
              <w:spacing w:after="60" w:line="254" w:lineRule="auto"/>
            </w:pPr>
            <w:r>
              <w:rPr>
                <w:sz w:val="18"/>
              </w:rPr>
              <w:t>Se suman los CECO terminados del periodo.</w:t>
            </w:r>
          </w:p>
        </w:tc>
      </w:tr>
      <w:tr>
        <w:trPr>
          <w:cantSplit/>
        </w:trPr>
        <w:tc>
          <w:tcPr>
            <w:tcW w:type="dxa" w:w="1872"/>
            <w:shd w:fill="F1F4F8"/>
          </w:tcPr>
          <w:p>
            <w:pPr>
              <w:spacing w:after="60" w:line="254" w:lineRule="auto"/>
            </w:pPr>
            <w:r>
              <w:rPr>
                <w:sz w:val="18"/>
              </w:rPr>
              <w:t>Materiales</w:t>
            </w:r>
          </w:p>
        </w:tc>
        <w:tc>
          <w:tcPr>
            <w:tcW w:type="dxa" w:w="4536"/>
            <w:shd w:fill="F1F4F8"/>
          </w:tcPr>
          <w:p>
            <w:pPr>
              <w:spacing w:after="60" w:line="254" w:lineRule="auto"/>
            </w:pPr>
            <w:r>
              <w:rPr>
                <w:sz w:val="18"/>
              </w:rPr>
              <w:t>Avance por fase/BOM o salida explícita + costo unitario</w:t>
            </w:r>
          </w:p>
        </w:tc>
        <w:tc>
          <w:tcPr>
            <w:tcW w:type="dxa" w:w="3528"/>
            <w:shd w:fill="F1F4F8"/>
          </w:tcPr>
          <w:p>
            <w:pPr>
              <w:spacing w:after="60" w:line="254" w:lineRule="auto"/>
            </w:pPr>
            <w:r>
              <w:rPr>
                <w:sz w:val="18"/>
              </w:rPr>
              <w:t>Cantidad acreditada × costo unitario.</w:t>
            </w:r>
          </w:p>
        </w:tc>
      </w:tr>
      <w:tr>
        <w:trPr>
          <w:cantSplit/>
        </w:trPr>
        <w:tc>
          <w:tcPr>
            <w:tcW w:type="dxa" w:w="1872"/>
          </w:tcPr>
          <w:p>
            <w:pPr>
              <w:spacing w:after="60" w:line="254" w:lineRule="auto"/>
            </w:pPr>
            <w:r>
              <w:rPr>
                <w:sz w:val="18"/>
              </w:rPr>
              <w:t>Mano de obra</w:t>
            </w:r>
          </w:p>
        </w:tc>
        <w:tc>
          <w:tcPr>
            <w:tcW w:type="dxa" w:w="4536"/>
          </w:tcPr>
          <w:p>
            <w:pPr>
              <w:spacing w:after="60" w:line="254" w:lineRule="auto"/>
            </w:pPr>
            <w:r>
              <w:rPr>
                <w:sz w:val="18"/>
              </w:rPr>
              <w:t>Partes diarios + tarifa en Personal</w:t>
            </w:r>
          </w:p>
        </w:tc>
        <w:tc>
          <w:tcPr>
            <w:tcW w:type="dxa" w:w="3528"/>
          </w:tcPr>
          <w:p>
            <w:pPr>
              <w:spacing w:after="60" w:line="254" w:lineRule="auto"/>
            </w:pPr>
            <w:r>
              <w:rPr>
                <w:sz w:val="18"/>
              </w:rPr>
              <w:t>Horas × tarifa del trabajador.</w:t>
            </w:r>
          </w:p>
        </w:tc>
      </w:tr>
      <w:tr>
        <w:trPr>
          <w:cantSplit/>
        </w:trPr>
        <w:tc>
          <w:tcPr>
            <w:tcW w:type="dxa" w:w="1872"/>
            <w:shd w:fill="F1F4F8"/>
          </w:tcPr>
          <w:p>
            <w:pPr>
              <w:spacing w:after="60" w:line="254" w:lineRule="auto"/>
            </w:pPr>
            <w:r>
              <w:rPr>
                <w:sz w:val="18"/>
              </w:rPr>
              <w:t>Energía</w:t>
            </w:r>
          </w:p>
        </w:tc>
        <w:tc>
          <w:tcPr>
            <w:tcW w:type="dxa" w:w="4536"/>
            <w:shd w:fill="F1F4F8"/>
          </w:tcPr>
          <w:p>
            <w:pPr>
              <w:spacing w:after="60" w:line="254" w:lineRule="auto"/>
            </w:pPr>
            <w:r>
              <w:rPr>
                <w:sz w:val="18"/>
              </w:rPr>
              <w:t>Costo de energía del CECO</w:t>
            </w:r>
          </w:p>
        </w:tc>
        <w:tc>
          <w:tcPr>
            <w:tcW w:type="dxa" w:w="3528"/>
            <w:shd w:fill="F1F4F8"/>
          </w:tcPr>
          <w:p>
            <w:pPr>
              <w:spacing w:after="60" w:line="254" w:lineRule="auto"/>
            </w:pPr>
            <w:r>
              <w:rPr>
                <w:sz w:val="18"/>
              </w:rPr>
              <w:t>Importe atribuido a la orden.</w:t>
            </w:r>
          </w:p>
        </w:tc>
      </w:tr>
      <w:tr>
        <w:trPr>
          <w:cantSplit/>
        </w:trPr>
        <w:tc>
          <w:tcPr>
            <w:tcW w:type="dxa" w:w="1872"/>
          </w:tcPr>
          <w:p>
            <w:pPr>
              <w:spacing w:after="60" w:line="254" w:lineRule="auto"/>
            </w:pPr>
            <w:r>
              <w:rPr>
                <w:sz w:val="18"/>
              </w:rPr>
              <w:t>Capital</w:t>
            </w:r>
          </w:p>
        </w:tc>
        <w:tc>
          <w:tcPr>
            <w:tcW w:type="dxa" w:w="4536"/>
          </w:tcPr>
          <w:p>
            <w:pPr>
              <w:spacing w:after="60" w:line="254" w:lineRule="auto"/>
            </w:pPr>
            <w:r>
              <w:rPr>
                <w:sz w:val="18"/>
              </w:rPr>
              <w:t>Costo de capital del CECO</w:t>
            </w:r>
          </w:p>
        </w:tc>
        <w:tc>
          <w:tcPr>
            <w:tcW w:type="dxa" w:w="3528"/>
          </w:tcPr>
          <w:p>
            <w:pPr>
              <w:spacing w:after="60" w:line="254" w:lineRule="auto"/>
            </w:pPr>
            <w:r>
              <w:rPr>
                <w:sz w:val="18"/>
              </w:rPr>
              <w:t>Importe atribuido a la orden.</w:t>
            </w:r>
          </w:p>
        </w:tc>
      </w:tr>
    </w:tbl>
    <w:p>
      <w:pPr>
        <w:spacing w:after="0"/>
      </w:pPr>
    </w:p>
    <w:p>
      <w:pPr>
        <w:spacing w:after="40"/>
        <w:jc w:val="center"/>
      </w:pPr>
      <w:r>
        <w:drawing>
          <wp:inline xmlns:a="http://schemas.openxmlformats.org/drawingml/2006/main" xmlns:pic="http://schemas.openxmlformats.org/drawingml/2006/picture">
            <wp:extent cx="5349240" cy="757415"/>
            <wp:docPr id="11" name="Picture 11"/>
            <wp:cNvGraphicFramePr>
              <a:graphicFrameLocks noChangeAspect="1"/>
            </wp:cNvGraphicFramePr>
            <a:graphic>
              <a:graphicData uri="http://schemas.openxmlformats.org/drawingml/2006/picture">
                <pic:pic>
                  <pic:nvPicPr>
                    <pic:cNvPr id="0" name="ceco_cost_fields.png"/>
                    <pic:cNvPicPr/>
                  </pic:nvPicPr>
                  <pic:blipFill>
                    <a:blip r:embed="rId19"/>
                    <a:stretch>
                      <a:fillRect/>
                    </a:stretch>
                  </pic:blipFill>
                  <pic:spPr>
                    <a:xfrm>
                      <a:off x="0" y="0"/>
                      <a:ext cx="5349240" cy="757415"/>
                    </a:xfrm>
                    <a:prstGeom prst="rect"/>
                  </pic:spPr>
                </pic:pic>
              </a:graphicData>
            </a:graphic>
          </wp:inline>
        </w:drawing>
      </w:r>
    </w:p>
    <w:p>
      <w:pPr>
        <w:pStyle w:val="Compactcaption"/>
      </w:pPr>
      <w:r>
        <w:t>En Datos complementarios del CECO se guardan valor producido, energía y capital.</w:t>
      </w:r>
    </w:p>
    <w:p>
      <w:pPr>
        <w:spacing w:after="40"/>
        <w:jc w:val="center"/>
      </w:pPr>
      <w:r>
        <w:drawing>
          <wp:inline xmlns:a="http://schemas.openxmlformats.org/drawingml/2006/main" xmlns:pic="http://schemas.openxmlformats.org/drawingml/2006/picture">
            <wp:extent cx="3886200" cy="708079"/>
            <wp:docPr id="12" name="Picture 12"/>
            <wp:cNvGraphicFramePr>
              <a:graphicFrameLocks noChangeAspect="1"/>
            </wp:cNvGraphicFramePr>
            <a:graphic>
              <a:graphicData uri="http://schemas.openxmlformats.org/drawingml/2006/picture">
                <pic:pic>
                  <pic:nvPicPr>
                    <pic:cNvPr id="0" name="personnel_cost_field.png"/>
                    <pic:cNvPicPr/>
                  </pic:nvPicPr>
                  <pic:blipFill>
                    <a:blip r:embed="rId20"/>
                    <a:stretch>
                      <a:fillRect/>
                    </a:stretch>
                  </pic:blipFill>
                  <pic:spPr>
                    <a:xfrm>
                      <a:off x="0" y="0"/>
                      <a:ext cx="3886200" cy="708079"/>
                    </a:xfrm>
                    <a:prstGeom prst="rect"/>
                  </pic:spPr>
                </pic:pic>
              </a:graphicData>
            </a:graphic>
          </wp:inline>
        </w:drawing>
      </w:r>
    </w:p>
    <w:p>
      <w:pPr>
        <w:pStyle w:val="Compactcaption"/>
      </w:pPr>
      <w:r>
        <w:t>En Recursos &gt; Personal se guarda la tarifa laboral por hora.</w:t>
      </w:r>
    </w:p>
    <w:p>
      <w:pPr>
        <w:pStyle w:val="Smallnote"/>
      </w:pPr>
      <w:r>
        <w:t>En la base revisada hay tres CECO cerrados con actividades, horas y 299 líneas BOM por fase. Se reconocen esas cantidades; sus materiales aún no tienen costo unitario positivo y los importes económicos del CECO y del personal permanecen vacíos. Por eso la razón en S/ no muestra un número.</w:t>
      </w:r>
    </w:p>
    <w:p>
      <w:pPr>
        <w:pStyle w:val="Heading1"/>
        <w:pageBreakBefore/>
      </w:pPr>
      <w:r>
        <w:t>Libro Excel y comprobación de una cifra</w:t>
      </w:r>
    </w:p>
    <w:p>
      <w:pPr>
        <w:spacing w:after="40"/>
        <w:jc w:val="center"/>
      </w:pPr>
      <w:r>
        <w:drawing>
          <wp:inline xmlns:a="http://schemas.openxmlformats.org/drawingml/2006/main" xmlns:pic="http://schemas.openxmlformats.org/drawingml/2006/picture">
            <wp:extent cx="5897880" cy="912566"/>
            <wp:docPr id="13" name="Picture 13"/>
            <wp:cNvGraphicFramePr>
              <a:graphicFrameLocks noChangeAspect="1"/>
            </wp:cNvGraphicFramePr>
            <a:graphic>
              <a:graphicData uri="http://schemas.openxmlformats.org/drawingml/2006/picture">
                <pic:pic>
                  <pic:nvPicPr>
                    <pic:cNvPr id="0" name="export_controls.png"/>
                    <pic:cNvPicPr/>
                  </pic:nvPicPr>
                  <pic:blipFill>
                    <a:blip r:embed="rId21"/>
                    <a:stretch>
                      <a:fillRect/>
                    </a:stretch>
                  </pic:blipFill>
                  <pic:spPr>
                    <a:xfrm>
                      <a:off x="0" y="0"/>
                      <a:ext cx="5897880" cy="912566"/>
                    </a:xfrm>
                    <a:prstGeom prst="rect"/>
                  </pic:spPr>
                </pic:pic>
              </a:graphicData>
            </a:graphic>
          </wp:inline>
        </w:drawing>
      </w:r>
    </w:p>
    <w:p>
      <w:pPr>
        <w:pStyle w:val="Compactcaption"/>
      </w:pPr>
      <w:r>
        <w:t>Indicadores permite fijar el periodo y descargar el Libro de tesis o los registros de origen.</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5083"/>
            <w:shd w:fill="183153"/>
          </w:tcPr>
          <w:p>
            <w:r>
              <w:rPr>
                <w:b/>
                <w:color w:val="FFFFFF"/>
                <w:sz w:val="18"/>
              </w:rPr>
              <w:t>Hoja</w:t>
            </w:r>
          </w:p>
        </w:tc>
        <w:tc>
          <w:tcPr>
            <w:tcW w:type="dxa" w:w="5083"/>
            <w:shd w:fill="183153"/>
          </w:tcPr>
          <w:p>
            <w:r>
              <w:rPr>
                <w:b/>
                <w:color w:val="FFFFFF"/>
                <w:sz w:val="18"/>
              </w:rPr>
              <w:t>Qué comprobar</w:t>
            </w:r>
          </w:p>
        </w:tc>
      </w:tr>
      <w:tr>
        <w:trPr>
          <w:cantSplit/>
        </w:trPr>
        <w:tc>
          <w:tcPr>
            <w:tcW w:type="dxa" w:w="2880"/>
          </w:tcPr>
          <w:p>
            <w:pPr>
              <w:spacing w:after="60" w:line="254" w:lineRule="auto"/>
            </w:pPr>
            <w:r>
              <w:rPr>
                <w:sz w:val="18"/>
              </w:rPr>
              <w:t>Resumen y serie temporal</w:t>
            </w:r>
          </w:p>
        </w:tc>
        <w:tc>
          <w:tcPr>
            <w:tcW w:type="dxa" w:w="7056"/>
          </w:tcPr>
          <w:p>
            <w:pPr>
              <w:spacing w:after="60" w:line="254" w:lineRule="auto"/>
            </w:pPr>
            <w:r>
              <w:rPr>
                <w:sz w:val="18"/>
              </w:rPr>
              <w:t>Indicador actual y anterior, fórmula y valores por mes o semana.</w:t>
            </w:r>
          </w:p>
        </w:tc>
      </w:tr>
      <w:tr>
        <w:trPr>
          <w:cantSplit/>
        </w:trPr>
        <w:tc>
          <w:tcPr>
            <w:tcW w:type="dxa" w:w="2880"/>
            <w:shd w:fill="F1F4F8"/>
          </w:tcPr>
          <w:p>
            <w:pPr>
              <w:spacing w:after="60" w:line="254" w:lineRule="auto"/>
            </w:pPr>
            <w:r>
              <w:rPr>
                <w:sz w:val="18"/>
              </w:rPr>
              <w:t>Ficha plan maestro</w:t>
            </w:r>
          </w:p>
        </w:tc>
        <w:tc>
          <w:tcPr>
            <w:tcW w:type="dxa" w:w="7056"/>
            <w:shd w:fill="F1F4F8"/>
          </w:tcPr>
          <w:p>
            <w:pPr>
              <w:spacing w:after="60" w:line="254" w:lineRule="auto"/>
            </w:pPr>
            <w:r>
              <w:rPr>
                <w:sz w:val="18"/>
              </w:rPr>
              <w:t>Fechas A y B, cierre documentado o inferido, CPP y avance por CECO.</w:t>
            </w:r>
          </w:p>
        </w:tc>
      </w:tr>
      <w:tr>
        <w:trPr>
          <w:cantSplit/>
        </w:trPr>
        <w:tc>
          <w:tcPr>
            <w:tcW w:type="dxa" w:w="2880"/>
          </w:tcPr>
          <w:p>
            <w:pPr>
              <w:spacing w:after="60" w:line="254" w:lineRule="auto"/>
            </w:pPr>
            <w:r>
              <w:rPr>
                <w:sz w:val="18"/>
              </w:rPr>
              <w:t>Stock seguridad</w:t>
            </w:r>
          </w:p>
        </w:tc>
        <w:tc>
          <w:tcPr>
            <w:tcW w:type="dxa" w:w="7056"/>
          </w:tcPr>
          <w:p>
            <w:pPr>
              <w:spacing w:after="60" w:line="254" w:lineRule="auto"/>
            </w:pPr>
            <w:r>
              <w:rPr>
                <w:sz w:val="18"/>
              </w:rPr>
              <w:t>dp, s1, Lt, s2, z, SS según tesis, SS operativo, origen y brecha.</w:t>
            </w:r>
          </w:p>
        </w:tc>
      </w:tr>
      <w:tr>
        <w:trPr>
          <w:cantSplit/>
        </w:trPr>
        <w:tc>
          <w:tcPr>
            <w:tcW w:type="dxa" w:w="2880"/>
            <w:shd w:fill="F1F4F8"/>
          </w:tcPr>
          <w:p>
            <w:pPr>
              <w:spacing w:after="60" w:line="254" w:lineRule="auto"/>
            </w:pPr>
            <w:r>
              <w:rPr>
                <w:sz w:val="18"/>
              </w:rPr>
              <w:t>Ficha productividad</w:t>
            </w:r>
          </w:p>
        </w:tc>
        <w:tc>
          <w:tcPr>
            <w:tcW w:type="dxa" w:w="7056"/>
            <w:shd w:fill="F1F4F8"/>
          </w:tcPr>
          <w:p>
            <w:pPr>
              <w:spacing w:after="60" w:line="254" w:lineRule="auto"/>
            </w:pPr>
            <w:r>
              <w:rPr>
                <w:sz w:val="18"/>
              </w:rPr>
              <w:t>Trabajadores, horas, costo laboral, material, otros factores y observaciones de procedencia.</w:t>
            </w:r>
          </w:p>
        </w:tc>
      </w:tr>
      <w:tr>
        <w:trPr>
          <w:cantSplit/>
        </w:trPr>
        <w:tc>
          <w:tcPr>
            <w:tcW w:type="dxa" w:w="2880"/>
          </w:tcPr>
          <w:p>
            <w:pPr>
              <w:spacing w:after="60" w:line="254" w:lineRule="auto"/>
            </w:pPr>
            <w:r>
              <w:rPr>
                <w:sz w:val="18"/>
              </w:rPr>
              <w:t>Registros CECO y Partes</w:t>
            </w:r>
          </w:p>
        </w:tc>
        <w:tc>
          <w:tcPr>
            <w:tcW w:type="dxa" w:w="7056"/>
          </w:tcPr>
          <w:p>
            <w:pPr>
              <w:spacing w:after="60" w:line="254" w:lineRule="auto"/>
            </w:pPr>
            <w:r>
              <w:rPr>
                <w:sz w:val="18"/>
              </w:rPr>
              <w:t>Orden, fechas, cierre, trabajador, actividad y horas.</w:t>
            </w:r>
          </w:p>
        </w:tc>
      </w:tr>
      <w:tr>
        <w:trPr>
          <w:cantSplit/>
        </w:trPr>
        <w:tc>
          <w:tcPr>
            <w:tcW w:type="dxa" w:w="2880"/>
            <w:shd w:fill="F1F4F8"/>
          </w:tcPr>
          <w:p>
            <w:pPr>
              <w:spacing w:after="60" w:line="254" w:lineRule="auto"/>
            </w:pPr>
            <w:r>
              <w:rPr>
                <w:sz w:val="18"/>
              </w:rPr>
              <w:t>Avance y Movimientos</w:t>
            </w:r>
          </w:p>
        </w:tc>
        <w:tc>
          <w:tcPr>
            <w:tcW w:type="dxa" w:w="7056"/>
            <w:shd w:fill="F1F4F8"/>
          </w:tcPr>
          <w:p>
            <w:pPr>
              <w:spacing w:after="60" w:line="254" w:lineRule="auto"/>
            </w:pPr>
            <w:r>
              <w:rPr>
                <w:sz w:val="18"/>
              </w:rPr>
              <w:t>Estado, porcentaje, fecha de fin, salida/consumo y CECO.</w:t>
            </w:r>
          </w:p>
        </w:tc>
      </w:tr>
      <w:tr>
        <w:trPr>
          <w:cantSplit/>
        </w:trPr>
        <w:tc>
          <w:tcPr>
            <w:tcW w:type="dxa" w:w="2880"/>
          </w:tcPr>
          <w:p>
            <w:pPr>
              <w:spacing w:after="60" w:line="254" w:lineRule="auto"/>
            </w:pPr>
            <w:r>
              <w:rPr>
                <w:sz w:val="18"/>
              </w:rPr>
              <w:t>Diccionario SPSS</w:t>
            </w:r>
          </w:p>
        </w:tc>
        <w:tc>
          <w:tcPr>
            <w:tcW w:type="dxa" w:w="7056"/>
          </w:tcPr>
          <w:p>
            <w:pPr>
              <w:spacing w:after="60" w:line="254" w:lineRule="auto"/>
            </w:pPr>
            <w:r>
              <w:rPr>
                <w:sz w:val="18"/>
              </w:rPr>
              <w:t>Nombre, etiqueta, escala y criterio de cada variable.</w:t>
            </w:r>
          </w:p>
        </w:tc>
      </w:tr>
    </w:tbl>
    <w:p>
      <w:pPr>
        <w:spacing w:after="0"/>
      </w:pPr>
    </w:p>
    <w:p>
      <w:pPr>
        <w:pStyle w:val="Heading2"/>
      </w:pPr>
      <w:r>
        <w:t>Ruta de comprobación</w:t>
      </w:r>
    </w:p>
    <w:p>
      <w:r>
        <w:t>1. Selecciona las fechas en Indicadores y anota el valor de la tarjeta.</w:t>
      </w:r>
    </w:p>
    <w:p>
      <w:r>
        <w:t>2. Abre la ficha correspondiente del Libro de tesis y lee la fila del CECO o material y sus Observaciones.</w:t>
      </w:r>
    </w:p>
    <w:p>
      <w:r>
        <w:t>3. Contrasta con Registros Excel: CECO, avance por fase, reserva BOM, partes, salidas y maestro de materiales.</w:t>
      </w:r>
    </w:p>
    <w:p>
      <w:r>
        <w:t>4. Para productividad monetaria, comprueba costo unitario, tarifa y los importes guardados en Datos complementarios del CECO.</w:t>
      </w:r>
    </w:p>
    <w:p>
      <w:r>
        <w:t>5. Conserva las etiquetas de cantidad estimada, fecha inferida o valoración pendiente al reportar el resultado.</w:t>
      </w:r>
    </w:p>
    <w:p>
      <w:pPr>
        <w:pStyle w:val="Smallnote"/>
      </w:pPr>
      <w:r>
        <w:t>Las cantidades imputadas por avance sirven para el indicador. No constituyen por sí mismas una salida física adicional en Kardex ni modifican el saldo del almacén.</w:t>
      </w:r>
    </w:p>
    <w:sectPr w:rsidR="00FC693F" w:rsidRPr="0006063C" w:rsidSect="00034616">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D2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caption">
    <w:name w:val="Compact caption"/>
    <w:pPr>
      <w:spacing w:after="120"/>
    </w:pPr>
    <w:rPr>
      <w:rFonts w:ascii="Aptos" w:hAnsi="Aptos"/>
      <w:i/>
      <w:color w:val="5B6779"/>
      <w:sz w:val="17"/>
    </w:rPr>
  </w:style>
  <w:style w:type="paragraph" w:customStyle="1" w:styleId="Smallnote">
    <w:name w:val="Small note"/>
    <w:pPr>
      <w:spacing w:after="100"/>
    </w:pPr>
    <w:rPr>
      <w:rFonts w:ascii="Aptos" w:hAnsi="Aptos"/>
      <w:color w:val="4B5B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