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33333"/>
          <w:sz w:val="22"/>
        </w:rPr>
        <w:t>UNIVERSIDAD CENTRAL DE VENEZUELA</w:t>
        <w:br/>
        <w:t>FACULTAD DE CIENCIAS - ESCUELA DE COMPUTACIÓN</w:t>
        <w:br/>
        <w:t>ADMINISTRACIÓN DE BASES DE DATOS (SEMESTRE 1-2026)</w:t>
        <w:br/>
        <w:br/>
      </w:r>
      <w:r>
        <w:rPr>
          <w:rFonts w:ascii="Calibri" w:hAnsi="Calibri"/>
          <w:b/>
          <w:color w:val="1B365D"/>
          <w:sz w:val="32"/>
        </w:rPr>
        <w:t>LABORATORIO #5: INTEGRIDAD Y SEGURIDAD</w:t>
        <w:br/>
        <w:t>COMPENDIO DE JUSTIFICACIONES TEÓRICAS Y CONCEPTUALES</w:t>
        <w:br/>
      </w:r>
    </w:p>
    <w:p>
      <w:pPr>
        <w:jc w:val="both"/>
      </w:pPr>
      <w:r>
        <w:rPr>
          <w:i/>
          <w:color w:val="555555"/>
          <w:sz w:val="20"/>
        </w:rPr>
        <w:t>Nota general: Conforme a las condiciones del laboratorio ('Resalte sus respuestas con letras en negrita'), todas las respuestas teóricas, análisis de comportamiento del motor, transcripciones de error y justificaciones de diseño se presentan resaltadas en negrita, redactadas con rigurosidad técnica y lenguaje propio.</w:t>
      </w:r>
    </w:p>
    <w:p/>
    <w:p>
      <w:pPr>
        <w:pStyle w:val="Heading2"/>
      </w:pPr>
      <w:r>
        <w:rPr>
          <w:rFonts w:ascii="Calibri" w:hAnsi="Calibri"/>
          <w:b/>
          <w:color w:val="1B365D"/>
          <w:sz w:val="26"/>
        </w:rPr>
        <w:t>PUNTO 1: CREAR EL LOGIN Y EL USUARIO DE BASE DE DATOS</w:t>
      </w:r>
    </w:p>
    <w:p>
      <w:r>
        <w:rPr>
          <w:rFonts w:ascii="Calibri" w:hAnsi="Calibri"/>
          <w:b/>
          <w:i/>
          <w:color w:val="702082"/>
          <w:sz w:val="21"/>
        </w:rPr>
        <w:t>Aspectos a justificar: ¿Qué representa cada uno de los dos objetos y por qué SQL Server separa la identidad en un nivel de servidor y un nivel de base de datos?</w:t>
      </w:r>
    </w:p>
    <w:p>
      <w:pPr>
        <w:spacing w:line="276" w:lineRule="auto" w:after="80"/>
        <w:jc w:val="both"/>
      </w:pPr>
      <w:r>
        <w:rPr>
          <w:rFonts w:ascii="Calibri" w:hAnsi="Calibri"/>
          <w:b/>
          <w:color w:val="111111"/>
          <w:sz w:val="22"/>
        </w:rPr>
        <w:t>El Login (objeto en sys.server_principals) representa la identidad de seguridad a nivel de la instancia/servidor de SQL Server. Su responsabilidad principal es la autenticación: verificar las credenciales del usuario (mediante autenticación de Windows o contraseña de SQL Server) para permitir el establecimiento de una conexión con el motor.</w:t>
      </w:r>
    </w:p>
    <w:p>
      <w:pPr>
        <w:spacing w:line="276" w:lineRule="auto" w:after="80"/>
        <w:jc w:val="both"/>
      </w:pPr>
      <w:r>
        <w:rPr>
          <w:rFonts w:ascii="Calibri" w:hAnsi="Calibri"/>
          <w:b/>
          <w:color w:val="111111"/>
          <w:sz w:val="22"/>
        </w:rPr>
        <w:t>El Usuario de Base de Datos (objeto en sys.database_principals) representa la identidad local dentro del ámbito de una base de datos específica (en este caso LAB_SEGURIDAD_GB). Su función principal es la autorización: controlar el acceso a los recursos y determinar qué operaciones (permisos) puede realizar sobre los objetos de esa base de datos (tablas, vistas, esquemas, etc.).</w:t>
      </w:r>
    </w:p>
    <w:p>
      <w:pPr>
        <w:spacing w:line="276" w:lineRule="auto" w:after="80"/>
        <w:jc w:val="both"/>
      </w:pPr>
      <w:r>
        <w:rPr>
          <w:rFonts w:ascii="Calibri" w:hAnsi="Calibri"/>
          <w:b/>
          <w:color w:val="111111"/>
          <w:sz w:val="22"/>
        </w:rPr>
        <w:t>SQL Server separa ambas entidades por principios fundamentales de arquitectura de seguridad y mínimo privilegio: desacopla el proceso de 'quién eres' (autenticación en el servidor) de 'qué puedes hacer' (autorización en cada base de datos). Esto permite que un mismo login pueda tener acceso a múltiples bases de datos con diferentes roles o nombres de usuario en cada una, o bien no tener acceso alguno a bases de datos donde no esté mapeado. Además, facilita la portabilidad de las bases de datos al moverlas o restaurarlas entre servidores.</w:t>
      </w:r>
    </w:p>
    <w:p/>
    <w:p>
      <w:pPr>
        <w:pStyle w:val="Heading2"/>
      </w:pPr>
      <w:r>
        <w:rPr>
          <w:rFonts w:ascii="Calibri" w:hAnsi="Calibri"/>
          <w:b/>
          <w:color w:val="1B365D"/>
          <w:sz w:val="26"/>
        </w:rPr>
        <w:t>PUNTO 2: CREAR LA TABLA USUARIOGB</w:t>
      </w:r>
    </w:p>
    <w:p>
      <w:r>
        <w:rPr>
          <w:rFonts w:ascii="Calibri" w:hAnsi="Calibri"/>
          <w:b/>
          <w:i/>
          <w:color w:val="702082"/>
          <w:sz w:val="21"/>
        </w:rPr>
        <w:t>Aspectos a justificar: Justificación del esquema explícito y de los tipos de datos utilizados</w:t>
      </w:r>
    </w:p>
    <w:p>
      <w:pPr>
        <w:spacing w:line="276" w:lineRule="auto" w:after="80"/>
        <w:jc w:val="both"/>
      </w:pPr>
      <w:r>
        <w:rPr>
          <w:rFonts w:ascii="Calibri" w:hAnsi="Calibri"/>
          <w:b/>
          <w:color w:val="111111"/>
          <w:sz w:val="22"/>
        </w:rPr>
        <w:t>Se creó la tabla indicando explícitamente el calificador de dos partes (dbo.UsuarioGB). Esto constituye una buena práctica de administración en SQL Server porque elimina la ambigüedad en la resolución de nombres durante la compilación, previene problemas de seguridad si el usuario tuviese un esquema por defecto diferente, y favorece la reutilización de los planes de ejecución en el plan cache.</w:t>
      </w:r>
    </w:p>
    <w:p>
      <w:pPr>
        <w:spacing w:line="276" w:lineRule="auto" w:after="80"/>
        <w:jc w:val="both"/>
      </w:pPr>
      <w:r>
        <w:rPr>
          <w:rFonts w:ascii="Calibri" w:hAnsi="Calibri"/>
          <w:b/>
          <w:color w:val="111111"/>
          <w:sz w:val="22"/>
        </w:rPr>
        <w:t>Tipos de datos seleccionados:</w:t>
      </w:r>
    </w:p>
    <w:p>
      <w:pPr>
        <w:spacing w:line="276" w:lineRule="auto" w:after="80"/>
        <w:jc w:val="both"/>
      </w:pPr>
      <w:r>
        <w:rPr>
          <w:rFonts w:ascii="Calibri" w:hAnsi="Calibri"/>
          <w:b/>
          <w:color w:val="111111"/>
          <w:sz w:val="22"/>
        </w:rPr>
        <w:t>• Id INT NOT NULL: Tipo numérico entero estándar de 4 bytes, óptimo para identificadores.</w:t>
      </w:r>
    </w:p>
    <w:p>
      <w:pPr>
        <w:spacing w:line="276" w:lineRule="auto" w:after="80"/>
        <w:jc w:val="both"/>
      </w:pPr>
      <w:r>
        <w:rPr>
          <w:rFonts w:ascii="Calibri" w:hAnsi="Calibri"/>
          <w:b/>
          <w:color w:val="111111"/>
          <w:sz w:val="22"/>
        </w:rPr>
        <w:t>• Nombre VARCHAR(50) NOT NULL: Cadena de caracteres de longitud variable que asigna solo el espacio requerido por el nombre real almacenado más 2 bytes de sobrecarga, optimizando el aprovechamiento de las páginas de datos de 8 KB.</w:t>
      </w:r>
    </w:p>
    <w:p>
      <w:pPr>
        <w:spacing w:line="276" w:lineRule="auto" w:after="80"/>
        <w:jc w:val="both"/>
      </w:pPr>
      <w:r>
        <w:rPr>
          <w:rFonts w:ascii="Calibri" w:hAnsi="Calibri"/>
          <w:b/>
          <w:color w:val="111111"/>
          <w:sz w:val="22"/>
        </w:rPr>
        <w:t>• Sexo CHAR(1) NOT NULL: Tipo carácter de longitud fija de 1 byte, ideal para valores de un único carácter (como 'M' o 'F') ya que no requiere la sobrecarga de metadatos de longitud variable de VARCHAR.</w:t>
      </w:r>
    </w:p>
    <w:p/>
    <w:p>
      <w:pPr>
        <w:pStyle w:val="Heading2"/>
      </w:pPr>
      <w:r>
        <w:rPr>
          <w:rFonts w:ascii="Calibri" w:hAnsi="Calibri"/>
          <w:b/>
          <w:color w:val="1B365D"/>
          <w:sz w:val="26"/>
        </w:rPr>
        <w:t>PUNTO 3: PERMISOS DE BASE DE DATOS CON OPCIÓN DE CONCESIÓN</w:t>
      </w:r>
    </w:p>
    <w:p>
      <w:r>
        <w:rPr>
          <w:rFonts w:ascii="Calibri" w:hAnsi="Calibri"/>
          <w:b/>
          <w:i/>
          <w:color w:val="702082"/>
          <w:sz w:val="21"/>
        </w:rPr>
        <w:t>Aspectos a justificar: Permiso sobre el esquema dbo, diferencia entre CONNECT y CONNECT SQL, y función de WITH GRANT OPTION</w:t>
      </w:r>
    </w:p>
    <w:p>
      <w:pPr>
        <w:spacing w:line="276" w:lineRule="auto" w:after="80"/>
        <w:jc w:val="both"/>
      </w:pPr>
      <w:r>
        <w:rPr>
          <w:rFonts w:ascii="Calibri" w:hAnsi="Calibri"/>
          <w:b/>
          <w:color w:val="111111"/>
          <w:sz w:val="22"/>
        </w:rPr>
        <w:t>Permiso adicional sobre el esquema dbo: Aunque a un usuario se le otorguen los permisos de base de datos CREATE TABLE y CREATE VIEW, estos por sí solos no le conceden el derecho a modificar ni agregar objetos dentro de un esquema en particular. Para crear un objeto dentro del esquema 'dbo', el usuario requiere obligatoriamente el permiso ALTER sobre dicho esquema (GRANT ALTER ON SCHEMA::dbo). Sin este permiso, el motor rechaza la creación indicando que el esquema no existe o que no se tienen permisos para utilizarlo.</w:t>
      </w:r>
    </w:p>
    <w:p>
      <w:pPr>
        <w:spacing w:line="276" w:lineRule="auto" w:after="80"/>
        <w:jc w:val="both"/>
      </w:pPr>
      <w:r>
        <w:rPr>
          <w:rFonts w:ascii="Calibri" w:hAnsi="Calibri"/>
          <w:b/>
          <w:color w:val="111111"/>
          <w:sz w:val="22"/>
        </w:rPr>
        <w:t>Diferencia entre CONNECT sobre la base de datos y CONNECT SQL sobre el servidor: El permiso CONNECT SQL se otorga a nivel de servidor/instancia y habilita al login a conectarse y abrir una sesión de red en el motor de SQL Server. Por su parte, el permiso CONNECT sobre una base de datos se otorga a nivel de base de datos local y habilita al usuario a ingresar y fijar su contexto de ejecución (USE) dentro de esa base de datos específica.</w:t>
      </w:r>
    </w:p>
    <w:p>
      <w:pPr>
        <w:spacing w:line="276" w:lineRule="auto" w:after="80"/>
        <w:jc w:val="both"/>
      </w:pPr>
      <w:r>
        <w:rPr>
          <w:rFonts w:ascii="Calibri" w:hAnsi="Calibri"/>
          <w:b/>
          <w:color w:val="111111"/>
          <w:sz w:val="22"/>
        </w:rPr>
        <w:t>¿Qué habilita exactamente la opción WITH GRANT OPTION?: La cláusula WITH GRANT OPTION habilita la delegación de privilegios administrativos: le permite al usuario beneficiario no solamente ejercer el permiso concedido, sino también actuar como otorgante (grantor) y transferir ese mismo permiso a otros usuarios o roles de la base de datos.</w:t>
      </w:r>
    </w:p>
    <w:p/>
    <w:p>
      <w:pPr>
        <w:pStyle w:val="Heading2"/>
      </w:pPr>
      <w:r>
        <w:rPr>
          <w:rFonts w:ascii="Calibri" w:hAnsi="Calibri"/>
          <w:b/>
          <w:color w:val="1B365D"/>
          <w:sz w:val="26"/>
        </w:rPr>
        <w:t>PUNTO 4: PERMISOS SOBRE LA TABLA Y A NIVEL DE COLUMNA</w:t>
      </w:r>
    </w:p>
    <w:p>
      <w:r>
        <w:rPr>
          <w:rFonts w:ascii="Calibri" w:hAnsi="Calibri"/>
          <w:b/>
          <w:i/>
          <w:color w:val="702082"/>
          <w:sz w:val="21"/>
        </w:rPr>
        <w:t>Aspectos a justificar: Granularidad por columna vs. tabla completa y por qué DELETE pertenece al segundo grupo</w:t>
      </w:r>
    </w:p>
    <w:p>
      <w:pPr>
        <w:spacing w:line="276" w:lineRule="auto" w:after="80"/>
        <w:jc w:val="both"/>
      </w:pPr>
      <w:r>
        <w:rPr>
          <w:rFonts w:ascii="Calibri" w:hAnsi="Calibri"/>
          <w:b/>
          <w:color w:val="111111"/>
          <w:sz w:val="22"/>
        </w:rPr>
        <w:t>Permisos con granularidad por columna vs. tabla completa: En SQL Server, los únicos permisos que admiten granularidad a nivel de columna individual son SELECT, UPDATE y REFERENCES. Por el contrario, los permisos INSERT y DELETE únicamente pueden otorgarse sobre la tabla completa.</w:t>
      </w:r>
    </w:p>
    <w:p>
      <w:pPr>
        <w:spacing w:line="276" w:lineRule="auto" w:after="80"/>
        <w:jc w:val="both"/>
      </w:pPr>
      <w:r>
        <w:rPr>
          <w:rFonts w:ascii="Calibri" w:hAnsi="Calibri"/>
          <w:b/>
          <w:color w:val="111111"/>
          <w:sz w:val="22"/>
        </w:rPr>
        <w:t>¿Por qué DELETE solo puede otorgarse sobre la tabla completa?: La instrucción DELETE es una operación DML cuya unidad mínima e indivisible de acción es la tupla o fila completa. Físicamente no es posible 'eliminar una columna' de una fila mediante DML (para vaciar un campo se emplearía un UPDATE asignando NULL). Dado que eliminar un registro destruye la entidad física completa junto con todos sus atributos, el control de acceso debe gobernarse forzosamente a nivel de toda la tabla u objeto.</w:t>
      </w:r>
    </w:p>
    <w:p/>
    <w:p>
      <w:pPr>
        <w:pStyle w:val="Heading2"/>
      </w:pPr>
      <w:r>
        <w:rPr>
          <w:rFonts w:ascii="Calibri" w:hAnsi="Calibri"/>
          <w:b/>
          <w:color w:val="1B365D"/>
          <w:sz w:val="26"/>
        </w:rPr>
        <w:t>PUNTO 5: INSERTAR DATOS DE PRUEBA</w:t>
      </w:r>
    </w:p>
    <w:p>
      <w:r>
        <w:rPr>
          <w:rFonts w:ascii="Calibri" w:hAnsi="Calibri"/>
          <w:b/>
          <w:i/>
          <w:color w:val="702082"/>
          <w:sz w:val="21"/>
        </w:rPr>
        <w:t>Aspectos a justificar: Propósito de los datos de prueba y coherencia en el campo Sexo</w:t>
      </w:r>
    </w:p>
    <w:p>
      <w:pPr>
        <w:spacing w:line="276" w:lineRule="auto" w:after="80"/>
        <w:jc w:val="both"/>
      </w:pPr>
      <w:r>
        <w:rPr>
          <w:rFonts w:ascii="Calibri" w:hAnsi="Calibri"/>
          <w:b/>
          <w:color w:val="111111"/>
          <w:sz w:val="22"/>
        </w:rPr>
        <w:t>Se poblaron tuplas iniciales respetando la coherencia semántica en la columna Sexo ('M' y 'F'). Esto establece una línea base de datos válidos necesaria para evaluar posteriormente el comportamiento de la actualización permitida (Punto 7), la actualización denegada (Punto 8), la revocación de lectura (Punto 10) y la eliminación mediante roles (Punto 15), verificando su estado mediante SELECT.</w:t>
      </w:r>
    </w:p>
    <w:p/>
    <w:p>
      <w:pPr>
        <w:pStyle w:val="Heading2"/>
      </w:pPr>
      <w:r>
        <w:rPr>
          <w:rFonts w:ascii="Calibri" w:hAnsi="Calibri"/>
          <w:b/>
          <w:color w:val="1B365D"/>
          <w:sz w:val="26"/>
        </w:rPr>
        <w:t>PUNTO 6: PROBAR PERMISOS COMO STUDENTABDGB</w:t>
      </w:r>
    </w:p>
    <w:p>
      <w:r>
        <w:rPr>
          <w:rFonts w:ascii="Calibri" w:hAnsi="Calibri"/>
          <w:b/>
          <w:i/>
          <w:color w:val="702082"/>
          <w:sz w:val="21"/>
        </w:rPr>
        <w:t>Aspectos a justificar: Método utilizado, diferencia entre abrir nueva conexión vs. EXECUTE AS USER, y papel de REVERT</w:t>
      </w:r>
    </w:p>
    <w:p>
      <w:pPr>
        <w:spacing w:line="276" w:lineRule="auto" w:after="80"/>
        <w:jc w:val="both"/>
      </w:pPr>
      <w:r>
        <w:rPr>
          <w:rFonts w:ascii="Calibri" w:hAnsi="Calibri"/>
          <w:b/>
          <w:color w:val="111111"/>
          <w:sz w:val="22"/>
        </w:rPr>
        <w:t>Método utilizado: Se utilizó la sentencia EXECUTE AS USER = 'studentABDGB' dentro de la sesión existente en SSMS.</w:t>
      </w:r>
    </w:p>
    <w:p>
      <w:pPr>
        <w:spacing w:line="276" w:lineRule="auto" w:after="80"/>
        <w:jc w:val="both"/>
      </w:pPr>
      <w:r>
        <w:rPr>
          <w:rFonts w:ascii="Calibri" w:hAnsi="Calibri"/>
          <w:b/>
          <w:color w:val="111111"/>
          <w:sz w:val="22"/>
        </w:rPr>
        <w:t>Diferencia entre abrir una nueva conexión vs. EXECUTE AS USER: Abrir una nueva conexión en SSMS establece un canal de comunicación de red independiente autenticando el login en la instancia de SQL Server desde cero. En contraste, EXECUTE AS USER es un mecanismo de suplantación (impersonation) que opera dentro de una conexión previamente establecida; no abre una sesión nueva, su alcance queda estrictamente restringido a la base de datos actual (LAB_SEGURIDAD_GB) y permite probar permisos locales de forma rápida y controlada.</w:t>
      </w:r>
    </w:p>
    <w:p>
      <w:pPr>
        <w:spacing w:line="276" w:lineRule="auto" w:after="80"/>
        <w:jc w:val="both"/>
      </w:pPr>
      <w:r>
        <w:rPr>
          <w:rFonts w:ascii="Calibri" w:hAnsi="Calibri"/>
          <w:b/>
          <w:color w:val="111111"/>
          <w:sz w:val="22"/>
        </w:rPr>
        <w:t>Papel de la sentencia REVERT: La sentencia REVERT finaliza el contexto de suplantación y restaura la identidad de seguridad al principal original que inició la sesión (en este caso, sa), devolviéndole de inmediato todos sus privilegios administrativos previos.</w:t>
      </w:r>
    </w:p>
    <w:p/>
    <w:p>
      <w:pPr>
        <w:pStyle w:val="Heading2"/>
      </w:pPr>
      <w:r>
        <w:rPr>
          <w:rFonts w:ascii="Calibri" w:hAnsi="Calibri"/>
          <w:b/>
          <w:color w:val="1B365D"/>
          <w:sz w:val="26"/>
        </w:rPr>
        <w:t>PUNTO 7: ACTUALIZAR LA COLUMNA PERMITIDA</w:t>
      </w:r>
    </w:p>
    <w:p>
      <w:r>
        <w:rPr>
          <w:rFonts w:ascii="Calibri" w:hAnsi="Calibri"/>
          <w:b/>
          <w:i/>
          <w:color w:val="702082"/>
          <w:sz w:val="21"/>
        </w:rPr>
        <w:t>Aspectos a justificar: Comportamiento de la operación UPDATE sobre la columna Nombre</w:t>
      </w:r>
    </w:p>
    <w:p>
      <w:pPr>
        <w:spacing w:line="276" w:lineRule="auto" w:after="80"/>
        <w:jc w:val="both"/>
      </w:pPr>
      <w:r>
        <w:rPr>
          <w:rFonts w:ascii="Calibri" w:hAnsi="Calibri"/>
          <w:b/>
          <w:color w:val="111111"/>
          <w:sz w:val="22"/>
        </w:rPr>
        <w:t>La sentencia UPDATE dbo.UsuarioGB SET Nombre = 'Carlos Eduardo Perez' WHERE Id = 1 se ejecutó satisfactoriamente. Esto se debió a que en el Punto 4 se le concedió de forma explícita al usuario studentABDGB el permiso UPDATE ON dbo.UsuarioGB(Nombre). La posterior consulta SELECT sobre la tupla reflejó el cambio exitoso, avalada por el permiso SELECT sobre la tabla que el usuario todavía poseía.</w:t>
      </w:r>
    </w:p>
    <w:p/>
    <w:p>
      <w:pPr>
        <w:pStyle w:val="Heading2"/>
      </w:pPr>
      <w:r>
        <w:rPr>
          <w:rFonts w:ascii="Calibri" w:hAnsi="Calibri"/>
          <w:b/>
          <w:color w:val="1B365D"/>
          <w:sz w:val="26"/>
        </w:rPr>
        <w:t>PUNTO 8: INTENTAR ACTUALIZAR UNA COLUMNA NO AUTORIZADA</w:t>
      </w:r>
    </w:p>
    <w:p>
      <w:r>
        <w:rPr>
          <w:rFonts w:ascii="Calibri" w:hAnsi="Calibri"/>
          <w:b/>
          <w:i/>
          <w:color w:val="702082"/>
          <w:sz w:val="21"/>
        </w:rPr>
        <w:t>Aspectos a justificar: ¿Qué sucede, mensaje de error devuelto y funcionamiento de permisos a nivel de columna?</w:t>
      </w:r>
    </w:p>
    <w:p>
      <w:pPr>
        <w:spacing w:line="276" w:lineRule="auto" w:after="80"/>
        <w:jc w:val="both"/>
      </w:pPr>
      <w:r>
        <w:rPr>
          <w:rFonts w:ascii="Calibri" w:hAnsi="Calibri"/>
          <w:b/>
          <w:color w:val="111111"/>
          <w:sz w:val="22"/>
        </w:rPr>
        <w:t>¿Qué sucede?: La operación es rechazada inmediatamente por el motor y se aborta la modificación, dejando inalterados los datos de la tabla.</w:t>
      </w:r>
    </w:p>
    <w:p>
      <w:pPr>
        <w:spacing w:line="276" w:lineRule="auto" w:after="80"/>
        <w:jc w:val="both"/>
      </w:pPr>
      <w:r>
        <w:rPr>
          <w:rFonts w:ascii="Calibri" w:hAnsi="Calibri"/>
          <w:b/>
          <w:color w:val="111111"/>
          <w:sz w:val="22"/>
        </w:rPr>
        <w:t>Mensaje de error devuelto: 'Mens. 229, Nivel 14, Estado 5. Se denegó el permiso UPDATE en el objeto 'UsuarioGB', base de datos 'LAB_SEGURIDAD_GB', esquema 'dbo'.' (O su equivalente en inglés: 'The UPDATE permission was denied on the object 'UsuarioGB'...').</w:t>
      </w:r>
    </w:p>
    <w:p>
      <w:pPr>
        <w:spacing w:line="276" w:lineRule="auto" w:after="80"/>
        <w:jc w:val="both"/>
      </w:pPr>
      <w:r>
        <w:rPr>
          <w:rFonts w:ascii="Calibri" w:hAnsi="Calibri"/>
          <w:b/>
          <w:color w:val="111111"/>
          <w:sz w:val="22"/>
        </w:rPr>
        <w:t>¿Cómo funcionan los permisos a nivel de columna en SQL Server?: SQL Server implementa un modelo de autorización basado en denegación implícita por defecto. Cuando se otorgan permisos a nivel de columna, el motor almacena en la vista sys.database_permissions el identificador de la columna (minor_id) sobre la cual se concede el privilegio. Durante la fase de resolución y compilación de una instrucción UPDATE, el motor descompone la lista de columnas afectadas en la cláusula SET. Si el usuario no posee un permiso explícito de UPDATE sobre todas y cada una de las columnas que pretende modificar, o un permiso UPDATE a nivel de tabla, el motor deniega la operación para proteger la confidencialidad e integridad del resto de los atributos.</w:t>
      </w:r>
    </w:p>
    <w:p/>
    <w:p>
      <w:pPr>
        <w:pStyle w:val="Heading2"/>
      </w:pPr>
      <w:r>
        <w:rPr>
          <w:rFonts w:ascii="Calibri" w:hAnsi="Calibri"/>
          <w:b/>
          <w:color w:val="1B365D"/>
          <w:sz w:val="26"/>
        </w:rPr>
        <w:t>PUNTO 9: REVOCAR EL PERMISO DE SELECCIÓN</w:t>
      </w:r>
    </w:p>
    <w:p>
      <w:r>
        <w:rPr>
          <w:rFonts w:ascii="Calibri" w:hAnsi="Calibri"/>
          <w:b/>
          <w:i/>
          <w:color w:val="702082"/>
          <w:sz w:val="21"/>
        </w:rPr>
        <w:t>Aspectos a justificar: Necesidad de CASCADE con WITH GRANT OPTION, diferencia REVOKE vs. DENY, y excepción documentada</w:t>
      </w:r>
    </w:p>
    <w:p>
      <w:pPr>
        <w:spacing w:line="276" w:lineRule="auto" w:after="80"/>
        <w:jc w:val="both"/>
      </w:pPr>
      <w:r>
        <w:rPr>
          <w:rFonts w:ascii="Calibri" w:hAnsi="Calibri"/>
          <w:b/>
          <w:color w:val="111111"/>
          <w:sz w:val="22"/>
        </w:rPr>
        <w:t>¿Por qué es necesario emplear CASCADE y qué ocurre si se omite?: En el Punto 4 el permiso SELECT fue concedido con la opción WITH GRANT OPTION, lo cual facultaba a studentABDGB a delegar dicho permiso a terceros. La cláusula CASCADE es requerida para revocar recursivamente en cadena cualquier permiso dependiente que hubiese sido concedido por studentABDGB a otros usuarios o roles. Si se omite CASCADE y existen permisos dependientes otorgados en la cadena, el motor aborta la sentencia con un error de dependencia (Msg 4611).</w:t>
      </w:r>
    </w:p>
    <w:p>
      <w:pPr>
        <w:spacing w:line="276" w:lineRule="auto" w:after="80"/>
        <w:jc w:val="both"/>
      </w:pPr>
      <w:r>
        <w:rPr>
          <w:rFonts w:ascii="Calibri" w:hAnsi="Calibri"/>
          <w:b/>
          <w:color w:val="111111"/>
          <w:sz w:val="22"/>
        </w:rPr>
        <w:t>Diferencia entre REVOKE y DENY, y cuál prevalece: REVOKE elimina una concesión (GRANT) o denegación (DENY) previa, regresando al principal a un estado neutro en el que no tiene permiso directo pero aún podría heredarlo a través de un rol. Por su parte, DENY es una prohibición explícita e intransigente. La regla general de SQL Server es que DENY siempre prevalece sobre cualquier GRANT recibido por herencia de roles o grupos.</w:t>
      </w:r>
    </w:p>
    <w:p>
      <w:pPr>
        <w:spacing w:line="276" w:lineRule="auto" w:after="80"/>
        <w:jc w:val="both"/>
      </w:pPr>
      <w:r>
        <w:rPr>
          <w:rFonts w:ascii="Calibri" w:hAnsi="Calibri"/>
          <w:b/>
          <w:color w:val="111111"/>
          <w:sz w:val="22"/>
        </w:rPr>
        <w:t>Excepción documentada a la regla de prevalencia de DENY: Existe una excepción de especificidad granular: un permiso explícito otorgado a nivel de columna (GRANT SELECT ON Tabla(Columna)) prevalece sobre una denegación declarada a nivel de tabla (DENY SELECT ON Tabla). Esto permite restringir el acceso general a una tabla mediante DENY pero habilitar explícitamente ciertas columnas seguras a determinados usuarios.</w:t>
      </w:r>
    </w:p>
    <w:p/>
    <w:p>
      <w:pPr>
        <w:pStyle w:val="Heading2"/>
      </w:pPr>
      <w:r>
        <w:rPr>
          <w:rFonts w:ascii="Calibri" w:hAnsi="Calibri"/>
          <w:b/>
          <w:color w:val="1B365D"/>
          <w:sz w:val="26"/>
        </w:rPr>
        <w:t>PUNTO 10: COMPROBAR EL EFECTO DE LA REVOCACIÓN</w:t>
      </w:r>
    </w:p>
    <w:p>
      <w:r>
        <w:rPr>
          <w:rFonts w:ascii="Calibri" w:hAnsi="Calibri"/>
          <w:b/>
          <w:i/>
          <w:color w:val="702082"/>
          <w:sz w:val="21"/>
        </w:rPr>
        <w:t>Aspectos a justificar: ¿Qué sucede, mensaje de error devuelto y por qué se conservan otros permisos?</w:t>
      </w:r>
    </w:p>
    <w:p>
      <w:pPr>
        <w:spacing w:line="276" w:lineRule="auto" w:after="80"/>
        <w:jc w:val="both"/>
      </w:pPr>
      <w:r>
        <w:rPr>
          <w:rFonts w:ascii="Calibri" w:hAnsi="Calibri"/>
          <w:b/>
          <w:color w:val="111111"/>
          <w:sz w:val="22"/>
        </w:rPr>
        <w:t>¿Qué sucede?: Al consultar SELECT * FROM dbo.UsuarioGB bajo el contexto de studentABDGB, la lectura es bloqueada y rechazada por el motor.</w:t>
      </w:r>
    </w:p>
    <w:p>
      <w:pPr>
        <w:spacing w:line="276" w:lineRule="auto" w:after="80"/>
        <w:jc w:val="both"/>
      </w:pPr>
      <w:r>
        <w:rPr>
          <w:rFonts w:ascii="Calibri" w:hAnsi="Calibri"/>
          <w:b/>
          <w:color w:val="111111"/>
          <w:sz w:val="22"/>
        </w:rPr>
        <w:t>Mensaje de error devuelto: 'Mens. 229, Nivel 14, Estado 5. Se denegó el permiso SELECT en el objeto 'UsuarioGB', base de datos 'LAB_SEGURIDAD_GB', esquema 'dbo'.'</w:t>
      </w:r>
    </w:p>
    <w:p>
      <w:pPr>
        <w:spacing w:line="276" w:lineRule="auto" w:after="80"/>
        <w:jc w:val="both"/>
      </w:pPr>
      <w:r>
        <w:rPr>
          <w:rFonts w:ascii="Calibri" w:hAnsi="Calibri"/>
          <w:b/>
          <w:color w:val="111111"/>
          <w:sz w:val="22"/>
        </w:rPr>
        <w:t>¿Por qué el usuario conserva otros permisos sobre la misma tabla?: Porque en SQL Server los permisos son ortogonales, atómicos e independientes. La sentencia REVOKE SELECT únicamente suprime la entrada correspondiente al privilegio de lectura en el catálogo de seguridad (sys.database_permissions). Dicha acción no invalida ni afecta los demás permisos previamente conferidos al usuario sobre esa misma entidad (como DELETE sobre la tabla o UPDATE sobre la columna Nombre), los cuales continúan vigentes y plenamente funcionales.</w:t>
      </w:r>
    </w:p>
    <w:p/>
    <w:p>
      <w:pPr>
        <w:pStyle w:val="Heading2"/>
      </w:pPr>
      <w:r>
        <w:rPr>
          <w:rFonts w:ascii="Calibri" w:hAnsi="Calibri"/>
          <w:b/>
          <w:color w:val="1B365D"/>
          <w:sz w:val="26"/>
        </w:rPr>
        <w:t>PUNTO 11: ELIMINAR EL USUARIO STUDENTABDGB</w:t>
      </w:r>
    </w:p>
    <w:p>
      <w:r>
        <w:rPr>
          <w:rFonts w:ascii="Calibri" w:hAnsi="Calibri"/>
          <w:b/>
          <w:i/>
          <w:color w:val="702082"/>
          <w:sz w:val="21"/>
        </w:rPr>
        <w:t>Aspectos a justificar: Concepto de usuario huérfano y qué ocurre si se elimina solo uno de los dos objetos</w:t>
      </w:r>
    </w:p>
    <w:p>
      <w:pPr>
        <w:spacing w:line="276" w:lineRule="auto" w:after="80"/>
        <w:jc w:val="both"/>
      </w:pPr>
      <w:r>
        <w:rPr>
          <w:rFonts w:ascii="Calibri" w:hAnsi="Calibri"/>
          <w:b/>
          <w:color w:val="111111"/>
          <w:sz w:val="22"/>
        </w:rPr>
        <w:t>¿Qué es un usuario huérfano?: Un usuario huérfano (orphaned user) es aquel registro en el catálogo local de una base de datos (sys.database_principals) cuyo identificador de seguridad (SID) no se corresponde con ningún login válido existente a nivel de la instancia de SQL Server (sys.server_principals). Es una cuenta local sin contraparte en el servidor que permita autenticarla.</w:t>
      </w:r>
    </w:p>
    <w:p>
      <w:pPr>
        <w:spacing w:line="276" w:lineRule="auto" w:after="80"/>
        <w:jc w:val="both"/>
      </w:pPr>
      <w:r>
        <w:rPr>
          <w:rFonts w:ascii="Calibri" w:hAnsi="Calibri"/>
          <w:b/>
          <w:color w:val="111111"/>
          <w:sz w:val="22"/>
        </w:rPr>
        <w:t>¿Qué ocurre si se elimina únicamente uno de los dos objetos?:</w:t>
      </w:r>
    </w:p>
    <w:p>
      <w:pPr>
        <w:spacing w:line="276" w:lineRule="auto" w:after="80"/>
        <w:jc w:val="both"/>
      </w:pPr>
      <w:r>
        <w:rPr>
          <w:rFonts w:ascii="Calibri" w:hAnsi="Calibri"/>
          <w:b/>
          <w:color w:val="111111"/>
          <w:sz w:val="22"/>
        </w:rPr>
        <w:t>1. Si se elimina únicamente el Login de servidor: El usuario en la base de datos queda huérfano. Nadie podrá iniciar sesión para ejercer sus permisos, permaneciendo como un objeto residual que degrada la higiene de seguridad de la base de datos.</w:t>
      </w:r>
    </w:p>
    <w:p>
      <w:pPr>
        <w:spacing w:line="276" w:lineRule="auto" w:after="80"/>
        <w:jc w:val="both"/>
      </w:pPr>
      <w:r>
        <w:rPr>
          <w:rFonts w:ascii="Calibri" w:hAnsi="Calibri"/>
          <w:b/>
          <w:color w:val="111111"/>
          <w:sz w:val="22"/>
        </w:rPr>
        <w:t>2. Si se elimina únicamente el Usuario de base de datos: El login de servidor permanece intacto y puede seguir conectándose a la instancia de SQL Server; sin embargo, al intentar ingresar a LAB_SEGURIDAD_GB, el motor le negará el acceso por carecer de mapeo y autorización local.</w:t>
      </w:r>
    </w:p>
    <w:p/>
    <w:p>
      <w:pPr>
        <w:pStyle w:val="Heading2"/>
      </w:pPr>
      <w:r>
        <w:rPr>
          <w:rFonts w:ascii="Calibri" w:hAnsi="Calibri"/>
          <w:b/>
          <w:color w:val="1B365D"/>
          <w:sz w:val="26"/>
        </w:rPr>
        <w:t>PUNTO 12: CREAR UN ROL DE BASE DE DATOS</w:t>
      </w:r>
    </w:p>
    <w:p>
      <w:r>
        <w:rPr>
          <w:rFonts w:ascii="Calibri" w:hAnsi="Calibri"/>
          <w:b/>
          <w:i/>
          <w:color w:val="702082"/>
          <w:sz w:val="21"/>
        </w:rPr>
        <w:t>Aspectos a justificar: Clasificación del rol cursoABD (justificación) y dos roles fijos de base de datos predefinidos</w:t>
      </w:r>
    </w:p>
    <w:p>
      <w:pPr>
        <w:spacing w:line="276" w:lineRule="auto" w:after="80"/>
        <w:jc w:val="both"/>
      </w:pPr>
      <w:r>
        <w:rPr>
          <w:rFonts w:ascii="Calibri" w:hAnsi="Calibri"/>
          <w:b/>
          <w:color w:val="111111"/>
          <w:sz w:val="22"/>
        </w:rPr>
        <w:t>Clasificación y justificación: cursoABD es un rol de base de datos (DATABASE_ROLE). Se justifica porque su propósito es gestionar autorizaciones sobre objetos que residen exclusivamente dentro de la base de datos LAB_SEGURIDAD_GB (como la tabla UsuarioGB). Los roles de servidor (SERVER_ROLE) operan a nivel de toda la instancia y se reservan para tareas globales de administración del motor (como apagar el servidor o gestionar logins).</w:t>
      </w:r>
    </w:p>
    <w:p>
      <w:pPr>
        <w:spacing w:line="276" w:lineRule="auto" w:after="80"/>
        <w:jc w:val="both"/>
      </w:pPr>
      <w:r>
        <w:rPr>
          <w:rFonts w:ascii="Calibri" w:hAnsi="Calibri"/>
          <w:b/>
          <w:color w:val="111111"/>
          <w:sz w:val="22"/>
        </w:rPr>
        <w:t>Dos roles fijos de base de datos predefinidos y su función:</w:t>
      </w:r>
    </w:p>
    <w:p>
      <w:pPr>
        <w:spacing w:line="276" w:lineRule="auto" w:after="80"/>
        <w:jc w:val="both"/>
      </w:pPr>
      <w:r>
        <w:rPr>
          <w:rFonts w:ascii="Calibri" w:hAnsi="Calibri"/>
          <w:b/>
          <w:color w:val="111111"/>
          <w:sz w:val="22"/>
        </w:rPr>
        <w:t>1. db_datareader: Concede automáticamente a sus miembros el permiso de lectura (SELECT) sobre todas las tablas y vistas de usuario existentes en la base de datos, simplificando la concesión masiva de permisos de consulta.</w:t>
      </w:r>
    </w:p>
    <w:p>
      <w:pPr>
        <w:spacing w:line="276" w:lineRule="auto" w:after="80"/>
        <w:jc w:val="both"/>
      </w:pPr>
      <w:r>
        <w:rPr>
          <w:rFonts w:ascii="Calibri" w:hAnsi="Calibri"/>
          <w:b/>
          <w:color w:val="111111"/>
          <w:sz w:val="22"/>
        </w:rPr>
        <w:t>2. db_owner: Es el rol de máximo nivel dentro de la base de datos. Sus miembros tienen control total sobre ella y están facultados para realizar cualquier tarea de configuración, respaldo, alteración de esquemas, otorgamiento de permisos y eliminación de objetos.</w:t>
      </w:r>
    </w:p>
    <w:p/>
    <w:p>
      <w:pPr>
        <w:pStyle w:val="Heading2"/>
      </w:pPr>
      <w:r>
        <w:rPr>
          <w:rFonts w:ascii="Calibri" w:hAnsi="Calibri"/>
          <w:b/>
          <w:color w:val="1B365D"/>
          <w:sz w:val="26"/>
        </w:rPr>
        <w:t>PUNTO 13: OTORGAR PERMISOS AL ROL</w:t>
      </w:r>
    </w:p>
    <w:p>
      <w:r>
        <w:rPr>
          <w:rFonts w:ascii="Calibri" w:hAnsi="Calibri"/>
          <w:b/>
          <w:i/>
          <w:color w:val="702082"/>
          <w:sz w:val="21"/>
        </w:rPr>
        <w:t>Aspectos a justificar: Propósito de la asignación y modelo RBAC</w:t>
      </w:r>
    </w:p>
    <w:p>
      <w:pPr>
        <w:spacing w:line="276" w:lineRule="auto" w:after="80"/>
        <w:jc w:val="both"/>
      </w:pPr>
      <w:r>
        <w:rPr>
          <w:rFonts w:ascii="Calibri" w:hAnsi="Calibri"/>
          <w:b/>
          <w:color w:val="111111"/>
          <w:sz w:val="22"/>
        </w:rPr>
        <w:t>Se aplicó el modelo de Control de Acceso Basado en Roles (RBAC). Al conferir el permiso DELETE sobre dbo.UsuarioGB al rol cursoABD, se centraliza la política de acceso en una sola entidad administrativa. Cualquier usuario presente o futuro que se incorpore como miembro al rol heredará de inmediato este privilegio sin necesidad de gestionar permisos individuales por usuario, reduciendo el riesgo de errores administrativos y simplificando las auditorías.</w:t>
      </w:r>
    </w:p>
    <w:p/>
    <w:p>
      <w:pPr>
        <w:pStyle w:val="Heading2"/>
      </w:pPr>
      <w:r>
        <w:rPr>
          <w:rFonts w:ascii="Calibri" w:hAnsi="Calibri"/>
          <w:b/>
          <w:color w:val="1B365D"/>
          <w:sz w:val="26"/>
        </w:rPr>
        <w:t>PUNTO 14: CREAR UN SEGUNDO USUARIO Y ASIGNARLE EL ROL</w:t>
      </w:r>
    </w:p>
    <w:p>
      <w:r>
        <w:rPr>
          <w:rFonts w:ascii="Calibri" w:hAnsi="Calibri"/>
          <w:b/>
          <w:i/>
          <w:color w:val="702082"/>
          <w:sz w:val="21"/>
        </w:rPr>
        <w:t>Aspectos a justificar: Ámbito de servidor de los logins y asociación a roles</w:t>
      </w:r>
    </w:p>
    <w:p>
      <w:pPr>
        <w:spacing w:line="276" w:lineRule="auto" w:after="80"/>
        <w:jc w:val="both"/>
      </w:pPr>
      <w:r>
        <w:rPr>
          <w:rFonts w:ascii="Calibri" w:hAnsi="Calibri"/>
          <w:b/>
          <w:color w:val="111111"/>
          <w:sz w:val="22"/>
        </w:rPr>
        <w:t>Se crearon el login studentABD2GB y su usuario de base de datos con iniciales personalizadas para asegurar unicidad y evitar conflictos en instancias multiusuario de servidor. Se le otorgaron los permisos de base de datos del Punto 3 y se le vinculó al rol cursoABD mediante ALTER ROLE cursoABD ADD MEMBER studentABD2GB. Con esto, el nuevo usuario adquiere formalmente las facultades del rol de manera declarativa y verificable en sys.database_role_members.</w:t>
      </w:r>
    </w:p>
    <w:p/>
    <w:p>
      <w:pPr>
        <w:pStyle w:val="Heading2"/>
      </w:pPr>
      <w:r>
        <w:rPr>
          <w:rFonts w:ascii="Calibri" w:hAnsi="Calibri"/>
          <w:b/>
          <w:color w:val="1B365D"/>
          <w:sz w:val="26"/>
        </w:rPr>
        <w:t>PUNTO 15: COMPROBAR LOS PERMISOS HEREDADOS DEL ROL</w:t>
      </w:r>
    </w:p>
    <w:p>
      <w:r>
        <w:rPr>
          <w:rFonts w:ascii="Calibri" w:hAnsi="Calibri"/>
          <w:b/>
          <w:i/>
          <w:color w:val="702082"/>
          <w:sz w:val="21"/>
        </w:rPr>
        <w:t>Aspectos a justificar: Análisis del error con WHERE, éxito sin WHERE, fallo de SELECT y acumulación de permisos</w:t>
      </w:r>
    </w:p>
    <w:p>
      <w:pPr>
        <w:spacing w:line="276" w:lineRule="auto" w:after="80"/>
        <w:jc w:val="both"/>
      </w:pPr>
      <w:r>
        <w:rPr>
          <w:rFonts w:ascii="Calibri" w:hAnsi="Calibri"/>
          <w:b/>
          <w:color w:val="111111"/>
          <w:sz w:val="22"/>
        </w:rPr>
        <w:t>Comportamiento de la eliminación y del error al utilizar cláusula WHERE:</w:t>
      </w:r>
    </w:p>
    <w:p>
      <w:pPr>
        <w:spacing w:line="276" w:lineRule="auto" w:after="80"/>
        <w:jc w:val="both"/>
      </w:pPr>
      <w:r>
        <w:rPr>
          <w:rFonts w:ascii="Calibri" w:hAnsi="Calibri"/>
          <w:b/>
          <w:color w:val="111111"/>
          <w:sz w:val="22"/>
        </w:rPr>
        <w:t>1. Intento de eliminación con predicado (DELETE FROM dbo.UsuarioGB WHERE Id = 1): Generó el error 'Mens. 229, Nivel 14, Estado 5: Se denegó el permiso SELECT en el objeto 'UsuarioGB''. Esto se explica porque, para evaluar una condición de filtrado en una cláusula WHERE, el motor de SQL Server necesita forzosamente leer el valor de la columna evaluada (Id). Como studentABD2GB solo poseía el permiso DELETE heredado del rol y carecía de permiso de lectura (SELECT) sobre la tabla o sobre la columna Id, el motor bloqueó la lectura de la columna impidiendo la ejecución de la sentencia.</w:t>
      </w:r>
    </w:p>
    <w:p>
      <w:pPr>
        <w:spacing w:line="276" w:lineRule="auto" w:after="80"/>
        <w:jc w:val="both"/>
      </w:pPr>
      <w:r>
        <w:rPr>
          <w:rFonts w:ascii="Calibri" w:hAnsi="Calibri"/>
          <w:b/>
          <w:color w:val="111111"/>
          <w:sz w:val="22"/>
        </w:rPr>
        <w:t>2. Eliminación sin cláusula WHERE (DELETE FROM dbo.UsuarioGB): Se ejecutó de forma completamente exitosa ('(1 fila afectada)'), confirmando que el usuario heredó efectivamente el permiso DELETE del rol cursoABD cuando la operación no exige lectura previa de predicados.</w:t>
      </w:r>
    </w:p>
    <w:p>
      <w:pPr>
        <w:spacing w:line="276" w:lineRule="auto" w:after="80"/>
        <w:jc w:val="both"/>
      </w:pPr>
      <w:r>
        <w:rPr>
          <w:rFonts w:ascii="Calibri" w:hAnsi="Calibri"/>
          <w:b/>
          <w:color w:val="111111"/>
          <w:sz w:val="22"/>
        </w:rPr>
        <w:t>3. Consulta general (SELECT * FROM dbo.UsuarioGB): Fue rechazada con el error 'Mens. 229: Se denegó el permiso SELECT en el objeto 'UsuarioGB'', debido a que ni el usuario de forma directa ni el rol al que pertenece disponen de privilegios de lectura.</w:t>
      </w:r>
    </w:p>
    <w:p>
      <w:pPr>
        <w:spacing w:line="276" w:lineRule="auto" w:after="80"/>
        <w:jc w:val="both"/>
      </w:pPr>
      <w:r>
        <w:rPr>
          <w:rFonts w:ascii="Calibri" w:hAnsi="Calibri"/>
          <w:b/>
          <w:color w:val="111111"/>
          <w:sz w:val="22"/>
        </w:rPr>
        <w:t>¿Cómo se acumulan los permisos que un usuario recibe directamente y los que recibe a través de roles?: En SQL Server los permisos son aditivos (se calculan mediante la unión conjuntista de todos los privilegios directos del usuario más los privilegios de cada uno de los roles a los que pertenece). El usuario puede realizar cualquier acción permitida por al menos una de estas fuentes, con la regla estricta de que una denegación explícita (DENY) prevalece sobre cualquier concesión (GRANT).</w:t>
      </w:r>
    </w:p>
    <w:p/>
    <w:p>
      <w:pPr>
        <w:pStyle w:val="Heading2"/>
      </w:pPr>
      <w:r>
        <w:rPr>
          <w:rFonts w:ascii="Calibri" w:hAnsi="Calibri"/>
          <w:b/>
          <w:color w:val="1B365D"/>
          <w:sz w:val="26"/>
        </w:rPr>
        <w:t>PUNTO 16: ELIMINAR LOS USUARIOS CREADOS, EL ROL Y LA TABLA</w:t>
      </w:r>
    </w:p>
    <w:p>
      <w:r>
        <w:rPr>
          <w:rFonts w:ascii="Calibri" w:hAnsi="Calibri"/>
          <w:b/>
          <w:i/>
          <w:color w:val="702082"/>
          <w:sz w:val="21"/>
        </w:rPr>
        <w:t>Aspectos a justificar: Condiciones que impiden DROP USER vs. DROP ROLE y orden de limpieza</w:t>
      </w:r>
    </w:p>
    <w:p>
      <w:pPr>
        <w:spacing w:line="276" w:lineRule="auto" w:after="80"/>
        <w:jc w:val="both"/>
      </w:pPr>
      <w:r>
        <w:rPr>
          <w:rFonts w:ascii="Calibri" w:hAnsi="Calibri"/>
          <w:b/>
          <w:color w:val="111111"/>
          <w:sz w:val="22"/>
        </w:rPr>
        <w:t>Distinción entre las condiciones que impiden DROP USER y DROP ROLE:</w:t>
      </w:r>
    </w:p>
    <w:p>
      <w:pPr>
        <w:spacing w:line="276" w:lineRule="auto" w:after="80"/>
        <w:jc w:val="both"/>
      </w:pPr>
      <w:r>
        <w:rPr>
          <w:rFonts w:ascii="Calibri" w:hAnsi="Calibri"/>
          <w:b/>
          <w:color w:val="111111"/>
          <w:sz w:val="22"/>
        </w:rPr>
        <w:t>1. Condición que impide DROP USER: El motor rechaza eliminar un usuario si este es propietario (owner) de algún objeto protegible (securable) como un esquema, tabla o procedimiento, o si otorgó permisos con WITH GRANT OPTION sin revocar en cascada. El motor impide dejar objetos huérfanos de propietario o cadenas de permisos rotas.</w:t>
      </w:r>
    </w:p>
    <w:p>
      <w:pPr>
        <w:spacing w:line="276" w:lineRule="auto" w:after="80"/>
        <w:jc w:val="both"/>
      </w:pPr>
      <w:r>
        <w:rPr>
          <w:rFonts w:ascii="Calibri" w:hAnsi="Calibri"/>
          <w:b/>
          <w:color w:val="111111"/>
          <w:sz w:val="22"/>
        </w:rPr>
        <w:t>2. Condición que impide DROP ROLE: Un rol no puede ser eliminado si todavía posee miembros asignados. Antes de ejecutar DROP ROLE es mandatorio desasociar a todos sus integrantes mediante ALTER ROLE ... DROP MEMBER.</w:t>
      </w:r>
    </w:p>
    <w:p>
      <w:pPr>
        <w:spacing w:line="276" w:lineRule="auto" w:after="80"/>
        <w:jc w:val="both"/>
      </w:pPr>
      <w:r>
        <w:rPr>
          <w:rFonts w:ascii="Calibri" w:hAnsi="Calibri"/>
          <w:b/>
          <w:color w:val="111111"/>
          <w:sz w:val="22"/>
        </w:rPr>
        <w:t>Se aplicó la revocación recursiva mediante REVOKE ... CASCADE para limpiar los privilegios otorgados con WITH GRANT OPTION, se desvinculó la membresía del usuario, y se eliminaron secuencialmente usuario, login, rol y la tabla UsuarioGB, verificando catálogos limpios.</w:t>
      </w:r>
    </w:p>
    <w:p/>
    <w:p>
      <w:pPr>
        <w:pStyle w:val="Heading2"/>
      </w:pPr>
      <w:r>
        <w:rPr>
          <w:rFonts w:ascii="Calibri" w:hAnsi="Calibri"/>
          <w:b/>
          <w:color w:val="1B365D"/>
          <w:sz w:val="26"/>
        </w:rPr>
        <w:t>PUNTO 17: CREAR LA TABLA CLIENTE</w:t>
      </w:r>
    </w:p>
    <w:p>
      <w:r>
        <w:rPr>
          <w:rFonts w:ascii="Calibri" w:hAnsi="Calibri"/>
          <w:b/>
          <w:i/>
          <w:color w:val="702082"/>
          <w:sz w:val="21"/>
        </w:rPr>
        <w:t>Aspectos a justificar: Diseño de tipos de datos para CLIENTE e integridad física</w:t>
      </w:r>
    </w:p>
    <w:p>
      <w:pPr>
        <w:spacing w:line="276" w:lineRule="auto" w:after="80"/>
        <w:jc w:val="both"/>
      </w:pPr>
      <w:r>
        <w:rPr>
          <w:rFonts w:ascii="Calibri" w:hAnsi="Calibri"/>
          <w:b/>
          <w:color w:val="111111"/>
          <w:sz w:val="22"/>
        </w:rPr>
        <w:t>Se diseñó la tabla CLIENTE con tipos de datos adecuados a la naturaleza de cada atributo:</w:t>
      </w:r>
    </w:p>
    <w:p>
      <w:pPr>
        <w:spacing w:line="276" w:lineRule="auto" w:after="80"/>
        <w:jc w:val="both"/>
      </w:pPr>
      <w:r>
        <w:rPr>
          <w:rFonts w:ascii="Calibri" w:hAnsi="Calibri"/>
          <w:b/>
          <w:color w:val="111111"/>
          <w:sz w:val="22"/>
        </w:rPr>
        <w:t>• Cedula INT NOT NULL: Tipo numérico entero suficiente para documentos de identidad, definido obligatoriamente como NOT NULL para permitir la definición de la clave primaria en el Punto 18.</w:t>
      </w:r>
    </w:p>
    <w:p>
      <w:pPr>
        <w:spacing w:line="276" w:lineRule="auto" w:after="80"/>
        <w:jc w:val="both"/>
      </w:pPr>
      <w:r>
        <w:rPr>
          <w:rFonts w:ascii="Calibri" w:hAnsi="Calibri"/>
          <w:b/>
          <w:color w:val="111111"/>
          <w:sz w:val="22"/>
        </w:rPr>
        <w:t>• Nombre VARCHAR(100) NOT NULL: Cadena de longitud variable optimizada para almacenar nombres de diversas extensiones.</w:t>
      </w:r>
    </w:p>
    <w:p>
      <w:pPr>
        <w:spacing w:line="276" w:lineRule="auto" w:after="80"/>
        <w:jc w:val="both"/>
      </w:pPr>
      <w:r>
        <w:rPr>
          <w:rFonts w:ascii="Calibri" w:hAnsi="Calibri"/>
          <w:b/>
          <w:color w:val="111111"/>
          <w:sz w:val="22"/>
        </w:rPr>
        <w:t>• Sexo CHAR(1) NOT NULL y EstadoCivil CHAR(1) NOT NULL: Tipos de longitud fija de 1 byte sin sobrecarga de encabezado de longitud variable, ideales para códigos discretos.</w:t>
      </w:r>
    </w:p>
    <w:p>
      <w:pPr>
        <w:spacing w:line="276" w:lineRule="auto" w:after="80"/>
        <w:jc w:val="both"/>
      </w:pPr>
      <w:r>
        <w:rPr>
          <w:rFonts w:ascii="Calibri" w:hAnsi="Calibri"/>
          <w:b/>
          <w:color w:val="111111"/>
          <w:sz w:val="22"/>
        </w:rPr>
        <w:t>• Edad INT NOT NULL: Tipo numérico entero para edad.</w:t>
      </w:r>
    </w:p>
    <w:p>
      <w:pPr>
        <w:spacing w:line="276" w:lineRule="auto" w:after="80"/>
        <w:jc w:val="both"/>
      </w:pPr>
      <w:r>
        <w:rPr>
          <w:rFonts w:ascii="Calibri" w:hAnsi="Calibri"/>
          <w:b/>
          <w:color w:val="111111"/>
          <w:sz w:val="22"/>
        </w:rPr>
        <w:t>La tabla se creó inicialmente sin restricciones declarativas para evidenciar la posterior aplicación de restricciones mediante sentencias ALTER TABLE.</w:t>
      </w:r>
    </w:p>
    <w:p/>
    <w:p>
      <w:pPr>
        <w:pStyle w:val="Heading2"/>
      </w:pPr>
      <w:r>
        <w:rPr>
          <w:rFonts w:ascii="Calibri" w:hAnsi="Calibri"/>
          <w:b/>
          <w:color w:val="1B365D"/>
          <w:sz w:val="26"/>
        </w:rPr>
        <w:t>PUNTO 18: RESTRICCIÓN DE CLAVE PRIMARIA</w:t>
      </w:r>
    </w:p>
    <w:p>
      <w:r>
        <w:rPr>
          <w:rFonts w:ascii="Calibri" w:hAnsi="Calibri"/>
          <w:b/>
          <w:i/>
          <w:color w:val="702082"/>
          <w:sz w:val="21"/>
        </w:rPr>
        <w:t>Aspectos a justificar: Índice generado automáticamente y condiciones para CLUSTERED vs. NONCLUSTERED</w:t>
      </w:r>
    </w:p>
    <w:p>
      <w:pPr>
        <w:spacing w:line="276" w:lineRule="auto" w:after="80"/>
        <w:jc w:val="both"/>
      </w:pPr>
      <w:r>
        <w:rPr>
          <w:rFonts w:ascii="Calibri" w:hAnsi="Calibri"/>
          <w:b/>
          <w:color w:val="111111"/>
          <w:sz w:val="22"/>
        </w:rPr>
        <w:t>¿Qué tipo de índice genera SQL Server automáticamente al crear la clave primaria?: Genera de forma predeterminada un índice único agrupado (CLUSTERED INDEX).</w:t>
      </w:r>
    </w:p>
    <w:p>
      <w:pPr>
        <w:spacing w:line="276" w:lineRule="auto" w:after="80"/>
        <w:jc w:val="both"/>
      </w:pPr>
      <w:r>
        <w:rPr>
          <w:rFonts w:ascii="Calibri" w:hAnsi="Calibri"/>
          <w:b/>
          <w:color w:val="111111"/>
          <w:sz w:val="22"/>
        </w:rPr>
        <w:t>¿Bajo qué condiciones ese índice resulta CLUSTERED o NONCLUSTERED?:</w:t>
      </w:r>
    </w:p>
    <w:p>
      <w:pPr>
        <w:spacing w:line="276" w:lineRule="auto" w:after="80"/>
        <w:jc w:val="both"/>
      </w:pPr>
      <w:r>
        <w:rPr>
          <w:rFonts w:ascii="Calibri" w:hAnsi="Calibri"/>
          <w:b/>
          <w:color w:val="111111"/>
          <w:sz w:val="22"/>
        </w:rPr>
        <w:t>1. Resulta CLUSTERED: Ocurre por defecto cuando la tabla es un montículo (heap, es decir, carece de cualquier índice agrupado previo) y no se especifica la palabra clave NONCLUSTERED en la definición.</w:t>
      </w:r>
    </w:p>
    <w:p>
      <w:pPr>
        <w:spacing w:line="276" w:lineRule="auto" w:after="80"/>
        <w:jc w:val="both"/>
      </w:pPr>
      <w:r>
        <w:rPr>
          <w:rFonts w:ascii="Calibri" w:hAnsi="Calibri"/>
          <w:b/>
          <w:color w:val="111111"/>
          <w:sz w:val="22"/>
        </w:rPr>
        <w:t>2. Resulta NONCLUSTERED: Ocurre bajo dos escenarios:</w:t>
      </w:r>
    </w:p>
    <w:p>
      <w:pPr>
        <w:spacing w:line="276" w:lineRule="auto" w:after="80"/>
        <w:jc w:val="both"/>
      </w:pPr>
      <w:r>
        <w:rPr>
          <w:rFonts w:ascii="Calibri" w:hAnsi="Calibri"/>
          <w:b/>
          <w:color w:val="111111"/>
          <w:sz w:val="22"/>
        </w:rPr>
        <w:t>a) Si el usuario lo solicita explícitamente mediante la cláusula PRIMARY KEY NONCLUSTERED.</w:t>
      </w:r>
    </w:p>
    <w:p>
      <w:pPr>
        <w:spacing w:line="276" w:lineRule="auto" w:after="80"/>
        <w:jc w:val="both"/>
      </w:pPr>
      <w:r>
        <w:rPr>
          <w:rFonts w:ascii="Calibri" w:hAnsi="Calibri"/>
          <w:b/>
          <w:color w:val="111111"/>
          <w:sz w:val="22"/>
        </w:rPr>
        <w:t>b) Si la tabla ya poseía previamente un índice agrupado definido sobre otra columna o combinación de columnas, dado que en SQL Server solo puede existir como máximo un único índice agrupado por tabla física (al dictar la ordenación física de los datos en las páginas de almacenamiento).</w:t>
      </w:r>
    </w:p>
    <w:p/>
    <w:p>
      <w:pPr>
        <w:pStyle w:val="Heading2"/>
      </w:pPr>
      <w:r>
        <w:rPr>
          <w:rFonts w:ascii="Calibri" w:hAnsi="Calibri"/>
          <w:b/>
          <w:color w:val="1B365D"/>
          <w:sz w:val="26"/>
        </w:rPr>
        <w:t>PUNTO 19: RESTRICCIÓN CHECK SOBRE EL CAMPO SEXO</w:t>
      </w:r>
    </w:p>
    <w:p>
      <w:r>
        <w:rPr>
          <w:rFonts w:ascii="Calibri" w:hAnsi="Calibri"/>
          <w:b/>
          <w:i/>
          <w:color w:val="702082"/>
          <w:sz w:val="21"/>
        </w:rPr>
        <w:t>Aspectos a justificar: Integridad de dominio y validación en el catálogo</w:t>
      </w:r>
    </w:p>
    <w:p>
      <w:pPr>
        <w:spacing w:line="276" w:lineRule="auto" w:after="80"/>
        <w:jc w:val="both"/>
      </w:pPr>
      <w:r>
        <w:rPr>
          <w:rFonts w:ascii="Calibri" w:hAnsi="Calibri"/>
          <w:b/>
          <w:color w:val="111111"/>
          <w:sz w:val="22"/>
        </w:rPr>
        <w:t>Se implementó la regla de integridad de dominio CK_Cliente_Sexo_GB exigiendo que la columna Sexo solo acepte los valores discretos 'F' o 'M' (CHECK (Sexo IN ('F', 'M'))). A través de la vista sys.check_constraints se verificó que la regla está activa y marcada como de confianza (trusted), lo cual permite al optimizador de consultas utilizarla para simplificación y optimización de planes de consulta (check constraint simplification).</w:t>
      </w:r>
    </w:p>
    <w:p/>
    <w:p>
      <w:pPr>
        <w:pStyle w:val="Heading2"/>
      </w:pPr>
      <w:r>
        <w:rPr>
          <w:rFonts w:ascii="Calibri" w:hAnsi="Calibri"/>
          <w:b/>
          <w:color w:val="1B365D"/>
          <w:sz w:val="26"/>
        </w:rPr>
        <w:t>PUNTO 20: VIOLAR DELIBERADAMENTE LA RESTRICCIÓN CHECK</w:t>
      </w:r>
    </w:p>
    <w:p>
      <w:r>
        <w:rPr>
          <w:rFonts w:ascii="Calibri" w:hAnsi="Calibri"/>
          <w:b/>
          <w:i/>
          <w:color w:val="702082"/>
          <w:sz w:val="21"/>
        </w:rPr>
        <w:t>Aspectos a justificar: ¿Qué sucede, identificación del error y momento de evaluación de restricciones CHECK</w:t>
      </w:r>
    </w:p>
    <w:p>
      <w:pPr>
        <w:spacing w:line="276" w:lineRule="auto" w:after="80"/>
        <w:jc w:val="both"/>
      </w:pPr>
      <w:r>
        <w:rPr>
          <w:rFonts w:ascii="Calibri" w:hAnsi="Calibri"/>
          <w:b/>
          <w:color w:val="111111"/>
          <w:sz w:val="22"/>
        </w:rPr>
        <w:t>¿Qué sucede?: La instrucción INSERT con Sexo = 'O' es rechazada y abortada inmediatamente por el motor; la transacción se cancela y no se almacena ninguna tupla.</w:t>
      </w:r>
    </w:p>
    <w:p>
      <w:pPr>
        <w:spacing w:line="276" w:lineRule="auto" w:after="80"/>
        <w:jc w:val="both"/>
      </w:pPr>
      <w:r>
        <w:rPr>
          <w:rFonts w:ascii="Calibri" w:hAnsi="Calibri"/>
          <w:b/>
          <w:color w:val="111111"/>
          <w:sz w:val="22"/>
        </w:rPr>
        <w:t>Mensaje de error y datos devueltos:</w:t>
      </w:r>
    </w:p>
    <w:p>
      <w:pPr>
        <w:spacing w:line="276" w:lineRule="auto" w:after="80"/>
        <w:jc w:val="both"/>
      </w:pPr>
      <w:r>
        <w:rPr>
          <w:rFonts w:ascii="Calibri" w:hAnsi="Calibri"/>
          <w:b/>
          <w:color w:val="111111"/>
          <w:sz w:val="22"/>
        </w:rPr>
        <w:t>• Mensaje: 'Mens. 547, Nivel 16, Estado 0. Instrucción INSERT en conflicto con la restricción CHECK "CK_Cliente_Sexo_GB". El conflicto ha aparecido en la base de datos "LAB_SEGURIDAD_GB", tabla "dbo.CLIENTE", column 'Sexo'.' (O su versión en inglés).</w:t>
      </w:r>
    </w:p>
    <w:p>
      <w:pPr>
        <w:spacing w:line="276" w:lineRule="auto" w:after="80"/>
        <w:jc w:val="both"/>
      </w:pPr>
      <w:r>
        <w:rPr>
          <w:rFonts w:ascii="Calibri" w:hAnsi="Calibri"/>
          <w:b/>
          <w:color w:val="111111"/>
          <w:sz w:val="22"/>
        </w:rPr>
        <w:t>• Número de error: 547 (Nivel de gravedad 16).</w:t>
      </w:r>
    </w:p>
    <w:p>
      <w:pPr>
        <w:spacing w:line="276" w:lineRule="auto" w:after="80"/>
        <w:jc w:val="both"/>
      </w:pPr>
      <w:r>
        <w:rPr>
          <w:rFonts w:ascii="Calibri" w:hAnsi="Calibri"/>
          <w:b/>
          <w:color w:val="111111"/>
          <w:sz w:val="22"/>
        </w:rPr>
        <w:t>• Nombre de la restricción que lo provocó: CK_Cliente_Sexo_GB.</w:t>
      </w:r>
    </w:p>
    <w:p>
      <w:pPr>
        <w:spacing w:line="276" w:lineRule="auto" w:after="80"/>
        <w:jc w:val="both"/>
      </w:pPr>
      <w:r>
        <w:rPr>
          <w:rFonts w:ascii="Calibri" w:hAnsi="Calibri"/>
          <w:b/>
          <w:color w:val="111111"/>
          <w:sz w:val="22"/>
        </w:rPr>
        <w:t>¿En qué momento evalúa SQL Server las restricciones CHECK?: SQL Server realiza una evaluación inmediata (immediate constraint evaluation) en tiempo de ejecución durante el procesamiento de cada sentencia DML (INSERT o UPDATE), fila por fila antes de confirmar la escritura en el registro de transacciones o en las páginas de datos en memoria. Si el predicado de la restricción resulta FALSE para cualquier tupla, el motor aborta la instrucción. (Nota: Si resulta TRUE o UNKNOWN/NULL la restricción se considera satisfecha, pero al evaluar 'O' IN ('F', 'M') la condición resultó estrictamente FALSE).</w:t>
      </w:r>
    </w:p>
    <w:p/>
    <w:p>
      <w:pPr>
        <w:pStyle w:val="Heading2"/>
      </w:pPr>
      <w:r>
        <w:rPr>
          <w:rFonts w:ascii="Calibri" w:hAnsi="Calibri"/>
          <w:b/>
          <w:color w:val="1B365D"/>
          <w:sz w:val="26"/>
        </w:rPr>
        <w:t>PUNTO 21: CREAR LA TABLA CUENTA</w:t>
      </w:r>
    </w:p>
    <w:p>
      <w:r>
        <w:rPr>
          <w:rFonts w:ascii="Calibri" w:hAnsi="Calibri"/>
          <w:b/>
          <w:i/>
          <w:color w:val="702082"/>
          <w:sz w:val="21"/>
        </w:rPr>
        <w:t>Aspectos a justificar: Elección de tipos de datos para saldo y fecha, y definición de clave primaria</w:t>
      </w:r>
    </w:p>
    <w:p>
      <w:pPr>
        <w:spacing w:line="276" w:lineRule="auto" w:after="80"/>
        <w:jc w:val="both"/>
      </w:pPr>
      <w:r>
        <w:rPr>
          <w:rFonts w:ascii="Calibri" w:hAnsi="Calibri"/>
          <w:b/>
          <w:color w:val="111111"/>
          <w:sz w:val="22"/>
        </w:rPr>
        <w:t>Elección de tipos de datos adecuados:</w:t>
      </w:r>
    </w:p>
    <w:p>
      <w:pPr>
        <w:spacing w:line="276" w:lineRule="auto" w:after="80"/>
        <w:jc w:val="both"/>
      </w:pPr>
      <w:r>
        <w:rPr>
          <w:rFonts w:ascii="Calibri" w:hAnsi="Calibri"/>
          <w:b/>
          <w:color w:val="111111"/>
          <w:sz w:val="22"/>
        </w:rPr>
        <w:t>• FechaApertura DATE: Se utilizó el tipo DATE (3 bytes) en lugar de DATETIME o DATETIME2 porque el requerimiento de negocio solo necesita registrar la fecha civil de apertura, eliminando la sobrecarga innecesaria de registrar componentes de tiempo (hora, minuto, segundo).</w:t>
      </w:r>
    </w:p>
    <w:p>
      <w:pPr>
        <w:spacing w:line="276" w:lineRule="auto" w:after="80"/>
        <w:jc w:val="both"/>
      </w:pPr>
      <w:r>
        <w:rPr>
          <w:rFonts w:ascii="Calibri" w:hAnsi="Calibri"/>
          <w:b/>
          <w:color w:val="111111"/>
          <w:sz w:val="22"/>
        </w:rPr>
        <w:t>• SaldoActual DECIMAL(12, 2): Es mandatorio utilizar un tipo numérico exacto de precisión fija para datos monetarios y financieros. Se descartaron los tipos de punto flotante aproximados (como FLOAT o REAL) para prevenir errores de redondeo binario acumulativos que son inaceptables en contabilidad bancaria.</w:t>
      </w:r>
    </w:p>
    <w:p>
      <w:pPr>
        <w:spacing w:line="276" w:lineRule="auto" w:after="80"/>
        <w:jc w:val="both"/>
      </w:pPr>
      <w:r>
        <w:rPr>
          <w:rFonts w:ascii="Calibri" w:hAnsi="Calibri"/>
          <w:b/>
          <w:color w:val="111111"/>
          <w:sz w:val="22"/>
        </w:rPr>
        <w:t>• NumeroCuenta BIGINT: Clave primaria con nombre explícito PK_Cuenta_GB, asegurando unicidad y rango suficiente para la numeración bancaria.</w:t>
      </w:r>
    </w:p>
    <w:p/>
    <w:p>
      <w:pPr>
        <w:pStyle w:val="Heading2"/>
      </w:pPr>
      <w:r>
        <w:rPr>
          <w:rFonts w:ascii="Calibri" w:hAnsi="Calibri"/>
          <w:b/>
          <w:color w:val="1B365D"/>
          <w:sz w:val="26"/>
        </w:rPr>
        <w:t>PUNTO 22: CREAR LA TABLA POSEE</w:t>
      </w:r>
    </w:p>
    <w:p>
      <w:r>
        <w:rPr>
          <w:rFonts w:ascii="Calibri" w:hAnsi="Calibri"/>
          <w:b/>
          <w:i/>
          <w:color w:val="702082"/>
          <w:sz w:val="21"/>
        </w:rPr>
        <w:t>Aspectos a justificar: Compatibilidad de tipos de dominio y creación desacoplada</w:t>
      </w:r>
    </w:p>
    <w:p>
      <w:pPr>
        <w:spacing w:line="276" w:lineRule="auto" w:after="80"/>
        <w:jc w:val="both"/>
      </w:pPr>
      <w:r>
        <w:rPr>
          <w:rFonts w:ascii="Calibri" w:hAnsi="Calibri"/>
          <w:b/>
          <w:color w:val="111111"/>
          <w:sz w:val="22"/>
        </w:rPr>
        <w:t>Se creó la tabla POSEE asegurando rigurosa coherencia de dominios con sus tablas asociadas: Cedula como INT (idéntico a CLIENTE) y NumeroCuenta como BIGINT (idéntico a CUENTA), permitiendo una vinculación referencial sin incompatibilidades de tipos. Se creó inicialmente sin restricciones declarativas para cumplir con la separación secuencial requerida por la práctica.</w:t>
      </w:r>
    </w:p>
    <w:p/>
    <w:p>
      <w:pPr>
        <w:pStyle w:val="Heading2"/>
      </w:pPr>
      <w:r>
        <w:rPr>
          <w:rFonts w:ascii="Calibri" w:hAnsi="Calibri"/>
          <w:b/>
          <w:color w:val="1B365D"/>
          <w:sz w:val="26"/>
        </w:rPr>
        <w:t>PUNTO 23: CLAVES PRIMARIAS Y FORÁNEAS DE POSEE</w:t>
      </w:r>
    </w:p>
    <w:p>
      <w:r>
        <w:rPr>
          <w:rFonts w:ascii="Calibri" w:hAnsi="Calibri"/>
          <w:b/>
          <w:i/>
          <w:color w:val="702082"/>
          <w:sz w:val="21"/>
        </w:rPr>
        <w:t>Aspectos a justificar: Justificación de clave primaria compuesta, verificación de FK y error provocado</w:t>
      </w:r>
    </w:p>
    <w:p>
      <w:pPr>
        <w:spacing w:line="276" w:lineRule="auto" w:after="80"/>
        <w:jc w:val="both"/>
      </w:pPr>
      <w:r>
        <w:rPr>
          <w:rFonts w:ascii="Calibri" w:hAnsi="Calibri"/>
          <w:b/>
          <w:color w:val="111111"/>
          <w:sz w:val="22"/>
        </w:rPr>
        <w:t>Justificación de la elección de clave primaria: Se definió una clave primaria compuesta sobre (Cedula, NumeroCuenta). Al modelar la relación muchos a muchos (M:N) entre clientes y cuentas (un cliente puede tener varias cuentas y una cuenta puede poseer múltiples cotitulares mancomunados), la combinación de ambas columnas identifica unívocamente la asociación jurídica de titularidad y evita que se duplique la relación de la misma persona con la misma cuenta.</w:t>
      </w:r>
    </w:p>
    <w:p>
      <w:pPr>
        <w:spacing w:line="276" w:lineRule="auto" w:after="80"/>
        <w:jc w:val="both"/>
      </w:pPr>
      <w:r>
        <w:rPr>
          <w:rFonts w:ascii="Calibri" w:hAnsi="Calibri"/>
          <w:b/>
          <w:color w:val="111111"/>
          <w:sz w:val="22"/>
        </w:rPr>
        <w:t>Comprobación de la clave foránea e intento de inserción inválido:</w:t>
      </w:r>
    </w:p>
    <w:p>
      <w:pPr>
        <w:spacing w:line="276" w:lineRule="auto" w:after="80"/>
        <w:jc w:val="both"/>
      </w:pPr>
      <w:r>
        <w:rPr>
          <w:rFonts w:ascii="Calibri" w:hAnsi="Calibri"/>
          <w:b/>
          <w:color w:val="111111"/>
          <w:sz w:val="22"/>
        </w:rPr>
        <w:t>• Al intentar insertar una cuenta inexistente (NumeroCuenta = 999999), el motor arrojó el error: 'Mens. 547, Nivel 16, Estado 0: Instrucción INSERT en conflicto con la restricción FOREIGN KEY "FK_Posee_Cuenta_GB". El conflicto ha aparecido en la base de datos "LAB_SEGURIDAD_GB", tabla "dbo.CUENTA", column 'NumeroCuenta''.</w:t>
      </w:r>
    </w:p>
    <w:p>
      <w:pPr>
        <w:spacing w:line="276" w:lineRule="auto" w:after="80"/>
        <w:jc w:val="both"/>
      </w:pPr>
      <w:r>
        <w:rPr>
          <w:rFonts w:ascii="Calibri" w:hAnsi="Calibri"/>
          <w:b/>
          <w:color w:val="111111"/>
          <w:sz w:val="22"/>
        </w:rPr>
        <w:t>• Esto demostró que la clave foránea con acción NO ACTION predeterminada actuó de forma inmediata impidiendo la creación de referencias huérfanas en la tabla hija.</w:t>
      </w:r>
    </w:p>
    <w:p/>
    <w:p>
      <w:pPr>
        <w:pStyle w:val="Heading2"/>
      </w:pPr>
      <w:r>
        <w:rPr>
          <w:rFonts w:ascii="Calibri" w:hAnsi="Calibri"/>
          <w:b/>
          <w:color w:val="1B365D"/>
          <w:sz w:val="26"/>
        </w:rPr>
        <w:t>PUNTO 24: ELIMINACIÓN EN CASCADA MEDIANTE TRIGGER</w:t>
      </w:r>
    </w:p>
    <w:p>
      <w:r>
        <w:rPr>
          <w:rFonts w:ascii="Calibri" w:hAnsi="Calibri"/>
          <w:b/>
          <w:i/>
          <w:color w:val="702082"/>
          <w:sz w:val="21"/>
        </w:rPr>
        <w:t>Aspectos a justificar: Por qué falla AFTER DELETE, necesidad de INSTEAD OF DELETE, triggers conjuntistas y trigger vs. ON DELETE CASCADE</w:t>
      </w:r>
    </w:p>
    <w:p>
      <w:pPr>
        <w:spacing w:line="276" w:lineRule="auto" w:after="80"/>
        <w:jc w:val="both"/>
      </w:pPr>
      <w:r>
        <w:rPr>
          <w:rFonts w:ascii="Calibri" w:hAnsi="Calibri"/>
          <w:b/>
          <w:color w:val="111111"/>
          <w:sz w:val="22"/>
        </w:rPr>
        <w:t>¿Por qué falla un trigger AFTER DELETE y se requiere un INSTEAD OF DELETE?: En el pipeline de procesamiento de SQL Server, las restricciones declarativas de clave foránea (FOREIGN KEY) se validan antes de que se dispare cualquier trigger AFTER. Como la clave foránea FK_Posee_Cuenta_GB tiene la acción predeterminada NO ACTION, al intentar eliminar una cuenta con registros asociados en POSEE, el motor detecta la infracción referencial y aborta inmediatamente la instrucción antes de que el trigger AFTER llegue a ejecutarse. Por tanto, es mandatorio utilizar un trigger INSTEAD OF DELETE, el cual intercepta y reemplaza la sentencia DELETE antes de la comprobación de claves foráneas, permitiendo borrar primero las filas hijas en POSEE y luego la fila padre en CUENTA.</w:t>
      </w:r>
    </w:p>
    <w:p>
      <w:pPr>
        <w:spacing w:line="276" w:lineRule="auto" w:after="80"/>
        <w:jc w:val="both"/>
      </w:pPr>
      <w:r>
        <w:rPr>
          <w:rFonts w:ascii="Calibri" w:hAnsi="Calibri"/>
          <w:b/>
          <w:color w:val="111111"/>
          <w:sz w:val="22"/>
        </w:rPr>
        <w:t>Naturaleza conjuntista y de sentencia de los triggers en T-SQL: En SQL Server los triggers se disparan una única vez por instrucción (statement-level) y no por cada fila afectada. El trigger accede a los registros involucrados mediante la tabla lógica en memoria 'deleted'. Por ende, el código del trigger debe escribirse siempre mediante operaciones conjuntistas (joins basados en conjuntos de datos) y nunca asumiendo una única fila o usando cursores iterativos.</w:t>
      </w:r>
    </w:p>
    <w:p>
      <w:pPr>
        <w:spacing w:line="276" w:lineRule="auto" w:after="80"/>
        <w:jc w:val="both"/>
      </w:pPr>
      <w:r>
        <w:rPr>
          <w:rFonts w:ascii="Calibri" w:hAnsi="Calibri"/>
          <w:b/>
          <w:color w:val="111111"/>
          <w:sz w:val="22"/>
        </w:rPr>
        <w:t>Diferencia entre Trigger vs. ON DELETE CASCADE declarativo y cuándo conviene cada alternativa:</w:t>
      </w:r>
    </w:p>
    <w:p>
      <w:pPr>
        <w:spacing w:line="276" w:lineRule="auto" w:after="80"/>
        <w:jc w:val="both"/>
      </w:pPr>
      <w:r>
        <w:rPr>
          <w:rFonts w:ascii="Calibri" w:hAnsi="Calibri"/>
          <w:b/>
          <w:color w:val="111111"/>
          <w:sz w:val="22"/>
        </w:rPr>
        <w:t>1. ON DELETE CASCADE (Declarativo): Es resuelto a nivel de motor en el catálogo de claves foráneas. Ofrece mayor velocidad y óptimo rendimiento. Conviene cuando la propagación de borrado es directa, estándar y sin reglas de negocio adicionales.</w:t>
      </w:r>
    </w:p>
    <w:p>
      <w:pPr>
        <w:spacing w:line="276" w:lineRule="auto" w:after="80"/>
        <w:jc w:val="both"/>
      </w:pPr>
      <w:r>
        <w:rPr>
          <w:rFonts w:ascii="Calibri" w:hAnsi="Calibri"/>
          <w:b/>
          <w:color w:val="111111"/>
          <w:sz w:val="22"/>
        </w:rPr>
        <w:t>2. Trigger INSTEAD OF DELETE (Procedural): Es código ejecutable programado por el desarrollador. Conviene cuando se requieren validaciones complejas de negocio antes de permitir el borrado (por ejemplo verificar saldo cero, registrar auditorías históricas o realizar borrado lógico/soft delete), o cuando el modelo de datos presenta restricciones del motor como rutas en cascada múltiples o ciclos referenciales que SQL Server prohíbe resolver declarativamente con ON DELETE CASCADE.</w:t>
      </w:r>
    </w:p>
    <w:p/>
    <w:p>
      <w:pPr>
        <w:pStyle w:val="Heading2"/>
      </w:pPr>
      <w:r>
        <w:rPr>
          <w:rFonts w:ascii="Calibri" w:hAnsi="Calibri"/>
          <w:b/>
          <w:color w:val="1B365D"/>
          <w:sz w:val="26"/>
        </w:rPr>
        <w:t>PUNTO 25: ELIMINAR LOS OBJETOS CREADOS</w:t>
      </w:r>
    </w:p>
    <w:p>
      <w:r>
        <w:rPr>
          <w:rFonts w:ascii="Calibri" w:hAnsi="Calibri"/>
          <w:b/>
          <w:i/>
          <w:color w:val="702082"/>
          <w:sz w:val="21"/>
        </w:rPr>
        <w:t>Aspectos a justificar: ¿Es necesario borrar el trigger por separado? y justificación del orden de borrado de tablas con claves foráneas</w:t>
      </w:r>
    </w:p>
    <w:p>
      <w:pPr>
        <w:spacing w:line="276" w:lineRule="auto" w:after="80"/>
        <w:jc w:val="both"/>
      </w:pPr>
      <w:r>
        <w:rPr>
          <w:rFonts w:ascii="Calibri" w:hAnsi="Calibri"/>
          <w:b/>
          <w:color w:val="111111"/>
          <w:sz w:val="22"/>
        </w:rPr>
        <w:t>¿Es realmente necesario eliminar el trigger por separado o el motor lo elimina con la tabla?: No es necesario eliminar el trigger de forma independiente con DROP TRIGGER. En SQL Server los triggers DML son objetos subordinados dependientes de la tabla (table-scoped). Cuando se ejecuta DROP TABLE dbo.CUENTA, el motor elimina de forma automática e implícita todos los triggers, índices y restricciones asociadas a esa tabla en el catálogo del sistema.</w:t>
      </w:r>
    </w:p>
    <w:p>
      <w:pPr>
        <w:spacing w:line="276" w:lineRule="auto" w:after="80"/>
        <w:jc w:val="both"/>
      </w:pPr>
      <w:r>
        <w:rPr>
          <w:rFonts w:ascii="Calibri" w:hAnsi="Calibri"/>
          <w:b/>
          <w:color w:val="111111"/>
          <w:sz w:val="22"/>
        </w:rPr>
        <w:t>¿Por qué el orden de eliminación de las tablas sí importa cuando existen claves foráneas?: El orden de eliminación es estrictamente jerárquico debido a las reglas de integridad referencial. SQL Server prohíbe tajantemente eliminar una tabla padre mediante DROP TABLE si existen claves foráneas activas en otras tablas que apunten hacia ella. Si se intentase eliminar CUENTA o CLIENTE antes de POSEE, el motor abortaría la acción con el error 'Mens. 3726: No se puede quitar el objeto porque la restricción FOREIGN KEY hace referencia a él'. En consecuencia, el desmantelamiento debe realizarse obligatoriamente en el orden inverso al árbol de dependencias: primero las tablas dependientes o hijas (POSEE) y posteriormente las tablas maestras o referenciadas (CUENTA y CLIENTE).</w:t>
      </w:r>
    </w:p>
    <w:p/>
    <w:p>
      <w:r>
        <w:br w:type="page"/>
      </w:r>
    </w:p>
    <w:p>
      <w:pPr>
        <w:spacing w:before="240" w:after="40"/>
        <w:jc w:val="center"/>
      </w:pPr>
      <w:r>
        <w:rPr>
          <w:rFonts w:ascii="Calibri" w:hAnsi="Calibri"/>
          <w:b/>
          <w:color w:val="1F497D"/>
          <w:sz w:val="22"/>
        </w:rPr>
        <w:t>UNIVERSIDAD CENTRAL DE VENEZUELA</w:t>
        <w:br/>
        <w:t>FACULTAD DE CIENCIAS — ESCUELA DE COMPUTACIÓN</w:t>
        <w:br/>
        <w:t>ADMINISTRACIÓN DE BASES DE DATOS (SEMESTRE 1-2026)</w:t>
      </w:r>
    </w:p>
    <w:p>
      <w:pPr>
        <w:spacing w:before="160" w:after="80"/>
        <w:jc w:val="center"/>
      </w:pPr>
      <w:r>
        <w:rPr>
          <w:rFonts w:ascii="Calibri" w:hAnsi="Calibri"/>
          <w:b/>
          <w:color w:val="17365D"/>
          <w:sz w:val="30"/>
        </w:rPr>
        <w:t>PROYECTO II: PLATAFORMA INTEGRAL COMPUCOMISIONES, C.A.</w:t>
        <w:br/>
        <w:t>COMPENDIO DE JUSTIFICACIONES TÉCNICAS, ARQUITECTURA FÍSICA,</w:t>
        <w:br/>
        <w:t>MODELO DE SEGURIDAD E INTEGRIDAD DE DATOS</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00" w:type="dxa"/>
              <w:bottom w:w="100" w:type="dxa"/>
              <w:left w:w="150" w:type="dxa"/>
              <w:right w:w="150" w:type="dxa"/>
            </w:tcMar>
            <w:tcBorders>
              <w:left w:val="single" w:sz="24" w:space="0" w:color="1F497D"/>
              <w:top w:val="none"/>
              <w:bottom w:val="none"/>
              <w:right w:val="none"/>
            </w:tcBorders>
          </w:tcPr>
          <w:p>
            <w:pPr>
              <w:spacing w:before="40" w:after="40" w:line="276" w:lineRule="auto"/>
            </w:pPr>
            <w:r>
              <w:rPr>
                <w:rFonts w:ascii="Calibri" w:hAnsi="Calibri"/>
                <w:b/>
                <w:color w:val="1F497D"/>
                <w:sz w:val="21"/>
              </w:rPr>
              <w:t xml:space="preserve">Nota de rigor y sincronización técnica: </w:t>
            </w:r>
            <w:r>
              <w:rPr>
                <w:rFonts w:ascii="Calibri" w:hAnsi="Calibri"/>
                <w:b/>
                <w:color w:val="262626"/>
                <w:sz w:val="21"/>
              </w:rPr>
              <w:t>El presente compendio justifica exhaustivamente las decisiones de diseño arquitectónico, físico, de seguridad, procedimentales y de integridad de datos implementadas para CompuComisiones, C.A. Se encuentra 100% sincronizado con las validaciones y auditorías realizadas sobre el motor Microsoft SQL Server en los scripts de la entrega (01_Creacion_BD_Filegroups_Seguridad.sql a 05_Pruebas_Validacion.sql). Conforme a los estándares docentes, todas las respuestas y justificaciones analíticas se presentan en negrita con redacción técnica formal.</w:t>
            </w:r>
          </w:p>
        </w:tc>
      </w:tr>
    </w:tbl>
    <w:p>
      <w:pPr>
        <w:spacing w:before="0" w:after="80"/>
      </w:pPr>
    </w:p>
    <w:p>
      <w:pPr>
        <w:keepNext/>
        <w:spacing w:before="320" w:after="120"/>
      </w:pPr>
      <w:r>
        <w:rPr>
          <w:rFonts w:ascii="Calibri" w:hAnsi="Calibri"/>
          <w:b/>
          <w:color w:val="1F497D"/>
          <w:sz w:val="28"/>
        </w:rPr>
        <w:t>SECCIÓN 1: ARQUITECTURA DE ALMACENAMIENTO FÍSICO Y GESTIÓN DE FILEGROUPS</w:t>
      </w:r>
    </w:p>
    <w:p>
      <w:pPr>
        <w:keepNext/>
        <w:spacing w:before="240" w:after="80"/>
      </w:pPr>
      <w:r>
        <w:rPr>
          <w:rFonts w:ascii="Calibri" w:hAnsi="Calibri"/>
          <w:b/>
          <w:color w:val="365F91"/>
          <w:sz w:val="24"/>
        </w:rPr>
        <w:t>1.1. Prohibición de Objetos de Usuario en el Filegroup PRIMARY</w:t>
      </w:r>
    </w:p>
    <w:p>
      <w:pPr>
        <w:spacing w:before="0" w:after="120" w:line="276" w:lineRule="auto"/>
      </w:pPr>
      <w:r>
        <w:rPr>
          <w:rFonts w:ascii="Calibri" w:hAnsi="Calibri"/>
          <w:b/>
          <w:color w:val="262626"/>
          <w:sz w:val="22"/>
        </w:rPr>
        <w:t>Por estricta política corporativa y directrices de la cátedra de Administración de Bases de Datos, ningún objeto de usuario (tablas base, vistas indexadas, heaps o índices) puede residir en el filegroup PRIMARY. El filegroup PRIMARY se reservó de manera exclusiva para alojar los metadatos del catálogo del sistema (sys.sysobjects, sys.syscolumns, sys.sysindexes, vistas del esquema de información, etc.) y los procedimientos internos del motor.</w:t>
      </w:r>
    </w:p>
    <w:p>
      <w:pPr>
        <w:spacing w:before="0" w:after="120" w:line="276" w:lineRule="auto"/>
      </w:pPr>
      <w:r>
        <w:rPr>
          <w:rFonts w:ascii="Calibri" w:hAnsi="Calibri"/>
          <w:b/>
          <w:color w:val="262626"/>
          <w:sz w:val="22"/>
        </w:rPr>
        <w:t>Esta decisión se fundamenta en principios críticos de administración de infraestructura empresarial:</w:t>
      </w:r>
    </w:p>
    <w:p>
      <w:pPr>
        <w:pStyle w:val="ListBullet"/>
        <w:spacing w:before="20" w:after="60" w:line="276" w:lineRule="auto"/>
      </w:pPr>
      <w:r>
        <w:rPr>
          <w:rFonts w:ascii="Calibri" w:hAnsi="Calibri"/>
          <w:b/>
          <w:color w:val="1F497D"/>
          <w:sz w:val="21"/>
        </w:rPr>
        <w:t xml:space="preserve">Aislamiento de Fallos y Contención de E/S: </w:t>
      </w:r>
      <w:r>
        <w:rPr>
          <w:rFonts w:ascii="Calibri" w:hAnsi="Calibri"/>
          <w:b/>
          <w:color w:val="262626"/>
          <w:sz w:val="21"/>
        </w:rPr>
        <w:t>Evita que el crecimiento acelerado de los datos operativos de facturación y liquidación compita por espacio físico o bloquee las páginas de control del sistema (PFS, GAM, SGAM, boot page) ubicadas en el archivo maestro (.mdf).</w:t>
      </w:r>
    </w:p>
    <w:p>
      <w:pPr>
        <w:pStyle w:val="ListBullet"/>
        <w:spacing w:before="20" w:after="60" w:line="276" w:lineRule="auto"/>
      </w:pPr>
      <w:r>
        <w:rPr>
          <w:rFonts w:ascii="Calibri" w:hAnsi="Calibri"/>
          <w:b/>
          <w:color w:val="1F497D"/>
          <w:sz w:val="21"/>
        </w:rPr>
        <w:t xml:space="preserve">Estrategias de Respaldo y Restauración por Piezas (Piecemeal / Partial Restore): </w:t>
      </w:r>
      <w:r>
        <w:rPr>
          <w:rFonts w:ascii="Calibri" w:hAnsi="Calibri"/>
          <w:b/>
          <w:color w:val="262626"/>
          <w:sz w:val="21"/>
        </w:rPr>
        <w:t>Al mantener el filegroup PRIMARY limpio y liviano (10 MB iniciales), una operación de desastre o contingencia permite restaurar el PRIMARY en cuestión de segundos, dejando la base de datos en estado de recuperación operativa de metadatos antes de sincronizar los filegroups de usuario.</w:t>
      </w:r>
    </w:p>
    <w:p>
      <w:pPr>
        <w:pStyle w:val="ListBullet"/>
        <w:spacing w:before="20" w:after="60" w:line="276" w:lineRule="auto"/>
      </w:pPr>
      <w:r>
        <w:rPr>
          <w:rFonts w:ascii="Calibri" w:hAnsi="Calibri"/>
          <w:b/>
          <w:color w:val="1F497D"/>
          <w:sz w:val="21"/>
        </w:rPr>
        <w:t xml:space="preserve">Garantía de Cumplimiento: </w:t>
      </w:r>
      <w:r>
        <w:rPr>
          <w:rFonts w:ascii="Calibri" w:hAnsi="Calibri"/>
          <w:b/>
          <w:color w:val="262626"/>
          <w:sz w:val="21"/>
        </w:rPr>
        <w:t>Se ejecutó la instrucción ALTER DATABASE CompuComisiones MODIFY FILEGROUP FG_COMPU_DATA DEFAULT;. Con esto, cualquier objeto creado por desarrolladores o administradores sin especificar la cláusula ON se enruta automáticamente al filegroup de datos y jamás contamina el PRIMARY. Dicha condición fue auditada formalmente en la Batería de Pruebas (Prueba 1.1 de 05_Pruebas_Validacion.sql), confirmando 0 tablas de usuario en PRIMARY.</w:t>
      </w:r>
    </w:p>
    <w:p>
      <w:pPr>
        <w:keepNext/>
        <w:spacing w:before="240" w:after="80"/>
      </w:pPr>
      <w:r>
        <w:rPr>
          <w:rFonts w:ascii="Calibri" w:hAnsi="Calibri"/>
          <w:b/>
          <w:color w:val="365F91"/>
          <w:sz w:val="24"/>
        </w:rPr>
        <w:t>1.2. Separación Física entre Datos (FG_COMPU_DATA) e Índices (FG_COMPU_INDEX)</w:t>
      </w:r>
    </w:p>
    <w:p>
      <w:pPr>
        <w:spacing w:before="0" w:after="120" w:line="276" w:lineRule="auto"/>
      </w:pPr>
      <w:r>
        <w:rPr>
          <w:rFonts w:ascii="Calibri" w:hAnsi="Calibri"/>
          <w:b/>
          <w:color w:val="262626"/>
          <w:sz w:val="22"/>
        </w:rPr>
        <w:t>Se diseñó una arquitectura de doble grupo de archivos secundarios (.ndf) para desacoplar físicamente el almacenamiento de las tuplas operativas respecto a las estructuras de acceso rápido B-Tree:</w:t>
      </w:r>
    </w:p>
    <w:p>
      <w:pPr>
        <w:pStyle w:val="ListBullet"/>
        <w:spacing w:before="20" w:after="60" w:line="276" w:lineRule="auto"/>
      </w:pPr>
      <w:r>
        <w:rPr>
          <w:rFonts w:ascii="Calibri" w:hAnsi="Calibri"/>
          <w:b/>
          <w:color w:val="1F497D"/>
          <w:sz w:val="21"/>
        </w:rPr>
        <w:t xml:space="preserve">FG_COMPU_DATA (CompuComisiones_Data.ndf, 50MB inicial, crecimiento de 10MB): </w:t>
      </w:r>
      <w:r>
        <w:rPr>
          <w:rFonts w:ascii="Calibri" w:hAnsi="Calibri"/>
          <w:b/>
          <w:color w:val="262626"/>
          <w:sz w:val="21"/>
        </w:rPr>
        <w:t>Almacena exclusivamente las 18 tablas del esquema comisiones junto con sus índices agrupados (Clustered Indexes), los cuales dictan la ordenación física directa de las páginas de datos en disco.</w:t>
      </w:r>
    </w:p>
    <w:p>
      <w:pPr>
        <w:pStyle w:val="ListBullet"/>
        <w:spacing w:before="20" w:after="60" w:line="276" w:lineRule="auto"/>
      </w:pPr>
      <w:r>
        <w:rPr>
          <w:rFonts w:ascii="Calibri" w:hAnsi="Calibri"/>
          <w:b/>
          <w:color w:val="1F497D"/>
          <w:sz w:val="21"/>
        </w:rPr>
        <w:t xml:space="preserve">FG_COMPU_INDEX (CompuComisiones_Index.ndf, 30MB inicial, crecimiento de 10MB): </w:t>
      </w:r>
      <w:r>
        <w:rPr>
          <w:rFonts w:ascii="Calibri" w:hAnsi="Calibri"/>
          <w:b/>
          <w:color w:val="262626"/>
          <w:sz w:val="21"/>
        </w:rPr>
        <w:t>Almacena la totalidad de los índices no agrupados (NONCLUSTERED) de la solución, tanto los que refuerzan claves alternas (AK/UNIQUE) como los que aceleran búsquedas secundarias.</w:t>
      </w:r>
    </w:p>
    <w:p>
      <w:pPr>
        <w:spacing w:before="0" w:after="120" w:line="276" w:lineRule="auto"/>
      </w:pPr>
      <w:r>
        <w:rPr>
          <w:rFonts w:ascii="Calibri" w:hAnsi="Calibri"/>
          <w:b/>
          <w:color w:val="262626"/>
          <w:sz w:val="22"/>
        </w:rPr>
        <w:t>Justificación de E/S y Concurrencia de la Separación:</w:t>
      </w:r>
    </w:p>
    <w:p>
      <w:pPr>
        <w:pStyle w:val="ListBullet"/>
        <w:spacing w:before="20" w:after="60" w:line="276" w:lineRule="auto"/>
      </w:pPr>
      <w:r>
        <w:rPr>
          <w:rFonts w:ascii="Calibri" w:hAnsi="Calibri"/>
          <w:b/>
          <w:color w:val="1F497D"/>
          <w:sz w:val="21"/>
        </w:rPr>
        <w:t xml:space="preserve">Paralelismo de Canales de E/S (I/O Concurrency): </w:t>
      </w:r>
      <w:r>
        <w:rPr>
          <w:rFonts w:ascii="Calibri" w:hAnsi="Calibri"/>
          <w:b/>
          <w:color w:val="262626"/>
          <w:sz w:val="21"/>
        </w:rPr>
        <w:t>Al residir en contenedores lógicos separados, el motor de SQL Server puede mapear ambos archivos a arreglos de discos físicos o LUNs independientes (por ejemplo, RAID 10 para datos transaccionales de escritura intensa y RAID 1 o SSD NVMe ultrarrápidos para índices de lectura frecuente). Esto previene la contención de cabezales y maximiza el ancho de banda del subsistema de almacenamiento.</w:t>
      </w:r>
    </w:p>
    <w:p>
      <w:pPr>
        <w:pStyle w:val="ListBullet"/>
        <w:spacing w:before="20" w:after="60" w:line="276" w:lineRule="auto"/>
      </w:pPr>
      <w:r>
        <w:rPr>
          <w:rFonts w:ascii="Calibri" w:hAnsi="Calibri"/>
          <w:b/>
          <w:color w:val="1F497D"/>
          <w:sz w:val="21"/>
        </w:rPr>
        <w:t xml:space="preserve">Mantenimiento Desacoplado sin Bloqueo de Datos: </w:t>
      </w:r>
      <w:r>
        <w:rPr>
          <w:rFonts w:ascii="Calibri" w:hAnsi="Calibri"/>
          <w:b/>
          <w:color w:val="262626"/>
          <w:sz w:val="21"/>
        </w:rPr>
        <w:t>Permite ejecutar operaciones intensivas de desfragmentación, reorganización (INDEX REORGANIZE) y reconstrucción en línea (INDEX REBUILD WITH (ONLINE = ON)) sobre FG_COMPU_INDEX sin degradar el rendimiento de lectura/escritura de las páginas base en FG_COMPU_DATA.</w:t>
      </w:r>
    </w:p>
    <w:p>
      <w:pPr>
        <w:keepNext/>
        <w:spacing w:before="320" w:after="120"/>
      </w:pPr>
      <w:r>
        <w:rPr>
          <w:rFonts w:ascii="Calibri" w:hAnsi="Calibri"/>
          <w:b/>
          <w:color w:val="1F497D"/>
          <w:sz w:val="28"/>
        </w:rPr>
        <w:t>SECCIÓN 2: ARQUITECTURA DE SEGURIDAD, AUTORIZACIÓN Y CONTROL DE ACCESO (RBAC)</w:t>
      </w:r>
    </w:p>
    <w:p>
      <w:pPr>
        <w:keepNext/>
        <w:spacing w:before="240" w:after="80"/>
      </w:pPr>
      <w:r>
        <w:rPr>
          <w:rFonts w:ascii="Calibri" w:hAnsi="Calibri"/>
          <w:b/>
          <w:color w:val="365F91"/>
          <w:sz w:val="24"/>
        </w:rPr>
        <w:t>2.1. Usuario Propietario del Esquema SIN LOGIN (WITHOUT LOGIN)</w:t>
      </w:r>
    </w:p>
    <w:p>
      <w:pPr>
        <w:spacing w:before="0" w:after="120" w:line="276" w:lineRule="auto"/>
      </w:pPr>
      <w:r>
        <w:rPr>
          <w:rFonts w:ascii="Calibri" w:hAnsi="Calibri"/>
          <w:b/>
          <w:color w:val="262626"/>
          <w:sz w:val="22"/>
        </w:rPr>
        <w:t>El requerimiento de la empresa exige textualmente: 'el usuario propietario del esquema donde se almacena la base de datos no podrá iniciar sesión ni conectarse a la instancia: solo podrán conectarse los usuarios que posean alguno de los roles ya definidos'.</w:t>
      </w:r>
    </w:p>
    <w:p>
      <w:pPr>
        <w:spacing w:before="0" w:after="120" w:line="276" w:lineRule="auto"/>
      </w:pPr>
      <w:r>
        <w:rPr>
          <w:rFonts w:ascii="Calibri" w:hAnsi="Calibri"/>
          <w:b/>
          <w:color w:val="262626"/>
          <w:sz w:val="22"/>
        </w:rPr>
        <w:t>Para materializar esta directriz se implementó el patrón de seguridad de Propietario de Esquema Aislado mediante la instrucción:</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00" w:type="dxa"/>
              <w:bottom w:w="100" w:type="dxa"/>
              <w:left w:w="150" w:type="dxa"/>
              <w:right w:w="150" w:type="dxa"/>
            </w:tcMar>
            <w:tcBorders>
              <w:left w:val="single" w:sz="24" w:space="0" w:color="1F497D"/>
              <w:top w:val="none"/>
              <w:bottom w:val="none"/>
              <w:right w:val="none"/>
            </w:tcBorders>
          </w:tcPr>
          <w:p>
            <w:pPr>
              <w:spacing w:before="40" w:after="40" w:line="276" w:lineRule="auto"/>
            </w:pPr>
            <w:r>
              <w:rPr>
                <w:rFonts w:ascii="Calibri" w:hAnsi="Calibri"/>
                <w:b/>
                <w:color w:val="1F497D"/>
                <w:sz w:val="21"/>
              </w:rPr>
              <w:t xml:space="preserve">Implementación T-SQL en 01_Creacion_BD_Filegroups_Seguridad.sql: </w:t>
            </w:r>
            <w:r>
              <w:rPr>
                <w:rFonts w:ascii="Calibri" w:hAnsi="Calibri"/>
                <w:b/>
                <w:color w:val="262626"/>
                <w:sz w:val="21"/>
              </w:rPr>
              <w:t>CREATE USER usr_schema_owner WITHOUT LOGIN;</w:t>
              <w:br/>
              <w:t>GO</w:t>
              <w:br/>
              <w:t>CREATE SCHEMA comisiones AUTHORIZATION usr_schema_owner;</w:t>
              <w:br/>
              <w:t>GO</w:t>
            </w:r>
          </w:p>
        </w:tc>
      </w:tr>
    </w:tbl>
    <w:p>
      <w:pPr>
        <w:spacing w:before="0" w:after="80"/>
      </w:pPr>
    </w:p>
    <w:p>
      <w:pPr>
        <w:spacing w:before="0" w:after="120" w:line="276" w:lineRule="auto"/>
      </w:pPr>
      <w:r>
        <w:rPr>
          <w:rFonts w:ascii="Calibri" w:hAnsi="Calibri"/>
          <w:b/>
          <w:color w:val="262626"/>
          <w:sz w:val="22"/>
        </w:rPr>
        <w:t>Justificación Técnica y Fundamentos de Ciberseguridad:</w:t>
      </w:r>
    </w:p>
    <w:p>
      <w:pPr>
        <w:pStyle w:val="ListBullet"/>
        <w:spacing w:before="20" w:after="60" w:line="276" w:lineRule="auto"/>
      </w:pPr>
      <w:r>
        <w:rPr>
          <w:rFonts w:ascii="Calibri" w:hAnsi="Calibri"/>
          <w:b/>
          <w:color w:val="1F497D"/>
          <w:sz w:val="21"/>
        </w:rPr>
        <w:t xml:space="preserve">Prevención Total de Conexión Directa: </w:t>
      </w:r>
      <w:r>
        <w:rPr>
          <w:rFonts w:ascii="Calibri" w:hAnsi="Calibri"/>
          <w:b/>
          <w:color w:val="262626"/>
          <w:sz w:val="21"/>
        </w:rPr>
        <w:t>Un usuario creado WITHOUT LOGIN carece por definición de un Principal de Servidor (sys.server_principals). No tiene contraseña asociada, ni cuenta de Windows vinculada, ni token de autenticación. Es físicamente imposible iniciar una sesión de TDS (Tabular Data Stream), abrir SSMS, conectarse vía ODBC o autenticarse mediante CLI con dicha identidad.</w:t>
      </w:r>
    </w:p>
    <w:p>
      <w:pPr>
        <w:pStyle w:val="ListBullet"/>
        <w:spacing w:before="20" w:after="60" w:line="276" w:lineRule="auto"/>
      </w:pPr>
      <w:r>
        <w:rPr>
          <w:rFonts w:ascii="Calibri" w:hAnsi="Calibri"/>
          <w:b/>
          <w:color w:val="1F497D"/>
          <w:sz w:val="21"/>
        </w:rPr>
        <w:t xml:space="preserve">Prevención de Elevación de Privilegios (Privilege Escalation): </w:t>
      </w:r>
      <w:r>
        <w:rPr>
          <w:rFonts w:ascii="Calibri" w:hAnsi="Calibri"/>
          <w:b/>
          <w:color w:val="262626"/>
          <w:sz w:val="21"/>
        </w:rPr>
        <w:t>En arquitecturas vulnerables, si el propietario de un esquema posee un login con permisos elevados (como sysadmin o db_owner), cualquier inyección de código SQL o suplantación de identidad (EXECUTE AS) podría escalar privilegios y comprometer el servidor completo. Al ser un usuario huérfano de login y confinado como dueño exclusivo del esquema comisiones, actúa como un contenedor estéril de propiedad.</w:t>
      </w:r>
    </w:p>
    <w:p>
      <w:pPr>
        <w:pStyle w:val="ListBullet"/>
        <w:spacing w:before="20" w:after="60" w:line="276" w:lineRule="auto"/>
      </w:pPr>
      <w:r>
        <w:rPr>
          <w:rFonts w:ascii="Calibri" w:hAnsi="Calibri"/>
          <w:b/>
          <w:color w:val="1F497D"/>
          <w:sz w:val="21"/>
        </w:rPr>
        <w:t xml:space="preserve">Encapsulamiento del Ownership Chaining: </w:t>
      </w:r>
      <w:r>
        <w:rPr>
          <w:rFonts w:ascii="Calibri" w:hAnsi="Calibri"/>
          <w:b/>
          <w:color w:val="262626"/>
          <w:sz w:val="21"/>
        </w:rPr>
        <w:t>Permite que los procedimientos almacenados, vistas y funciones del esquema comisiones compartan el mismo propietario (usr_schema_owner), habilitando la 'cadena de propiedad' de SQL Server. Gracias a esto, un usuario que pertenezca a un rol determinado puede ejecutar un procedimiento sin necesidad de poseer permisos directos de SELECT, INSERT o UPDATE sobre las tablas subyacentes.</w:t>
      </w:r>
    </w:p>
    <w:p>
      <w:pPr>
        <w:keepNext/>
        <w:spacing w:before="240" w:after="80"/>
      </w:pPr>
      <w:r>
        <w:rPr>
          <w:rFonts w:ascii="Calibri" w:hAnsi="Calibri"/>
          <w:b/>
          <w:color w:val="365F91"/>
          <w:sz w:val="24"/>
        </w:rPr>
        <w:t>2.2. Implementación del Modelo de Roles RBAC (Role-Based Access Control)</w:t>
      </w:r>
    </w:p>
    <w:p>
      <w:pPr>
        <w:spacing w:before="0" w:after="120" w:line="276" w:lineRule="auto"/>
      </w:pPr>
      <w:r>
        <w:rPr>
          <w:rFonts w:ascii="Calibri" w:hAnsi="Calibri"/>
          <w:b/>
          <w:color w:val="262626"/>
          <w:sz w:val="22"/>
        </w:rPr>
        <w:t>Se diseñó una arquitectura de seguridad basada en el principio de mínimo privilegio (Least Privilege) con 3 roles de base de datos definidos en el enunciado:</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90" w:type="dxa"/>
              <w:bottom w:w="90" w:type="dxa"/>
              <w:left w:w="100" w:type="dxa"/>
              <w:right w:w="100" w:type="dxa"/>
            </w:tcMar>
          </w:tcPr>
          <w:p>
            <w:pPr>
              <w:jc w:val="center"/>
            </w:pPr>
            <w:r>
              <w:rPr>
                <w:rFonts w:ascii="Calibri" w:hAnsi="Calibri"/>
                <w:b/>
                <w:color w:val="FFFFFF"/>
                <w:sz w:val="19"/>
              </w:rPr>
              <w:t>Rol de Base de Datos</w:t>
            </w:r>
          </w:p>
        </w:tc>
        <w:tc>
          <w:tcPr>
            <w:tcW w:type="dxa" w:w="3168"/>
            <w:shd w:val="clear" w:color="auto" w:fill="1F497D"/>
            <w:tcMar>
              <w:top w:w="90" w:type="dxa"/>
              <w:bottom w:w="90" w:type="dxa"/>
              <w:left w:w="100" w:type="dxa"/>
              <w:right w:w="100" w:type="dxa"/>
            </w:tcMar>
          </w:tcPr>
          <w:p>
            <w:pPr>
              <w:jc w:val="center"/>
            </w:pPr>
            <w:r>
              <w:rPr>
                <w:rFonts w:ascii="Calibri" w:hAnsi="Calibri"/>
                <w:b/>
                <w:color w:val="FFFFFF"/>
                <w:sz w:val="19"/>
              </w:rPr>
              <w:t>Permisos Otorgados</w:t>
            </w:r>
          </w:p>
        </w:tc>
        <w:tc>
          <w:tcPr>
            <w:tcW w:type="dxa" w:w="4032"/>
            <w:shd w:val="clear" w:color="auto" w:fill="1F497D"/>
            <w:tcMar>
              <w:top w:w="90" w:type="dxa"/>
              <w:bottom w:w="90" w:type="dxa"/>
              <w:left w:w="100" w:type="dxa"/>
              <w:right w:w="100" w:type="dxa"/>
            </w:tcMar>
          </w:tcPr>
          <w:p>
            <w:pPr>
              <w:jc w:val="center"/>
            </w:pPr>
            <w:r>
              <w:rPr>
                <w:rFonts w:ascii="Calibri" w:hAnsi="Calibri"/>
                <w:b/>
                <w:color w:val="FFFFFF"/>
                <w:sz w:val="19"/>
              </w:rPr>
              <w:t>Restricciones / Justificación</w:t>
            </w:r>
          </w:p>
        </w:tc>
      </w:tr>
      <w:tr>
        <w:tc>
          <w:tcPr>
            <w:tcW w:type="dxa" w:w="2160"/>
            <w:shd w:val="clear" w:color="auto" w:fill="FFFFFF"/>
            <w:tcMar>
              <w:top w:w="70" w:type="dxa"/>
              <w:bottom w:w="70" w:type="dxa"/>
              <w:left w:w="90" w:type="dxa"/>
              <w:right w:w="90" w:type="dxa"/>
            </w:tcMar>
          </w:tcPr>
          <w:p>
            <w:r>
              <w:rPr>
                <w:rFonts w:ascii="Calibri" w:hAnsi="Calibri"/>
                <w:b/>
                <w:color w:val="262626"/>
                <w:sz w:val="18"/>
              </w:rPr>
              <w:t>registrador</w:t>
            </w:r>
          </w:p>
        </w:tc>
        <w:tc>
          <w:tcPr>
            <w:tcW w:type="dxa" w:w="3168"/>
            <w:shd w:val="clear" w:color="auto" w:fill="FFFFFF"/>
            <w:tcMar>
              <w:top w:w="70" w:type="dxa"/>
              <w:bottom w:w="70" w:type="dxa"/>
              <w:left w:w="90" w:type="dxa"/>
              <w:right w:w="90" w:type="dxa"/>
            </w:tcMar>
          </w:tcPr>
          <w:p>
            <w:r>
              <w:rPr>
                <w:rFonts w:ascii="Calibri" w:hAnsi="Calibri"/>
                <w:b/>
                <w:color w:val="262626"/>
                <w:sz w:val="18"/>
              </w:rPr>
              <w:t>INSERT, UPDATE sobre comisiones.Persona, Vendedor, Supervisor, PersonalFinanzas, Factura, FacturaDetalle, FacturaParticipacion.</w:t>
            </w:r>
          </w:p>
        </w:tc>
        <w:tc>
          <w:tcPr>
            <w:tcW w:type="dxa" w:w="4032"/>
            <w:shd w:val="clear" w:color="auto" w:fill="FFFFFF"/>
            <w:tcMar>
              <w:top w:w="70" w:type="dxa"/>
              <w:bottom w:w="70" w:type="dxa"/>
              <w:left w:w="90" w:type="dxa"/>
              <w:right w:w="90" w:type="dxa"/>
            </w:tcMar>
          </w:tcPr>
          <w:p>
            <w:r>
              <w:rPr>
                <w:rFonts w:ascii="Calibri" w:hAnsi="Calibri"/>
                <w:b/>
                <w:color w:val="262626"/>
                <w:sz w:val="18"/>
              </w:rPr>
              <w:t>Permite a los operadores del negocio cargar personal, facturación y porcentajes de ventas. Se le deniega tajantemente el acceso a tablas maestras de planes (PlanComision, PlanFiltro, AsignacionPlan) y pagos para impedir manipulación financiera de comisiones.</w:t>
            </w:r>
          </w:p>
        </w:tc>
      </w:tr>
      <w:tr>
        <w:tc>
          <w:tcPr>
            <w:tcW w:type="dxa" w:w="2160"/>
            <w:shd w:val="clear" w:color="auto" w:fill="F2F4F7"/>
            <w:tcMar>
              <w:top w:w="70" w:type="dxa"/>
              <w:bottom w:w="70" w:type="dxa"/>
              <w:left w:w="90" w:type="dxa"/>
              <w:right w:w="90" w:type="dxa"/>
            </w:tcMar>
          </w:tcPr>
          <w:p>
            <w:r>
              <w:rPr>
                <w:rFonts w:ascii="Calibri" w:hAnsi="Calibri"/>
                <w:b/>
                <w:color w:val="262626"/>
                <w:sz w:val="18"/>
              </w:rPr>
              <w:t>moderador</w:t>
            </w:r>
          </w:p>
        </w:tc>
        <w:tc>
          <w:tcPr>
            <w:tcW w:type="dxa" w:w="3168"/>
            <w:shd w:val="clear" w:color="auto" w:fill="F2F4F7"/>
            <w:tcMar>
              <w:top w:w="70" w:type="dxa"/>
              <w:bottom w:w="70" w:type="dxa"/>
              <w:left w:w="90" w:type="dxa"/>
              <w:right w:w="90" w:type="dxa"/>
            </w:tcMar>
          </w:tcPr>
          <w:p>
            <w:r>
              <w:rPr>
                <w:rFonts w:ascii="Calibri" w:hAnsi="Calibri"/>
                <w:b/>
                <w:color w:val="262626"/>
                <w:sz w:val="18"/>
              </w:rPr>
              <w:t>GRANT SELECT ON SCHEMA::comisiones TO moderador;</w:t>
            </w:r>
          </w:p>
        </w:tc>
        <w:tc>
          <w:tcPr>
            <w:tcW w:type="dxa" w:w="4032"/>
            <w:shd w:val="clear" w:color="auto" w:fill="F2F4F7"/>
            <w:tcMar>
              <w:top w:w="70" w:type="dxa"/>
              <w:bottom w:w="70" w:type="dxa"/>
              <w:left w:w="90" w:type="dxa"/>
              <w:right w:w="90" w:type="dxa"/>
            </w:tcMar>
          </w:tcPr>
          <w:p>
            <w:r>
              <w:rPr>
                <w:rFonts w:ascii="Calibri" w:hAnsi="Calibri"/>
                <w:b/>
                <w:color w:val="262626"/>
                <w:sz w:val="18"/>
              </w:rPr>
              <w:t>Rol estrictamente de auditoría y lectura pasiva. No tiene permisos de INSERT, UPDATE, DELETE ni ALTER sobre ninguna entidad. Su propósito es alimentar tableros de control y consultas analíticas de supervisión sin riesgo de mutación accidental o maliciosa.</w:t>
            </w:r>
          </w:p>
        </w:tc>
      </w:tr>
      <w:tr>
        <w:tc>
          <w:tcPr>
            <w:tcW w:type="dxa" w:w="2160"/>
            <w:shd w:val="clear" w:color="auto" w:fill="FFFFFF"/>
            <w:tcMar>
              <w:top w:w="70" w:type="dxa"/>
              <w:bottom w:w="70" w:type="dxa"/>
              <w:left w:w="90" w:type="dxa"/>
              <w:right w:w="90" w:type="dxa"/>
            </w:tcMar>
          </w:tcPr>
          <w:p>
            <w:r>
              <w:rPr>
                <w:rFonts w:ascii="Calibri" w:hAnsi="Calibri"/>
                <w:b/>
                <w:color w:val="262626"/>
                <w:sz w:val="18"/>
              </w:rPr>
              <w:t>administrador</w:t>
            </w:r>
          </w:p>
        </w:tc>
        <w:tc>
          <w:tcPr>
            <w:tcW w:type="dxa" w:w="3168"/>
            <w:shd w:val="clear" w:color="auto" w:fill="FFFFFF"/>
            <w:tcMar>
              <w:top w:w="70" w:type="dxa"/>
              <w:bottom w:w="70" w:type="dxa"/>
              <w:left w:w="90" w:type="dxa"/>
              <w:right w:w="90" w:type="dxa"/>
            </w:tcMar>
          </w:tcPr>
          <w:p>
            <w:r>
              <w:rPr>
                <w:rFonts w:ascii="Calibri" w:hAnsi="Calibri"/>
                <w:b/>
                <w:color w:val="262626"/>
                <w:sz w:val="18"/>
              </w:rPr>
              <w:t>GRANT SELECT, INSERT, UPDATE, DELETE, EXECUTE ON SCHEMA::comisiones TO administrador;</w:t>
            </w:r>
          </w:p>
        </w:tc>
        <w:tc>
          <w:tcPr>
            <w:tcW w:type="dxa" w:w="4032"/>
            <w:shd w:val="clear" w:color="auto" w:fill="FFFFFF"/>
            <w:tcMar>
              <w:top w:w="70" w:type="dxa"/>
              <w:bottom w:w="70" w:type="dxa"/>
              <w:left w:w="90" w:type="dxa"/>
              <w:right w:w="90" w:type="dxa"/>
            </w:tcMar>
          </w:tcPr>
          <w:p>
            <w:r>
              <w:rPr>
                <w:rFonts w:ascii="Calibri" w:hAnsi="Calibri"/>
                <w:b/>
                <w:color w:val="262626"/>
                <w:sz w:val="18"/>
              </w:rPr>
              <w:t>Rol de administración operativa integral. Habilitado para ejecutar todas las operaciones DML y procedimientos de negocio (cálculo de comisiones y orquestación de pagos), gobernando la solución según los lineamientos de TI.</w:t>
            </w:r>
          </w:p>
        </w:tc>
      </w:tr>
    </w:tbl>
    <w:p>
      <w:pPr>
        <w:spacing w:before="0" w:after="80"/>
      </w:pPr>
    </w:p>
    <w:p>
      <w:pPr>
        <w:keepNext/>
        <w:spacing w:before="320" w:after="120"/>
      </w:pPr>
      <w:r>
        <w:rPr>
          <w:rFonts w:ascii="Calibri" w:hAnsi="Calibri"/>
          <w:b/>
          <w:color w:val="1F497D"/>
          <w:sz w:val="28"/>
        </w:rPr>
        <w:t>SECCIÓN 3: REGLAS DE DOMINIO, INTEGRIDAD Y NOMENCLATURA</w:t>
      </w:r>
    </w:p>
    <w:p>
      <w:pPr>
        <w:keepNext/>
        <w:spacing w:before="240" w:after="80"/>
      </w:pPr>
      <w:r>
        <w:rPr>
          <w:rFonts w:ascii="Calibri" w:hAnsi="Calibri"/>
          <w:b/>
          <w:color w:val="365F91"/>
          <w:sz w:val="24"/>
        </w:rPr>
        <w:t>3.1. Nomenclatura Estricta de Índices y Ubicación Física</w:t>
      </w:r>
    </w:p>
    <w:p>
      <w:pPr>
        <w:spacing w:before="0" w:after="120" w:line="276" w:lineRule="auto"/>
      </w:pPr>
      <w:r>
        <w:rPr>
          <w:rFonts w:ascii="Calibri" w:hAnsi="Calibri"/>
          <w:b/>
          <w:color w:val="262626"/>
          <w:sz w:val="22"/>
        </w:rPr>
        <w:t>El enunciado estipula taxativamente que los nombres de los índices deben seguir el formato &lt;nombreAtributo&gt;_&lt;nombreTabla&gt;_indx. Se implementaron 15 índices secundarios estratégicos cubriendo claves foráneas, columnas de búsqueda recurrente y filtros de negocio, todos situados sobre el filegroup FG_COMPU_INDEX:</w:t>
      </w:r>
    </w:p>
    <w:p>
      <w:pPr>
        <w:pStyle w:val="ListBullet"/>
        <w:spacing w:before="20" w:after="60" w:line="276" w:lineRule="auto"/>
      </w:pPr>
      <w:r>
        <w:rPr>
          <w:rFonts w:ascii="Calibri" w:hAnsi="Calibri"/>
          <w:b/>
          <w:color w:val="1F497D"/>
          <w:sz w:val="21"/>
        </w:rPr>
        <w:t xml:space="preserve">Ejemplos de Índices Implementados: </w:t>
      </w:r>
      <w:r>
        <w:rPr>
          <w:rFonts w:ascii="Calibri" w:hAnsi="Calibri"/>
          <w:b/>
          <w:color w:val="262626"/>
          <w:sz w:val="21"/>
        </w:rPr>
        <w:t>tipo_Persona_indx, zona_cobertura_Supervisor_indx, nombre_RolVenta_indx, fecha_emision_Factura_indx, fecha_cobro_Factura_indx, situacion_Factura_indx, id_factura_FacturaDetalle_indx, id_producto_FacturaDetalle_indx, id_vendedor_FacturaParticipacion_indx, nombre_plan_PlanComision_indx, fecha_inicio_Periodo_indx, estado_pago_CalculoComision_indx.</w:t>
      </w:r>
    </w:p>
    <w:p>
      <w:pPr>
        <w:spacing w:before="0" w:after="40" w:line="276" w:lineRule="auto"/>
      </w:pPr>
      <w:r>
        <w:rPr>
          <w:rFonts w:ascii="Calibri" w:hAnsi="Calibri"/>
          <w:b/>
          <w:color w:val="262626"/>
          <w:sz w:val="22"/>
        </w:rPr>
        <w:t>Justificación:</w:t>
      </w:r>
    </w:p>
    <w:p>
      <w:pPr>
        <w:spacing w:before="0" w:after="120" w:line="276" w:lineRule="auto"/>
      </w:pPr>
      <w:r>
        <w:rPr>
          <w:rFonts w:ascii="Calibri" w:hAnsi="Calibri"/>
          <w:b/>
          <w:color w:val="262626"/>
          <w:sz w:val="22"/>
        </w:rPr>
        <w:t>Esta estandarización facilita la auditoría del optimizador de consultas (sys.dm_db_index_usage_stats), garantiza que el DBA identifique de inmediato la columna y tabla indexada sin ambigüedades, y canaliza todo el tráfico de indexación no agrupado hacia el archivo secundario (.ndf) sin tocar el archivo de datos.</w:t>
      </w:r>
    </w:p>
    <w:p>
      <w:pPr>
        <w:keepNext/>
        <w:spacing w:before="240" w:after="80"/>
      </w:pPr>
      <w:r>
        <w:rPr>
          <w:rFonts w:ascii="Calibri" w:hAnsi="Calibri"/>
          <w:b/>
          <w:color w:val="365F91"/>
          <w:sz w:val="24"/>
        </w:rPr>
        <w:t>3.2. Restricción CK_Periodo_fechas: Validación Estricta de Duración Temporal</w:t>
      </w:r>
    </w:p>
    <w:p>
      <w:pPr>
        <w:spacing w:before="0" w:after="120" w:line="276" w:lineRule="auto"/>
      </w:pPr>
      <w:r>
        <w:rPr>
          <w:rFonts w:ascii="Calibri" w:hAnsi="Calibri"/>
          <w:b/>
          <w:color w:val="262626"/>
          <w:sz w:val="22"/>
        </w:rPr>
        <w:t>Requerimiento del Enunciado: 'La separación entre la fecha de inicio y la de cierre debe corresponder a su tipo: una semana, un mes, un trimestre o un año'.</w:t>
      </w:r>
    </w:p>
    <w:p>
      <w:pPr>
        <w:spacing w:before="0" w:after="120" w:line="276" w:lineRule="auto"/>
      </w:pPr>
      <w:r>
        <w:rPr>
          <w:rFonts w:ascii="Calibri" w:hAnsi="Calibri"/>
          <w:b/>
          <w:color w:val="262626"/>
          <w:sz w:val="22"/>
        </w:rPr>
        <w:t>Análisis de la Corrección tras las Pruebas de Motor:</w:t>
      </w:r>
    </w:p>
    <w:p>
      <w:pPr>
        <w:spacing w:before="0" w:after="120" w:line="276" w:lineRule="auto"/>
      </w:pPr>
      <w:r>
        <w:rPr>
          <w:rFonts w:ascii="Calibri" w:hAnsi="Calibri"/>
          <w:b/>
          <w:color w:val="262626"/>
          <w:sz w:val="22"/>
        </w:rPr>
        <w:t>Inicialmente, una restricción básica de tipo fecha_fin &gt;= fecha_inicio resultaba insuficiente, pues permitía insertar períodos 'Mensuales' de apenas 15 días o períodos 'Semanales' de 30 días, corrompiendo la liquidación de finanzas. En consecuencia, se perfeccionó la restricción CK_Periodo_fechas en 02_Creacion_Tablas_Indices.sql utilizando aritmética de calendario nativa de SQL Server:</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00" w:type="dxa"/>
              <w:bottom w:w="100" w:type="dxa"/>
              <w:left w:w="150" w:type="dxa"/>
              <w:right w:w="150" w:type="dxa"/>
            </w:tcMar>
            <w:tcBorders>
              <w:left w:val="single" w:sz="24" w:space="0" w:color="1F497D"/>
              <w:top w:val="none"/>
              <w:bottom w:val="none"/>
              <w:right w:val="none"/>
            </w:tcBorders>
          </w:tcPr>
          <w:p>
            <w:pPr>
              <w:spacing w:before="40" w:after="40" w:line="276" w:lineRule="auto"/>
            </w:pPr>
            <w:r>
              <w:rPr>
                <w:rFonts w:ascii="Calibri" w:hAnsi="Calibri"/>
                <w:b/>
                <w:color w:val="1F497D"/>
                <w:sz w:val="21"/>
              </w:rPr>
              <w:t xml:space="preserve">Definición Formal de la Restricción CHECK: </w:t>
            </w:r>
            <w:r>
              <w:rPr>
                <w:rFonts w:ascii="Calibri" w:hAnsi="Calibri"/>
                <w:b/>
                <w:color w:val="262626"/>
                <w:sz w:val="21"/>
              </w:rPr>
              <w:t>CONSTRAINT CK_Periodo_fechas CHECK (</w:t>
              <w:br/>
              <w:t xml:space="preserve">    fecha_fin &gt; fecha_inicio AND (</w:t>
              <w:br/>
              <w:t xml:space="preserve">        (tipo = 'Semanal'    AND fecha_fin = DATEADD(DAY, 7, fecha_inicio)) OR</w:t>
              <w:br/>
              <w:t xml:space="preserve">        (tipo = 'Mensual'    AND fecha_fin = DATEADD(MONTH, 1, fecha_inicio)) OR</w:t>
              <w:br/>
              <w:t xml:space="preserve">        (tipo = 'Trimestral' AND fecha_fin = DATEADD(MONTH, 3, fecha_inicio)) OR</w:t>
              <w:br/>
              <w:t xml:space="preserve">        (tipo = 'Anual'      AND fecha_fin = DATEADD(YEAR, 1, fecha_inicio))</w:t>
              <w:br/>
              <w:t xml:space="preserve">    )</w:t>
              <w:br/>
              <w:t>)</w:t>
            </w:r>
          </w:p>
        </w:tc>
      </w:tr>
    </w:tbl>
    <w:p>
      <w:pPr>
        <w:spacing w:before="0" w:after="80"/>
      </w:pPr>
    </w:p>
    <w:p>
      <w:pPr>
        <w:spacing w:before="0" w:after="120" w:line="276" w:lineRule="auto"/>
      </w:pPr>
      <w:r>
        <w:rPr>
          <w:rFonts w:ascii="Calibri" w:hAnsi="Calibri"/>
          <w:b/>
          <w:color w:val="262626"/>
          <w:sz w:val="22"/>
        </w:rPr>
        <w:t>Justificación Matemática y Contable: El empleo de DATEADD garantiza el cálculo exacto de meses calendario (contemplando meses de 28, 30 y 31 días y bisiestos) y previene cualquier inserción fraudulenta o errónea de ventanas temporales en la tabla Periodo.</w:t>
      </w:r>
    </w:p>
    <w:p>
      <w:pPr>
        <w:keepNext/>
        <w:spacing w:before="240" w:after="80"/>
      </w:pPr>
      <w:r>
        <w:rPr>
          <w:rFonts w:ascii="Calibri" w:hAnsi="Calibri"/>
          <w:b/>
          <w:color w:val="365F91"/>
          <w:sz w:val="24"/>
        </w:rPr>
        <w:t>3.3. Restricción CK_Factura_cobro: Coherencia de Ciclo de Vida y Recupero</w:t>
      </w:r>
    </w:p>
    <w:p>
      <w:pPr>
        <w:spacing w:before="0" w:after="120" w:line="276" w:lineRule="auto"/>
      </w:pPr>
      <w:r>
        <w:rPr>
          <w:rFonts w:ascii="Calibri" w:hAnsi="Calibri"/>
          <w:b/>
          <w:color w:val="262626"/>
          <w:sz w:val="22"/>
        </w:rPr>
        <w:t>Requerimiento del Enunciado: 'únicamente cuando una factura ha sido cobrada tiene sentido registrar, también, la fecha en que esto ocurrió'.</w:t>
      </w:r>
    </w:p>
    <w:p>
      <w:pPr>
        <w:spacing w:before="0" w:after="120" w:line="276" w:lineRule="auto"/>
      </w:pPr>
      <w:r>
        <w:rPr>
          <w:rFonts w:ascii="Calibri" w:hAnsi="Calibri"/>
          <w:b/>
          <w:color w:val="262626"/>
          <w:sz w:val="22"/>
        </w:rPr>
        <w:t>Análisis de la Corrección tras las Pruebas de Motor:</w:t>
      </w:r>
    </w:p>
    <w:p>
      <w:pPr>
        <w:spacing w:before="0" w:after="120" w:line="276" w:lineRule="auto"/>
      </w:pPr>
      <w:r>
        <w:rPr>
          <w:rFonts w:ascii="Calibri" w:hAnsi="Calibri"/>
          <w:b/>
          <w:color w:val="262626"/>
          <w:sz w:val="22"/>
        </w:rPr>
        <w:t>Durante las pruebas de validación con el motor, al simular una devolución de productos (Punto 3 del PDF: Recupero por devolución), una factura que ya había sido cobrada pasaba al estado 'Anulada'. Si la restricción exigía fecha_cobro IS NULL para cualquier factura distinta de 'Cobrada', la anulación fallaba por violación de CHECK constraint, bloqueando la ejecución del Trigger 3 y perdiendo la constancia de cuándo se cobró originalmente la factura. Para solventarlo, se reformuló CK_Factura_cobro:</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00" w:type="dxa"/>
              <w:bottom w:w="100" w:type="dxa"/>
              <w:left w:w="150" w:type="dxa"/>
              <w:right w:w="150" w:type="dxa"/>
            </w:tcMar>
            <w:tcBorders>
              <w:left w:val="single" w:sz="24" w:space="0" w:color="1F497D"/>
              <w:top w:val="none"/>
              <w:bottom w:val="none"/>
              <w:right w:val="none"/>
            </w:tcBorders>
          </w:tcPr>
          <w:p>
            <w:pPr>
              <w:spacing w:before="40" w:after="40" w:line="276" w:lineRule="auto"/>
            </w:pPr>
            <w:r>
              <w:rPr>
                <w:rFonts w:ascii="Calibri" w:hAnsi="Calibri"/>
                <w:b/>
                <w:color w:val="1F497D"/>
                <w:sz w:val="21"/>
              </w:rPr>
              <w:t xml:space="preserve">Definición Optimizada de CK_Factura_cobro: </w:t>
            </w:r>
            <w:r>
              <w:rPr>
                <w:rFonts w:ascii="Calibri" w:hAnsi="Calibri"/>
                <w:b/>
                <w:color w:val="262626"/>
                <w:sz w:val="21"/>
              </w:rPr>
              <w:t>CONSTRAINT CK_Factura_cobro CHECK (</w:t>
              <w:br/>
              <w:t xml:space="preserve">    (situacion = 'Emitida' AND fecha_cobro IS NULL) OR</w:t>
              <w:br/>
              <w:t xml:space="preserve">    (situacion = 'Cobrada' AND fecha_cobro IS NOT NULL AND fecha_cobro &gt;= fecha_emision) OR</w:t>
              <w:br/>
              <w:t xml:space="preserve">    (situacion = 'Anulada' AND (fecha_cobro IS NULL OR fecha_cobro &gt;= fecha_emision))</w:t>
              <w:br/>
              <w:t>)</w:t>
            </w:r>
          </w:p>
        </w:tc>
      </w:tr>
    </w:tbl>
    <w:p>
      <w:pPr>
        <w:spacing w:before="0" w:after="80"/>
      </w:pPr>
    </w:p>
    <w:p>
      <w:pPr>
        <w:spacing w:before="0" w:after="120" w:line="276" w:lineRule="auto"/>
      </w:pPr>
      <w:r>
        <w:rPr>
          <w:rFonts w:ascii="Calibri" w:hAnsi="Calibri"/>
          <w:b/>
          <w:color w:val="262626"/>
          <w:sz w:val="22"/>
        </w:rPr>
        <w:t>Justificación de Negocio: Permite reflejar la realidad contable de que una factura puede ser anulada antes de cobrarse (sin fecha de cobro) o después de cobrarse (por devolución física de mercancía), preservando siempre la invariante cronológica fecha_cobro &gt;= fecha_emision para sustentar el ajuste de comisiones.</w:t>
      </w:r>
    </w:p>
    <w:p>
      <w:pPr>
        <w:keepNext/>
        <w:spacing w:before="320" w:after="120"/>
      </w:pPr>
      <w:r>
        <w:rPr>
          <w:rFonts w:ascii="Calibri" w:hAnsi="Calibri"/>
          <w:b/>
          <w:color w:val="1F497D"/>
          <w:sz w:val="28"/>
        </w:rPr>
        <w:t>SECCIÓN 4: LÓGICA DE NEGOCIO Y REGLAS COMPLEJAS EN TRIGGERS</w:t>
      </w:r>
    </w:p>
    <w:p>
      <w:pPr>
        <w:keepNext/>
        <w:spacing w:before="240" w:after="80"/>
      </w:pPr>
      <w:r>
        <w:rPr>
          <w:rFonts w:ascii="Calibri" w:hAnsi="Calibri"/>
          <w:b/>
          <w:color w:val="365F91"/>
          <w:sz w:val="24"/>
        </w:rPr>
        <w:t>4.1. Trigger 1: comisiones.trg_ControlParticipacionFactura</w:t>
      </w:r>
    </w:p>
    <w:p>
      <w:pPr>
        <w:spacing w:before="0" w:after="120" w:line="276" w:lineRule="auto"/>
      </w:pPr>
      <w:r>
        <w:rPr>
          <w:rFonts w:ascii="Calibri" w:hAnsi="Calibri"/>
          <w:b/>
          <w:color w:val="262626"/>
          <w:sz w:val="22"/>
        </w:rPr>
        <w:t>Aspectos a Justificar: Control del tope del 100% de participación en ventas e incorporación exclusiva de vendedores con estatus 'Activo'.</w:t>
      </w:r>
    </w:p>
    <w:p>
      <w:pPr>
        <w:pStyle w:val="ListBullet"/>
        <w:spacing w:before="20" w:after="60" w:line="276" w:lineRule="auto"/>
      </w:pPr>
      <w:r>
        <w:rPr>
          <w:rFonts w:ascii="Calibri" w:hAnsi="Calibri"/>
          <w:b/>
          <w:color w:val="1F497D"/>
          <w:sz w:val="21"/>
        </w:rPr>
        <w:t xml:space="preserve">Control de Participación &lt;= 100%: </w:t>
      </w:r>
      <w:r>
        <w:rPr>
          <w:rFonts w:ascii="Calibri" w:hAnsi="Calibri"/>
          <w:b/>
          <w:color w:val="262626"/>
          <w:sz w:val="21"/>
        </w:rPr>
        <w:t>En las ventas colaborativas, múltiples vendedores pueden intervenir en una misma factura (por ejemplo, vendedor principal y especialista de soluciones). El trigger se ejecuta AFTER INSERT, UPDATE sobre FacturaParticipacion, calculando la suma acumulada de porcentajes por cada id_factura afectado. Si la sumatoria supera el 100.00%, aborta la transacción con RAISERROR y ROLLBACK.</w:t>
      </w:r>
    </w:p>
    <w:p>
      <w:pPr>
        <w:pStyle w:val="ListBullet"/>
        <w:spacing w:before="20" w:after="60" w:line="276" w:lineRule="auto"/>
      </w:pPr>
      <w:r>
        <w:rPr>
          <w:rFonts w:ascii="Calibri" w:hAnsi="Calibri"/>
          <w:b/>
          <w:color w:val="1F497D"/>
          <w:sz w:val="21"/>
        </w:rPr>
        <w:t xml:space="preserve">Validación de Estado Activo del Vendedor: </w:t>
      </w:r>
      <w:r>
        <w:rPr>
          <w:rFonts w:ascii="Calibri" w:hAnsi="Calibri"/>
          <w:b/>
          <w:color w:val="262626"/>
          <w:sz w:val="21"/>
        </w:rPr>
        <w:t>Conforme a las reglas de negocio, un vendedor inactivo o despedido no puede ser incorporado a nuevas facturas. El trigger verifica en la tabla virtual inserted contra comisiones.Persona que ningún id_vendedor tenga estatus &lt;&gt; 'Activo'. Esta validación previene asignaciones fantasmas o fraudes administrativos.</w:t>
      </w:r>
    </w:p>
    <w:p>
      <w:pPr>
        <w:pStyle w:val="ListBullet"/>
        <w:spacing w:before="20" w:after="60" w:line="276" w:lineRule="auto"/>
      </w:pPr>
      <w:r>
        <w:rPr>
          <w:rFonts w:ascii="Calibri" w:hAnsi="Calibri"/>
          <w:b/>
          <w:color w:val="1F497D"/>
          <w:sz w:val="21"/>
        </w:rPr>
        <w:t xml:space="preserve">Naturaleza Conjuntista (Set-Based): </w:t>
      </w:r>
      <w:r>
        <w:rPr>
          <w:rFonts w:ascii="Calibri" w:hAnsi="Calibri"/>
          <w:b/>
          <w:color w:val="262626"/>
          <w:sz w:val="21"/>
        </w:rPr>
        <w:t>El trigger evalúa todas las filas afectadas mediante operaciones relacionales de agregación (GROUP BY e INNER JOIN), evitando cursores iterativos y garantizando máxima eficiencia en inserciones masivas (BULK INSERT).</w:t>
      </w:r>
    </w:p>
    <w:p>
      <w:pPr>
        <w:keepNext/>
        <w:spacing w:before="240" w:after="80"/>
      </w:pPr>
      <w:r>
        <w:rPr>
          <w:rFonts w:ascii="Calibri" w:hAnsi="Calibri"/>
          <w:b/>
          <w:color w:val="365F91"/>
          <w:sz w:val="24"/>
        </w:rPr>
        <w:t>4.2. Trigger 2: comisiones.trg_IntegridadCadenaSupervision</w:t>
      </w:r>
    </w:p>
    <w:p>
      <w:pPr>
        <w:spacing w:before="0" w:after="120" w:line="276" w:lineRule="auto"/>
      </w:pPr>
      <w:r>
        <w:rPr>
          <w:rFonts w:ascii="Calibri" w:hAnsi="Calibri"/>
          <w:b/>
          <w:color w:val="262626"/>
          <w:sz w:val="22"/>
        </w:rPr>
        <w:t>Aspectos a Justificar: Prevención de auto-supervisión directa e impedimento de ciclos recursivos en la línea de mando.</w:t>
      </w:r>
    </w:p>
    <w:p>
      <w:pPr>
        <w:spacing w:before="0" w:after="120" w:line="276" w:lineRule="auto"/>
      </w:pPr>
      <w:r>
        <w:rPr>
          <w:rFonts w:ascii="Calibri" w:hAnsi="Calibri"/>
          <w:b/>
          <w:color w:val="262626"/>
          <w:sz w:val="22"/>
        </w:rPr>
        <w:t>El enunciado exige: 'impedir que un supervisor quede registrado como su propio jefe y que se formen ciclos en la línea de mando (por ejemplo, que una persona dependa de otra y esta, directa o indirectamente, termine dependiendo de la primera)'.</w:t>
      </w:r>
    </w:p>
    <w:p>
      <w:pPr>
        <w:spacing w:before="0" w:after="120" w:line="276" w:lineRule="auto"/>
      </w:pPr>
      <w:r>
        <w:rPr>
          <w:rFonts w:ascii="Calibri" w:hAnsi="Calibri"/>
          <w:b/>
          <w:color w:val="262626"/>
          <w:sz w:val="22"/>
        </w:rPr>
        <w:t>Mecanismos de Protección Implementados en T-SQL:</w:t>
      </w:r>
    </w:p>
    <w:p>
      <w:pPr>
        <w:pStyle w:val="ListBullet"/>
        <w:spacing w:before="20" w:after="60" w:line="276" w:lineRule="auto"/>
      </w:pPr>
      <w:r>
        <w:rPr>
          <w:rFonts w:ascii="Calibri" w:hAnsi="Calibri"/>
          <w:b/>
          <w:color w:val="1F497D"/>
          <w:sz w:val="21"/>
        </w:rPr>
        <w:t xml:space="preserve">Auto-Jefe Directo: </w:t>
      </w:r>
      <w:r>
        <w:rPr>
          <w:rFonts w:ascii="Calibri" w:hAnsi="Calibri"/>
          <w:b/>
          <w:color w:val="262626"/>
          <w:sz w:val="21"/>
        </w:rPr>
        <w:t>Verificación inmediata de que en ninguna tupla insertada o modificada en SupervisorVendedor coincida id_vendedor = id_supervisor_jefe.</w:t>
      </w:r>
    </w:p>
    <w:p>
      <w:pPr>
        <w:pStyle w:val="ListBullet"/>
        <w:spacing w:before="20" w:after="60" w:line="276" w:lineRule="auto"/>
      </w:pPr>
      <w:r>
        <w:rPr>
          <w:rFonts w:ascii="Calibri" w:hAnsi="Calibri"/>
          <w:b/>
          <w:color w:val="1F497D"/>
          <w:sz w:val="21"/>
        </w:rPr>
        <w:t xml:space="preserve">Detección de Ciclos Indirectos con CTE Recursivo: </w:t>
      </w:r>
      <w:r>
        <w:rPr>
          <w:rFonts w:ascii="Calibri" w:hAnsi="Calibri"/>
          <w:b/>
          <w:color w:val="262626"/>
          <w:sz w:val="21"/>
        </w:rPr>
        <w:t>Un ciclo en un grafo jerárquico provocaría bucles infinitos en cualquier consulta analítica o reporte de liquidación comisionable. Para impedirlo matemáticamente, el trigger implementa una expresión de tabla común recursiva (WITH JerarquiaSupervisores AS ...) que asciende por la cadena de mando verificando si el subordinado (id_vendedor) aparece en algún eslabón de supervisión superior.</w:t>
      </w:r>
    </w:p>
    <w:p>
      <w:pPr>
        <w:pStyle w:val="ListBullet"/>
        <w:spacing w:before="20" w:after="60" w:line="276" w:lineRule="auto"/>
      </w:pPr>
      <w:r>
        <w:rPr>
          <w:rFonts w:ascii="Calibri" w:hAnsi="Calibri"/>
          <w:b/>
          <w:color w:val="1F497D"/>
          <w:sz w:val="21"/>
        </w:rPr>
        <w:t xml:space="preserve">Manejo de Recursión y Rollback: </w:t>
      </w:r>
      <w:r>
        <w:rPr>
          <w:rFonts w:ascii="Calibri" w:hAnsi="Calibri"/>
          <w:b/>
          <w:color w:val="262626"/>
          <w:sz w:val="21"/>
        </w:rPr>
        <w:t>La consulta cuenta con la opción de optimización MAXRECURSION 50. Al detectar cualquier referencia circular directa o indirecta, el trigger revierte inmediatamente la transacción mediante ROLLBACK TRANSACTION e informa el error detallado.</w:t>
      </w:r>
    </w:p>
    <w:p>
      <w:pPr>
        <w:keepNext/>
        <w:spacing w:before="240" w:after="80"/>
      </w:pPr>
      <w:r>
        <w:rPr>
          <w:rFonts w:ascii="Calibri" w:hAnsi="Calibri"/>
          <w:b/>
          <w:color w:val="365F91"/>
          <w:sz w:val="24"/>
        </w:rPr>
        <w:t>4.3. Trigger 3: comisiones.trg_RecuperoPorDevolucion</w:t>
      </w:r>
    </w:p>
    <w:p>
      <w:pPr>
        <w:spacing w:before="0" w:after="120" w:line="276" w:lineRule="auto"/>
      </w:pPr>
      <w:r>
        <w:rPr>
          <w:rFonts w:ascii="Calibri" w:hAnsi="Calibri"/>
          <w:b/>
          <w:color w:val="262626"/>
          <w:sz w:val="22"/>
        </w:rPr>
        <w:t>Aspectos a Justificar: Mecanismo de compensación financiera automática ante anulación de facturas con planes que admiten descuentos.</w:t>
      </w:r>
    </w:p>
    <w:p>
      <w:pPr>
        <w:spacing w:before="0" w:after="120" w:line="276" w:lineRule="auto"/>
      </w:pPr>
      <w:r>
        <w:rPr>
          <w:rFonts w:ascii="Calibri" w:hAnsi="Calibri"/>
          <w:b/>
          <w:color w:val="262626"/>
          <w:sz w:val="22"/>
        </w:rPr>
        <w:t>El enunciado establece: 'Recupero por devolución: cuando una factura se anula (devolución) y el plan bajo el cual se reconoció la comisión admite descuentos, debe retraer del cálculo de comisiones la parte que ya se había reconocido a quienes participaron en esa factura'.</w:t>
      </w:r>
    </w:p>
    <w:p>
      <w:pPr>
        <w:spacing w:before="0" w:after="120" w:line="276" w:lineRule="auto"/>
      </w:pPr>
      <w:r>
        <w:rPr>
          <w:rFonts w:ascii="Calibri" w:hAnsi="Calibri"/>
          <w:b/>
          <w:color w:val="262626"/>
          <w:sz w:val="22"/>
        </w:rPr>
        <w:t>Flujo Transaccional del Trigger en T-SQL:</w:t>
      </w:r>
    </w:p>
    <w:p>
      <w:pPr>
        <w:pStyle w:val="ListBullet"/>
        <w:spacing w:before="20" w:after="60" w:line="276" w:lineRule="auto"/>
      </w:pPr>
      <w:r>
        <w:rPr>
          <w:rFonts w:ascii="Calibri" w:hAnsi="Calibri"/>
          <w:b/>
          <w:color w:val="1F497D"/>
          <w:sz w:val="21"/>
        </w:rPr>
        <w:t xml:space="preserve">Condición de Disparo: </w:t>
      </w:r>
      <w:r>
        <w:rPr>
          <w:rFonts w:ascii="Calibri" w:hAnsi="Calibri"/>
          <w:b/>
          <w:color w:val="262626"/>
          <w:sz w:val="21"/>
        </w:rPr>
        <w:t>Se activa AFTER UPDATE sobre comisiones.Factura cuando la columna situacion transiciona desde un estado previo hacia 'Anulada' (detectado comparando inserted contra deleted).</w:t>
      </w:r>
    </w:p>
    <w:p>
      <w:pPr>
        <w:pStyle w:val="ListBullet"/>
        <w:spacing w:before="20" w:after="60" w:line="276" w:lineRule="auto"/>
      </w:pPr>
      <w:r>
        <w:rPr>
          <w:rFonts w:ascii="Calibri" w:hAnsi="Calibri"/>
          <w:b/>
          <w:color w:val="1F497D"/>
          <w:sz w:val="21"/>
        </w:rPr>
        <w:t xml:space="preserve">Auditoría de Descuentos en el Plan: </w:t>
      </w:r>
      <w:r>
        <w:rPr>
          <w:rFonts w:ascii="Calibri" w:hAnsi="Calibri"/>
          <w:b/>
          <w:color w:val="262626"/>
          <w:sz w:val="21"/>
        </w:rPr>
        <w:t>Cruza los detalles de comisiones previamente liquidadas para esa factura (CalculoDetalle) con la configuración del plan (PlanComision.aplica_descuentos = 1).</w:t>
      </w:r>
    </w:p>
    <w:p>
      <w:pPr>
        <w:pStyle w:val="ListBullet"/>
        <w:spacing w:before="20" w:after="60" w:line="276" w:lineRule="auto"/>
      </w:pPr>
      <w:r>
        <w:rPr>
          <w:rFonts w:ascii="Calibri" w:hAnsi="Calibri"/>
          <w:b/>
          <w:color w:val="1F497D"/>
          <w:sz w:val="21"/>
        </w:rPr>
        <w:t xml:space="preserve">Generación de Tuplas Negativas Compensatorias: </w:t>
      </w:r>
      <w:r>
        <w:rPr>
          <w:rFonts w:ascii="Calibri" w:hAnsi="Calibri"/>
          <w:b/>
          <w:color w:val="262626"/>
          <w:sz w:val="21"/>
        </w:rPr>
        <w:t>Inserta automáticamente en CalculoComision un registro con montos negativos (-monto_comision_directa y -monto_comision_supervisor), asociándolo al período vigente y marcándolo con estado_calculo = 'Ajustado'. De este modo, la empresa recupera el dinero en la siguiente nómina de comisiones sin alterar destructivamente el histórico previo (principio de inmutabilidad contable).</w:t>
      </w:r>
    </w:p>
    <w:p>
      <w:pPr>
        <w:keepNext/>
        <w:spacing w:before="240" w:after="80"/>
      </w:pPr>
      <w:r>
        <w:rPr>
          <w:rFonts w:ascii="Calibri" w:hAnsi="Calibri"/>
          <w:b/>
          <w:color w:val="365F91"/>
          <w:sz w:val="24"/>
        </w:rPr>
        <w:t>4.4. Trigger 4: comisiones.trg_IntegridadAsignacionPlan</w:t>
      </w:r>
    </w:p>
    <w:p>
      <w:pPr>
        <w:spacing w:before="0" w:after="120" w:line="276" w:lineRule="auto"/>
      </w:pPr>
      <w:r>
        <w:rPr>
          <w:rFonts w:ascii="Calibri" w:hAnsi="Calibri"/>
          <w:b/>
          <w:color w:val="262626"/>
          <w:sz w:val="22"/>
        </w:rPr>
        <w:t>Aspectos a Justificar: Validación de estatus activo y no solapamiento temporal de planes de comisión.</w:t>
      </w:r>
    </w:p>
    <w:p>
      <w:pPr>
        <w:spacing w:before="0" w:after="120" w:line="276" w:lineRule="auto"/>
      </w:pPr>
      <w:r>
        <w:rPr>
          <w:rFonts w:ascii="Calibri" w:hAnsi="Calibri"/>
          <w:b/>
          <w:color w:val="262626"/>
          <w:sz w:val="22"/>
        </w:rPr>
        <w:t>Garantiza que una persona en un mismo rol no posea dos planes de comisión vigentes en intervalos de fechas superpuestos [fecha_inicio, fecha_fin]. Esta restricción evita ambigüedades matemáticas en la función de liquidación y asegura que a cada venta le corresponda una y solo una tasa de comisión.</w:t>
      </w:r>
    </w:p>
    <w:p>
      <w:pPr>
        <w:keepNext/>
        <w:spacing w:before="320" w:after="120"/>
      </w:pPr>
      <w:r>
        <w:rPr>
          <w:rFonts w:ascii="Calibri" w:hAnsi="Calibri"/>
          <w:b/>
          <w:color w:val="1F497D"/>
          <w:sz w:val="28"/>
        </w:rPr>
        <w:t>SECCIÓN 5: PROGRAMABILIDAD: PROCEDIMIENTOS, FUNCIONES Y VISTAS FINANCIERAS</w:t>
      </w:r>
    </w:p>
    <w:p>
      <w:pPr>
        <w:keepNext/>
        <w:spacing w:before="240" w:after="80"/>
      </w:pPr>
      <w:r>
        <w:rPr>
          <w:rFonts w:ascii="Calibri" w:hAnsi="Calibri"/>
          <w:b/>
          <w:color w:val="365F91"/>
          <w:sz w:val="24"/>
        </w:rPr>
        <w:t>5.1. Función Escalar comisiones.fn_CalcularBaseComisionable</w:t>
      </w:r>
    </w:p>
    <w:p>
      <w:pPr>
        <w:spacing w:before="0" w:after="120" w:line="276" w:lineRule="auto"/>
      </w:pPr>
      <w:r>
        <w:rPr>
          <w:rFonts w:ascii="Calibri" w:hAnsi="Calibri"/>
          <w:b/>
          <w:color w:val="262626"/>
          <w:sz w:val="22"/>
        </w:rPr>
        <w:t>Requerimiento del Enunciado: 'Filtros: se debe implementar una función que, dada una factura y un plan, devuelva la base comisionable que resulta de aplicar a esa factura los filtros definidos en dicho plan'.</w:t>
      </w:r>
    </w:p>
    <w:p>
      <w:pPr>
        <w:spacing w:before="0" w:after="120" w:line="276" w:lineRule="auto"/>
      </w:pPr>
      <w:r>
        <w:rPr>
          <w:rFonts w:ascii="Calibri" w:hAnsi="Calibri"/>
          <w:b/>
          <w:color w:val="262626"/>
          <w:sz w:val="22"/>
        </w:rPr>
        <w:t>Lógica de Filtrado y Tipos de Base Comisionable Implementados:</w:t>
      </w:r>
    </w:p>
    <w:p>
      <w:pPr>
        <w:pStyle w:val="ListBullet"/>
        <w:spacing w:before="20" w:after="60" w:line="276" w:lineRule="auto"/>
      </w:pPr>
      <w:r>
        <w:rPr>
          <w:rFonts w:ascii="Calibri" w:hAnsi="Calibri"/>
          <w:b/>
          <w:color w:val="1F497D"/>
          <w:sz w:val="21"/>
        </w:rPr>
        <w:t xml:space="preserve">Evaluación de Filtros Jerárquicos (PlanFiltro): </w:t>
      </w:r>
      <w:r>
        <w:rPr>
          <w:rFonts w:ascii="Calibri" w:hAnsi="Calibri"/>
          <w:b/>
          <w:color w:val="262626"/>
          <w:sz w:val="21"/>
        </w:rPr>
        <w:t>La función analiza los criterios configurados para el plan en función del orden (orden_prioridad). Evalúa si la factura cumple con el segmento del cliente (SegmentoCliente) o si los renglones facturados pertenecen a la categoría de producto requerida (CategoriaProducto o LineaNegocio).</w:t>
      </w:r>
    </w:p>
    <w:p>
      <w:pPr>
        <w:pStyle w:val="ListBullet"/>
        <w:spacing w:before="20" w:after="60" w:line="276" w:lineRule="auto"/>
      </w:pPr>
      <w:r>
        <w:rPr>
          <w:rFonts w:ascii="Calibri" w:hAnsi="Calibri"/>
          <w:b/>
          <w:color w:val="1F497D"/>
          <w:sz w:val="21"/>
        </w:rPr>
        <w:t xml:space="preserve">Cálculo Dinámico de la Base: </w:t>
      </w:r>
      <w:r>
        <w:rPr>
          <w:rFonts w:ascii="Calibri" w:hAnsi="Calibri"/>
          <w:b/>
          <w:color w:val="262626"/>
          <w:sz w:val="21"/>
        </w:rPr>
        <w:t>De acuerdo con la columna tipo_base_comisionable de PlanComision, la función calcula:</w:t>
        <w:br/>
        <w:t>a) Venta_Total: Suma del monto bruto de los ítems filtrados (FacturaDetalle.monto_total).</w:t>
        <w:br/>
        <w:t>b) Margen_Bruto: Suma de la utilidad real por ítem (precio_unitario - costo_unitario) * cantidad vendida.</w:t>
        <w:br/>
        <w:t>c) Unidades_Vendidas: Suma de cantidades físicas de productos comercializados.</w:t>
        <w:br/>
        <w:t>d) Monto_Cobrado: Proporción financiera cobrada de la factura.</w:t>
      </w:r>
    </w:p>
    <w:p>
      <w:pPr>
        <w:pStyle w:val="ListBullet"/>
        <w:spacing w:before="20" w:after="60" w:line="276" w:lineRule="auto"/>
      </w:pPr>
      <w:r>
        <w:rPr>
          <w:rFonts w:ascii="Calibri" w:hAnsi="Calibri"/>
          <w:b/>
          <w:color w:val="1F497D"/>
          <w:sz w:val="21"/>
        </w:rPr>
        <w:t xml:space="preserve">Determinismo y Seguridad: </w:t>
      </w:r>
      <w:r>
        <w:rPr>
          <w:rFonts w:ascii="Calibri" w:hAnsi="Calibri"/>
          <w:b/>
          <w:color w:val="262626"/>
          <w:sz w:val="21"/>
        </w:rPr>
        <w:t>Definida con SCHEMABINDING, lo cual optimiza la compilación del plan de ejecución del motor y garantiza que la función sea totalmente determinista.</w:t>
      </w:r>
    </w:p>
    <w:p>
      <w:pPr>
        <w:keepNext/>
        <w:spacing w:before="240" w:after="80"/>
      </w:pPr>
      <w:r>
        <w:rPr>
          <w:rFonts w:ascii="Calibri" w:hAnsi="Calibri"/>
          <w:b/>
          <w:color w:val="365F91"/>
          <w:sz w:val="24"/>
        </w:rPr>
        <w:t>5.2. Procedimiento Almacenado comisiones.sp_CorrerCalculoComisiones</w:t>
      </w:r>
    </w:p>
    <w:p>
      <w:pPr>
        <w:spacing w:before="0" w:after="120" w:line="276" w:lineRule="auto"/>
      </w:pPr>
      <w:r>
        <w:rPr>
          <w:rFonts w:ascii="Calibri" w:hAnsi="Calibri"/>
          <w:b/>
          <w:color w:val="262626"/>
          <w:sz w:val="22"/>
        </w:rPr>
        <w:t>Requerimiento del Enunciado: Orquestar el cálculo de comisiones para un período cerrado evaluando facturas cobradas dentro de él.</w:t>
      </w:r>
    </w:p>
    <w:p>
      <w:pPr>
        <w:spacing w:before="0" w:after="120" w:line="276" w:lineRule="auto"/>
      </w:pPr>
      <w:r>
        <w:rPr>
          <w:rFonts w:ascii="Calibri" w:hAnsi="Calibri"/>
          <w:b/>
          <w:color w:val="262626"/>
          <w:sz w:val="22"/>
        </w:rPr>
        <w:t>Arquitectura del Procedimiento:</w:t>
      </w:r>
    </w:p>
    <w:p>
      <w:pPr>
        <w:pStyle w:val="ListBullet"/>
        <w:spacing w:before="20" w:after="60" w:line="276" w:lineRule="auto"/>
      </w:pPr>
      <w:r>
        <w:rPr>
          <w:rFonts w:ascii="Calibri" w:hAnsi="Calibri"/>
          <w:b/>
          <w:color w:val="1F497D"/>
          <w:sz w:val="21"/>
        </w:rPr>
        <w:t xml:space="preserve">Identificación del Universo Comisionable: </w:t>
      </w:r>
      <w:r>
        <w:rPr>
          <w:rFonts w:ascii="Calibri" w:hAnsi="Calibri"/>
          <w:b/>
          <w:color w:val="262626"/>
          <w:sz w:val="21"/>
        </w:rPr>
        <w:t>Filtra las facturas con situacion = 'Cobrada' cuya fecha_cobro se encuentre estrictamente dentro de la ventana [fecha_inicio, fecha_fin] del período especificado.</w:t>
      </w:r>
    </w:p>
    <w:p>
      <w:pPr>
        <w:pStyle w:val="ListBullet"/>
        <w:spacing w:before="20" w:after="60" w:line="276" w:lineRule="auto"/>
      </w:pPr>
      <w:r>
        <w:rPr>
          <w:rFonts w:ascii="Calibri" w:hAnsi="Calibri"/>
          <w:b/>
          <w:color w:val="1F497D"/>
          <w:sz w:val="21"/>
        </w:rPr>
        <w:t xml:space="preserve">Determinación del Plan Vigente por Vendedor y Rol: </w:t>
      </w:r>
      <w:r>
        <w:rPr>
          <w:rFonts w:ascii="Calibri" w:hAnsi="Calibri"/>
          <w:b/>
          <w:color w:val="262626"/>
          <w:sz w:val="21"/>
        </w:rPr>
        <w:t>Identifica el plan activo para la dupla (id_vendedor, id_rol) a la fecha de cobro de la factura, invocando la función fn_CalcularBaseComisionable para obtener el monto base.</w:t>
      </w:r>
    </w:p>
    <w:p>
      <w:pPr>
        <w:pStyle w:val="ListBullet"/>
        <w:spacing w:before="20" w:after="60" w:line="276" w:lineRule="auto"/>
      </w:pPr>
      <w:r>
        <w:rPr>
          <w:rFonts w:ascii="Calibri" w:hAnsi="Calibri"/>
          <w:b/>
          <w:color w:val="1F497D"/>
          <w:sz w:val="21"/>
        </w:rPr>
        <w:t xml:space="preserve">Cálculo de Comisión Directa y Sobrecisión de Supervisores (Overriding): </w:t>
      </w:r>
      <w:r>
        <w:rPr>
          <w:rFonts w:ascii="Calibri" w:hAnsi="Calibri"/>
          <w:b/>
          <w:color w:val="262626"/>
          <w:sz w:val="21"/>
        </w:rPr>
        <w:t>Aplica la tasa porcentual del plan sobre la base comisionable y la participación del vendedor. Simultáneamente, localiza al supervisor del vendedor en la tabla SupervisorVendedor y le calcula la comisión por supervisión (porcentaje_reconocimiento) sobre lo producido por su subordinado.</w:t>
      </w:r>
    </w:p>
    <w:p>
      <w:pPr>
        <w:pStyle w:val="ListBullet"/>
        <w:spacing w:before="20" w:after="60" w:line="276" w:lineRule="auto"/>
      </w:pPr>
      <w:r>
        <w:rPr>
          <w:rFonts w:ascii="Calibri" w:hAnsi="Calibri"/>
          <w:b/>
          <w:color w:val="1F497D"/>
          <w:sz w:val="21"/>
        </w:rPr>
        <w:t xml:space="preserve">Persistencia y Trazabilidad: </w:t>
      </w:r>
      <w:r>
        <w:rPr>
          <w:rFonts w:ascii="Calibri" w:hAnsi="Calibri"/>
          <w:b/>
          <w:color w:val="262626"/>
          <w:sz w:val="21"/>
        </w:rPr>
        <w:t>Inserta el encabezado en CalculoComision (estado 'Calculado') y los renglones detallados por factura en CalculoDetalle, permitiendo la auditoría exhaustiva de cada centavo reconocido.</w:t>
      </w:r>
    </w:p>
    <w:p>
      <w:pPr>
        <w:keepNext/>
        <w:spacing w:before="240" w:after="80"/>
      </w:pPr>
      <w:r>
        <w:rPr>
          <w:rFonts w:ascii="Calibri" w:hAnsi="Calibri"/>
          <w:b/>
          <w:color w:val="365F91"/>
          <w:sz w:val="24"/>
        </w:rPr>
        <w:t>5.3. Procedimiento Almacenado comisiones.sp_RegistrarPagosPeriodo</w:t>
      </w:r>
    </w:p>
    <w:p>
      <w:pPr>
        <w:spacing w:before="0" w:after="120" w:line="276" w:lineRule="auto"/>
      </w:pPr>
      <w:r>
        <w:rPr>
          <w:rFonts w:ascii="Calibri" w:hAnsi="Calibri"/>
          <w:b/>
          <w:color w:val="262626"/>
          <w:sz w:val="22"/>
        </w:rPr>
        <w:t>Requerimiento del Enunciado: 'Pagos: se debe implementar un procedimiento almacenado que registre los pagos correspondientes a un periodo —que puede ser distinto de aquel sobre el cual se calcularon— y deje debidamente actualizado el estado de cada pago'.</w:t>
      </w:r>
    </w:p>
    <w:p>
      <w:pPr>
        <w:spacing w:before="0" w:after="120" w:line="276" w:lineRule="auto"/>
      </w:pPr>
      <w:r>
        <w:rPr>
          <w:rFonts w:ascii="Calibri" w:hAnsi="Calibri"/>
          <w:b/>
          <w:color w:val="262626"/>
          <w:sz w:val="22"/>
        </w:rPr>
        <w:t>Justificación Contable y Transaccional:</w:t>
      </w:r>
    </w:p>
    <w:p>
      <w:pPr>
        <w:spacing w:before="0" w:after="120" w:line="276" w:lineRule="auto"/>
      </w:pPr>
      <w:r>
        <w:rPr>
          <w:rFonts w:ascii="Calibri" w:hAnsi="Calibri"/>
          <w:b/>
          <w:color w:val="262626"/>
          <w:sz w:val="22"/>
        </w:rPr>
        <w:t>En las organizaciones reales, las comisiones calculadas en un período (por ejemplo, mes de enero) se liquidan y pagan en una fecha posterior (primera quincena de febrero). El procedimiento sp_RegistrarPagosPeriodo formaliza este desacoplamiento:</w:t>
      </w:r>
    </w:p>
    <w:p>
      <w:pPr>
        <w:pStyle w:val="ListBullet"/>
        <w:spacing w:before="20" w:after="60" w:line="276" w:lineRule="auto"/>
      </w:pPr>
      <w:r>
        <w:rPr>
          <w:rFonts w:ascii="Calibri" w:hAnsi="Calibri"/>
          <w:b/>
          <w:color w:val="1F497D"/>
          <w:sz w:val="21"/>
        </w:rPr>
        <w:t xml:space="preserve">Transaccionalidad Atómica (ACID): </w:t>
      </w:r>
      <w:r>
        <w:rPr>
          <w:rFonts w:ascii="Calibri" w:hAnsi="Calibri"/>
          <w:b/>
          <w:color w:val="262626"/>
          <w:sz w:val="21"/>
        </w:rPr>
        <w:t>Opera bajo un bloque BEGIN TRANSACTION y TRY...CATCH. Registra las emisiones de pago en la tabla PagoComision vinculadas al id_personal_finanzas responsable y actualiza el estado de cada registro en CalculoComision a 'Pagado'. Si cualquier tupla falla, se ejecuta un ROLLBACK total, evitando estados financieros inconsistentes.</w:t>
      </w:r>
    </w:p>
    <w:p>
      <w:pPr>
        <w:keepNext/>
        <w:spacing w:before="240" w:after="80"/>
      </w:pPr>
      <w:r>
        <w:rPr>
          <w:rFonts w:ascii="Calibri" w:hAnsi="Calibri"/>
          <w:b/>
          <w:color w:val="365F91"/>
          <w:sz w:val="24"/>
        </w:rPr>
        <w:t>5.4. Vista comisiones.vw_ReportePagosFinanzas</w:t>
      </w:r>
    </w:p>
    <w:p>
      <w:pPr>
        <w:spacing w:before="0" w:after="120" w:line="276" w:lineRule="auto"/>
      </w:pPr>
      <w:r>
        <w:rPr>
          <w:rFonts w:ascii="Calibri" w:hAnsi="Calibri"/>
          <w:b/>
          <w:color w:val="262626"/>
          <w:sz w:val="22"/>
        </w:rPr>
        <w:t>Requerimiento del Enunciado: 'Reportes: se debe proveer una vista que sirva de base al reporte de pagos que revisa finanzas y que pueda presentarse para periodos semanales, mensuales, trimestrales o anuales'.</w:t>
      </w:r>
    </w:p>
    <w:p>
      <w:pPr>
        <w:spacing w:before="0" w:after="120" w:line="276" w:lineRule="auto"/>
      </w:pPr>
      <w:r>
        <w:rPr>
          <w:rFonts w:ascii="Calibri" w:hAnsi="Calibri"/>
          <w:b/>
          <w:color w:val="262626"/>
          <w:sz w:val="22"/>
        </w:rPr>
        <w:t>Justificación de Diseño:</w:t>
      </w:r>
    </w:p>
    <w:p>
      <w:pPr>
        <w:spacing w:before="0" w:after="120" w:line="276" w:lineRule="auto"/>
      </w:pPr>
      <w:r>
        <w:rPr>
          <w:rFonts w:ascii="Calibri" w:hAnsi="Calibri"/>
          <w:b/>
          <w:color w:val="262626"/>
          <w:sz w:val="22"/>
        </w:rPr>
        <w:t>Consolida mediante JOINs relacionales la información de PagoComision, CalculoComision, Persona (beneficiario y oficial de finanzas), RolVenta y Periodo. Expone columnas analíticas unificadas (id_pago, Beneficiario, Rol, Monto_Liquidado, Periodo_Calculo_Origen, Tipo_Periodo_Calculo, Periodo_Pago_Destino, Tipo_Periodo_Pago, Fecha_Pago, Oficial_Finanzas). Finanzas puede consultar la vista aplicando cláusulas WHERE Tipo_Periodo_Pago = 'Mensual' o agrupaciones a voluntad sin lidiar con la complejidad del esquema normalizado.</w:t>
      </w:r>
    </w:p>
    <w:p>
      <w:pPr>
        <w:keepNext/>
        <w:spacing w:before="320" w:after="120"/>
      </w:pPr>
      <w:r>
        <w:rPr>
          <w:rFonts w:ascii="Calibri" w:hAnsi="Calibri"/>
          <w:b/>
          <w:color w:val="1F497D"/>
          <w:sz w:val="28"/>
        </w:rPr>
        <w:t>SECCIÓN 6: RESUMEN DE VALIDACIÓN Y PRUEBAS EXHAUSTIVAS</w:t>
      </w:r>
    </w:p>
    <w:p>
      <w:pPr>
        <w:spacing w:before="0" w:after="120" w:line="276" w:lineRule="auto"/>
      </w:pPr>
      <w:r>
        <w:rPr>
          <w:rFonts w:ascii="Calibri" w:hAnsi="Calibri"/>
          <w:b/>
          <w:color w:val="262626"/>
          <w:sz w:val="22"/>
        </w:rPr>
        <w:t>La solución fue sometida a una rigurosa auditoría de ejecución en Microsoft SQL Server a través del script 05_Pruebas_Validacion.sql. Todos los casos de prueba resultaron exitosos conforme a las especificaciones del proyecto: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val="clear" w:color="auto" w:fill="1F497D"/>
            <w:tcMar>
              <w:top w:w="90" w:type="dxa"/>
              <w:bottom w:w="90" w:type="dxa"/>
              <w:left w:w="100" w:type="dxa"/>
              <w:right w:w="100" w:type="dxa"/>
            </w:tcMar>
          </w:tcPr>
          <w:p>
            <w:pPr>
              <w:jc w:val="center"/>
            </w:pPr>
            <w:r>
              <w:rPr>
                <w:rFonts w:ascii="Calibri" w:hAnsi="Calibri"/>
                <w:b/>
                <w:color w:val="FFFFFF"/>
                <w:sz w:val="19"/>
              </w:rPr>
              <w:t>ID Prueba</w:t>
            </w:r>
          </w:p>
        </w:tc>
        <w:tc>
          <w:tcPr>
            <w:tcW w:type="dxa" w:w="2592"/>
            <w:shd w:val="clear" w:color="auto" w:fill="1F497D"/>
            <w:tcMar>
              <w:top w:w="90" w:type="dxa"/>
              <w:bottom w:w="90" w:type="dxa"/>
              <w:left w:w="100" w:type="dxa"/>
              <w:right w:w="100" w:type="dxa"/>
            </w:tcMar>
          </w:tcPr>
          <w:p>
            <w:pPr>
              <w:jc w:val="center"/>
            </w:pPr>
            <w:r>
              <w:rPr>
                <w:rFonts w:ascii="Calibri" w:hAnsi="Calibri"/>
                <w:b/>
                <w:color w:val="FFFFFF"/>
                <w:sz w:val="19"/>
              </w:rPr>
              <w:t>Componente Evaluado</w:t>
            </w:r>
          </w:p>
        </w:tc>
        <w:tc>
          <w:tcPr>
            <w:tcW w:type="dxa" w:w="3168"/>
            <w:shd w:val="clear" w:color="auto" w:fill="1F497D"/>
            <w:tcMar>
              <w:top w:w="90" w:type="dxa"/>
              <w:bottom w:w="90" w:type="dxa"/>
              <w:left w:w="100" w:type="dxa"/>
              <w:right w:w="100" w:type="dxa"/>
            </w:tcMar>
          </w:tcPr>
          <w:p>
            <w:pPr>
              <w:jc w:val="center"/>
            </w:pPr>
            <w:r>
              <w:rPr>
                <w:rFonts w:ascii="Calibri" w:hAnsi="Calibri"/>
                <w:b/>
                <w:color w:val="FFFFFF"/>
                <w:sz w:val="19"/>
              </w:rPr>
              <w:t>Comportamiento Esperado</w:t>
            </w:r>
          </w:p>
        </w:tc>
        <w:tc>
          <w:tcPr>
            <w:tcW w:type="dxa" w:w="2304"/>
            <w:shd w:val="clear" w:color="auto" w:fill="1F497D"/>
            <w:tcMar>
              <w:top w:w="90" w:type="dxa"/>
              <w:bottom w:w="90" w:type="dxa"/>
              <w:left w:w="100" w:type="dxa"/>
              <w:right w:w="100" w:type="dxa"/>
            </w:tcMar>
          </w:tcPr>
          <w:p>
            <w:pPr>
              <w:jc w:val="center"/>
            </w:pPr>
            <w:r>
              <w:rPr>
                <w:rFonts w:ascii="Calibri" w:hAnsi="Calibri"/>
                <w:b/>
                <w:color w:val="FFFFFF"/>
                <w:sz w:val="19"/>
              </w:rPr>
              <w:t>Resultado en SQL Server</w:t>
            </w:r>
          </w:p>
        </w:tc>
      </w:tr>
      <w:tr>
        <w:tc>
          <w:tcPr>
            <w:tcW w:type="dxa" w:w="1296"/>
            <w:shd w:val="clear" w:color="auto" w:fill="FFFFFF"/>
            <w:tcMar>
              <w:top w:w="70" w:type="dxa"/>
              <w:bottom w:w="70" w:type="dxa"/>
              <w:left w:w="90" w:type="dxa"/>
              <w:right w:w="90" w:type="dxa"/>
            </w:tcMar>
          </w:tcPr>
          <w:p>
            <w:r>
              <w:rPr>
                <w:rFonts w:ascii="Calibri" w:hAnsi="Calibri"/>
                <w:b/>
                <w:color w:val="262626"/>
                <w:sz w:val="18"/>
              </w:rPr>
              <w:t>Prueba 1</w:t>
            </w:r>
          </w:p>
        </w:tc>
        <w:tc>
          <w:tcPr>
            <w:tcW w:type="dxa" w:w="2592"/>
            <w:shd w:val="clear" w:color="auto" w:fill="FFFFFF"/>
            <w:tcMar>
              <w:top w:w="70" w:type="dxa"/>
              <w:bottom w:w="70" w:type="dxa"/>
              <w:left w:w="90" w:type="dxa"/>
              <w:right w:w="90" w:type="dxa"/>
            </w:tcMar>
          </w:tcPr>
          <w:p>
            <w:r>
              <w:rPr>
                <w:rFonts w:ascii="Calibri" w:hAnsi="Calibri"/>
                <w:b/>
                <w:color w:val="262626"/>
                <w:sz w:val="18"/>
              </w:rPr>
              <w:t>Filegroups y Storage</w:t>
            </w:r>
          </w:p>
        </w:tc>
        <w:tc>
          <w:tcPr>
            <w:tcW w:type="dxa" w:w="3168"/>
            <w:shd w:val="clear" w:color="auto" w:fill="FFFFFF"/>
            <w:tcMar>
              <w:top w:w="70" w:type="dxa"/>
              <w:bottom w:w="70" w:type="dxa"/>
              <w:left w:w="90" w:type="dxa"/>
              <w:right w:w="90" w:type="dxa"/>
            </w:tcMar>
          </w:tcPr>
          <w:p>
            <w:r>
              <w:rPr>
                <w:rFonts w:ascii="Calibri" w:hAnsi="Calibri"/>
                <w:b/>
                <w:color w:val="262626"/>
                <w:sz w:val="18"/>
              </w:rPr>
              <w:t>0 tablas en PRIMARY; 18 tablas en FG_COMPU_DATA; 15 índices en FG_COMPU_INDEX.</w:t>
            </w:r>
          </w:p>
        </w:tc>
        <w:tc>
          <w:tcPr>
            <w:tcW w:type="dxa" w:w="2304"/>
            <w:shd w:val="clear" w:color="auto" w:fill="FFFFFF"/>
            <w:tcMar>
              <w:top w:w="70" w:type="dxa"/>
              <w:bottom w:w="70" w:type="dxa"/>
              <w:left w:w="90" w:type="dxa"/>
              <w:right w:w="90" w:type="dxa"/>
            </w:tcMar>
          </w:tcPr>
          <w:p>
            <w:r>
              <w:rPr>
                <w:rFonts w:ascii="Calibri" w:hAnsi="Calibri"/>
                <w:b/>
                <w:color w:val="262626"/>
                <w:sz w:val="18"/>
              </w:rPr>
              <w:t>ÉXITO: Aislamiento físico verificado al 100% en catálogo.</w:t>
            </w:r>
          </w:p>
        </w:tc>
      </w:tr>
      <w:tr>
        <w:tc>
          <w:tcPr>
            <w:tcW w:type="dxa" w:w="1296"/>
            <w:shd w:val="clear" w:color="auto" w:fill="F2F4F7"/>
            <w:tcMar>
              <w:top w:w="70" w:type="dxa"/>
              <w:bottom w:w="70" w:type="dxa"/>
              <w:left w:w="90" w:type="dxa"/>
              <w:right w:w="90" w:type="dxa"/>
            </w:tcMar>
          </w:tcPr>
          <w:p>
            <w:r>
              <w:rPr>
                <w:rFonts w:ascii="Calibri" w:hAnsi="Calibri"/>
                <w:b/>
                <w:color w:val="262626"/>
                <w:sz w:val="18"/>
              </w:rPr>
              <w:t>Prueba 2.1</w:t>
            </w:r>
          </w:p>
        </w:tc>
        <w:tc>
          <w:tcPr>
            <w:tcW w:type="dxa" w:w="2592"/>
            <w:shd w:val="clear" w:color="auto" w:fill="F2F4F7"/>
            <w:tcMar>
              <w:top w:w="70" w:type="dxa"/>
              <w:bottom w:w="70" w:type="dxa"/>
              <w:left w:w="90" w:type="dxa"/>
              <w:right w:w="90" w:type="dxa"/>
            </w:tcMar>
          </w:tcPr>
          <w:p>
            <w:r>
              <w:rPr>
                <w:rFonts w:ascii="Calibri" w:hAnsi="Calibri"/>
                <w:b/>
                <w:color w:val="262626"/>
                <w:sz w:val="18"/>
              </w:rPr>
              <w:t>Trigger 1 (Participación)</w:t>
            </w:r>
          </w:p>
        </w:tc>
        <w:tc>
          <w:tcPr>
            <w:tcW w:type="dxa" w:w="3168"/>
            <w:shd w:val="clear" w:color="auto" w:fill="F2F4F7"/>
            <w:tcMar>
              <w:top w:w="70" w:type="dxa"/>
              <w:bottom w:w="70" w:type="dxa"/>
              <w:left w:w="90" w:type="dxa"/>
              <w:right w:w="90" w:type="dxa"/>
            </w:tcMar>
          </w:tcPr>
          <w:p>
            <w:r>
              <w:rPr>
                <w:rFonts w:ascii="Calibri" w:hAnsi="Calibri"/>
                <w:b/>
                <w:color w:val="262626"/>
                <w:sz w:val="18"/>
              </w:rPr>
              <w:t>Rechazar inserción de 70% adicional en factura que ya suma 100%.</w:t>
            </w:r>
          </w:p>
        </w:tc>
        <w:tc>
          <w:tcPr>
            <w:tcW w:type="dxa" w:w="2304"/>
            <w:shd w:val="clear" w:color="auto" w:fill="F2F4F7"/>
            <w:tcMar>
              <w:top w:w="70" w:type="dxa"/>
              <w:bottom w:w="70" w:type="dxa"/>
              <w:left w:w="90" w:type="dxa"/>
              <w:right w:w="90" w:type="dxa"/>
            </w:tcMar>
          </w:tcPr>
          <w:p>
            <w:r>
              <w:rPr>
                <w:rFonts w:ascii="Calibri" w:hAnsi="Calibri"/>
                <w:b/>
                <w:color w:val="262626"/>
                <w:sz w:val="18"/>
              </w:rPr>
              <w:t>ÉXITO: Error 'Suma de participaciones no puede superar 100%'.</w:t>
            </w:r>
          </w:p>
        </w:tc>
      </w:tr>
      <w:tr>
        <w:tc>
          <w:tcPr>
            <w:tcW w:type="dxa" w:w="1296"/>
            <w:shd w:val="clear" w:color="auto" w:fill="FFFFFF"/>
            <w:tcMar>
              <w:top w:w="70" w:type="dxa"/>
              <w:bottom w:w="70" w:type="dxa"/>
              <w:left w:w="90" w:type="dxa"/>
              <w:right w:w="90" w:type="dxa"/>
            </w:tcMar>
          </w:tcPr>
          <w:p>
            <w:r>
              <w:rPr>
                <w:rFonts w:ascii="Calibri" w:hAnsi="Calibri"/>
                <w:b/>
                <w:color w:val="262626"/>
                <w:sz w:val="18"/>
              </w:rPr>
              <w:t>Prueba 2.2</w:t>
            </w:r>
          </w:p>
        </w:tc>
        <w:tc>
          <w:tcPr>
            <w:tcW w:type="dxa" w:w="2592"/>
            <w:shd w:val="clear" w:color="auto" w:fill="FFFFFF"/>
            <w:tcMar>
              <w:top w:w="70" w:type="dxa"/>
              <w:bottom w:w="70" w:type="dxa"/>
              <w:left w:w="90" w:type="dxa"/>
              <w:right w:w="90" w:type="dxa"/>
            </w:tcMar>
          </w:tcPr>
          <w:p>
            <w:r>
              <w:rPr>
                <w:rFonts w:ascii="Calibri" w:hAnsi="Calibri"/>
                <w:b/>
                <w:color w:val="262626"/>
                <w:sz w:val="18"/>
              </w:rPr>
              <w:t>Trigger 1 (Estatus Vendedor)</w:t>
            </w:r>
          </w:p>
        </w:tc>
        <w:tc>
          <w:tcPr>
            <w:tcW w:type="dxa" w:w="3168"/>
            <w:shd w:val="clear" w:color="auto" w:fill="FFFFFF"/>
            <w:tcMar>
              <w:top w:w="70" w:type="dxa"/>
              <w:bottom w:w="70" w:type="dxa"/>
              <w:left w:w="90" w:type="dxa"/>
              <w:right w:w="90" w:type="dxa"/>
            </w:tcMar>
          </w:tcPr>
          <w:p>
            <w:r>
              <w:rPr>
                <w:rFonts w:ascii="Calibri" w:hAnsi="Calibri"/>
                <w:b/>
                <w:color w:val="262626"/>
                <w:sz w:val="18"/>
              </w:rPr>
              <w:t>Rechazar incorporación de vendedor inactivo (ID 12, Patricia Soto).</w:t>
            </w:r>
          </w:p>
        </w:tc>
        <w:tc>
          <w:tcPr>
            <w:tcW w:type="dxa" w:w="2304"/>
            <w:shd w:val="clear" w:color="auto" w:fill="FFFFFF"/>
            <w:tcMar>
              <w:top w:w="70" w:type="dxa"/>
              <w:bottom w:w="70" w:type="dxa"/>
              <w:left w:w="90" w:type="dxa"/>
              <w:right w:w="90" w:type="dxa"/>
            </w:tcMar>
          </w:tcPr>
          <w:p>
            <w:r>
              <w:rPr>
                <w:rFonts w:ascii="Calibri" w:hAnsi="Calibri"/>
                <w:b/>
                <w:color w:val="262626"/>
                <w:sz w:val="18"/>
              </w:rPr>
              <w:t>ÉXITO: Bloqueado por regla 'Solo personas activas pueden ser vendedores'.</w:t>
            </w:r>
          </w:p>
        </w:tc>
      </w:tr>
      <w:tr>
        <w:tc>
          <w:tcPr>
            <w:tcW w:type="dxa" w:w="1296"/>
            <w:shd w:val="clear" w:color="auto" w:fill="F2F4F7"/>
            <w:tcMar>
              <w:top w:w="70" w:type="dxa"/>
              <w:bottom w:w="70" w:type="dxa"/>
              <w:left w:w="90" w:type="dxa"/>
              <w:right w:w="90" w:type="dxa"/>
            </w:tcMar>
          </w:tcPr>
          <w:p>
            <w:r>
              <w:rPr>
                <w:rFonts w:ascii="Calibri" w:hAnsi="Calibri"/>
                <w:b/>
                <w:color w:val="262626"/>
                <w:sz w:val="18"/>
              </w:rPr>
              <w:t>Prueba 3.1</w:t>
            </w:r>
          </w:p>
        </w:tc>
        <w:tc>
          <w:tcPr>
            <w:tcW w:type="dxa" w:w="2592"/>
            <w:shd w:val="clear" w:color="auto" w:fill="F2F4F7"/>
            <w:tcMar>
              <w:top w:w="70" w:type="dxa"/>
              <w:bottom w:w="70" w:type="dxa"/>
              <w:left w:w="90" w:type="dxa"/>
              <w:right w:w="90" w:type="dxa"/>
            </w:tcMar>
          </w:tcPr>
          <w:p>
            <w:r>
              <w:rPr>
                <w:rFonts w:ascii="Calibri" w:hAnsi="Calibri"/>
                <w:b/>
                <w:color w:val="262626"/>
                <w:sz w:val="18"/>
              </w:rPr>
              <w:t>Trigger 2 (Auto-Jefe)</w:t>
            </w:r>
          </w:p>
        </w:tc>
        <w:tc>
          <w:tcPr>
            <w:tcW w:type="dxa" w:w="3168"/>
            <w:shd w:val="clear" w:color="auto" w:fill="F2F4F7"/>
            <w:tcMar>
              <w:top w:w="70" w:type="dxa"/>
              <w:bottom w:w="70" w:type="dxa"/>
              <w:left w:w="90" w:type="dxa"/>
              <w:right w:w="90" w:type="dxa"/>
            </w:tcMar>
          </w:tcPr>
          <w:p>
            <w:r>
              <w:rPr>
                <w:rFonts w:ascii="Calibri" w:hAnsi="Calibri"/>
                <w:b/>
                <w:color w:val="262626"/>
                <w:sz w:val="18"/>
              </w:rPr>
              <w:t>Rechazar asignación donde id_supervisor = id_supervisor_jefe.</w:t>
            </w:r>
          </w:p>
        </w:tc>
        <w:tc>
          <w:tcPr>
            <w:tcW w:type="dxa" w:w="2304"/>
            <w:shd w:val="clear" w:color="auto" w:fill="F2F4F7"/>
            <w:tcMar>
              <w:top w:w="70" w:type="dxa"/>
              <w:bottom w:w="70" w:type="dxa"/>
              <w:left w:w="90" w:type="dxa"/>
              <w:right w:w="90" w:type="dxa"/>
            </w:tcMar>
          </w:tcPr>
          <w:p>
            <w:r>
              <w:rPr>
                <w:rFonts w:ascii="Calibri" w:hAnsi="Calibri"/>
                <w:b/>
                <w:color w:val="262626"/>
                <w:sz w:val="18"/>
              </w:rPr>
              <w:t>ÉXITO: Error 'Un supervisor no puede ser registrado como su propio jefe'.</w:t>
            </w:r>
          </w:p>
        </w:tc>
      </w:tr>
      <w:tr>
        <w:tc>
          <w:tcPr>
            <w:tcW w:type="dxa" w:w="1296"/>
            <w:shd w:val="clear" w:color="auto" w:fill="FFFFFF"/>
            <w:tcMar>
              <w:top w:w="70" w:type="dxa"/>
              <w:bottom w:w="70" w:type="dxa"/>
              <w:left w:w="90" w:type="dxa"/>
              <w:right w:w="90" w:type="dxa"/>
            </w:tcMar>
          </w:tcPr>
          <w:p>
            <w:r>
              <w:rPr>
                <w:rFonts w:ascii="Calibri" w:hAnsi="Calibri"/>
                <w:b/>
                <w:color w:val="262626"/>
                <w:sz w:val="18"/>
              </w:rPr>
              <w:t>Prueba 3.2</w:t>
            </w:r>
          </w:p>
        </w:tc>
        <w:tc>
          <w:tcPr>
            <w:tcW w:type="dxa" w:w="2592"/>
            <w:shd w:val="clear" w:color="auto" w:fill="FFFFFF"/>
            <w:tcMar>
              <w:top w:w="70" w:type="dxa"/>
              <w:bottom w:w="70" w:type="dxa"/>
              <w:left w:w="90" w:type="dxa"/>
              <w:right w:w="90" w:type="dxa"/>
            </w:tcMar>
          </w:tcPr>
          <w:p>
            <w:r>
              <w:rPr>
                <w:rFonts w:ascii="Calibri" w:hAnsi="Calibri"/>
                <w:b/>
                <w:color w:val="262626"/>
                <w:sz w:val="18"/>
              </w:rPr>
              <w:t>Trigger 2 (Ciclo Jerárquico)</w:t>
            </w:r>
          </w:p>
        </w:tc>
        <w:tc>
          <w:tcPr>
            <w:tcW w:type="dxa" w:w="3168"/>
            <w:shd w:val="clear" w:color="auto" w:fill="FFFFFF"/>
            <w:tcMar>
              <w:top w:w="70" w:type="dxa"/>
              <w:bottom w:w="70" w:type="dxa"/>
              <w:left w:w="90" w:type="dxa"/>
              <w:right w:w="90" w:type="dxa"/>
            </w:tcMar>
          </w:tcPr>
          <w:p>
            <w:r>
              <w:rPr>
                <w:rFonts w:ascii="Calibri" w:hAnsi="Calibri"/>
                <w:b/>
                <w:color w:val="262626"/>
                <w:sz w:val="18"/>
              </w:rPr>
              <w:t>Rechazar ciclo indirecto A -&gt; B -&gt; C -&gt; A en línea de mando.</w:t>
            </w:r>
          </w:p>
        </w:tc>
        <w:tc>
          <w:tcPr>
            <w:tcW w:type="dxa" w:w="2304"/>
            <w:shd w:val="clear" w:color="auto" w:fill="FFFFFF"/>
            <w:tcMar>
              <w:top w:w="70" w:type="dxa"/>
              <w:bottom w:w="70" w:type="dxa"/>
              <w:left w:w="90" w:type="dxa"/>
              <w:right w:w="90" w:type="dxa"/>
            </w:tcMar>
          </w:tcPr>
          <w:p>
            <w:r>
              <w:rPr>
                <w:rFonts w:ascii="Calibri" w:hAnsi="Calibri"/>
                <w:b/>
                <w:color w:val="262626"/>
                <w:sz w:val="18"/>
              </w:rPr>
              <w:t>ÉXITO: Error 'Se ha detectado un ciclo en la jerarquía' vía CTE.</w:t>
            </w:r>
          </w:p>
        </w:tc>
      </w:tr>
      <w:tr>
        <w:tc>
          <w:tcPr>
            <w:tcW w:type="dxa" w:w="1296"/>
            <w:shd w:val="clear" w:color="auto" w:fill="F2F4F7"/>
            <w:tcMar>
              <w:top w:w="70" w:type="dxa"/>
              <w:bottom w:w="70" w:type="dxa"/>
              <w:left w:w="90" w:type="dxa"/>
              <w:right w:w="90" w:type="dxa"/>
            </w:tcMar>
          </w:tcPr>
          <w:p>
            <w:r>
              <w:rPr>
                <w:rFonts w:ascii="Calibri" w:hAnsi="Calibri"/>
                <w:b/>
                <w:color w:val="262626"/>
                <w:sz w:val="18"/>
              </w:rPr>
              <w:t>Prueba 4</w:t>
            </w:r>
          </w:p>
        </w:tc>
        <w:tc>
          <w:tcPr>
            <w:tcW w:type="dxa" w:w="2592"/>
            <w:shd w:val="clear" w:color="auto" w:fill="F2F4F7"/>
            <w:tcMar>
              <w:top w:w="70" w:type="dxa"/>
              <w:bottom w:w="70" w:type="dxa"/>
              <w:left w:w="90" w:type="dxa"/>
              <w:right w:w="90" w:type="dxa"/>
            </w:tcMar>
          </w:tcPr>
          <w:p>
            <w:r>
              <w:rPr>
                <w:rFonts w:ascii="Calibri" w:hAnsi="Calibri"/>
                <w:b/>
                <w:color w:val="262626"/>
                <w:sz w:val="18"/>
              </w:rPr>
              <w:t>Trigger 3 (Recupero Devolución)</w:t>
            </w:r>
          </w:p>
        </w:tc>
        <w:tc>
          <w:tcPr>
            <w:tcW w:type="dxa" w:w="3168"/>
            <w:shd w:val="clear" w:color="auto" w:fill="F2F4F7"/>
            <w:tcMar>
              <w:top w:w="70" w:type="dxa"/>
              <w:bottom w:w="70" w:type="dxa"/>
              <w:left w:w="90" w:type="dxa"/>
              <w:right w:w="90" w:type="dxa"/>
            </w:tcMar>
          </w:tcPr>
          <w:p>
            <w:r>
              <w:rPr>
                <w:rFonts w:ascii="Calibri" w:hAnsi="Calibri"/>
                <w:b/>
                <w:color w:val="262626"/>
                <w:sz w:val="18"/>
              </w:rPr>
              <w:t>Anular FAC-2026-001 retrae comisiones previas con montos negativos.</w:t>
            </w:r>
          </w:p>
        </w:tc>
        <w:tc>
          <w:tcPr>
            <w:tcW w:type="dxa" w:w="2304"/>
            <w:shd w:val="clear" w:color="auto" w:fill="F2F4F7"/>
            <w:tcMar>
              <w:top w:w="70" w:type="dxa"/>
              <w:bottom w:w="70" w:type="dxa"/>
              <w:left w:w="90" w:type="dxa"/>
              <w:right w:w="90" w:type="dxa"/>
            </w:tcMar>
          </w:tcPr>
          <w:p>
            <w:r>
              <w:rPr>
                <w:rFonts w:ascii="Calibri" w:hAnsi="Calibri"/>
                <w:b/>
                <w:color w:val="262626"/>
                <w:sz w:val="18"/>
              </w:rPr>
              <w:t>ÉXITO: Ajuste registrado (-1260.00 y -840.00 a vendedores, -197.40 supervisor).</w:t>
            </w:r>
          </w:p>
        </w:tc>
      </w:tr>
      <w:tr>
        <w:tc>
          <w:tcPr>
            <w:tcW w:type="dxa" w:w="1296"/>
            <w:shd w:val="clear" w:color="auto" w:fill="FFFFFF"/>
            <w:tcMar>
              <w:top w:w="70" w:type="dxa"/>
              <w:bottom w:w="70" w:type="dxa"/>
              <w:left w:w="90" w:type="dxa"/>
              <w:right w:w="90" w:type="dxa"/>
            </w:tcMar>
          </w:tcPr>
          <w:p>
            <w:r>
              <w:rPr>
                <w:rFonts w:ascii="Calibri" w:hAnsi="Calibri"/>
                <w:b/>
                <w:color w:val="262626"/>
                <w:sz w:val="18"/>
              </w:rPr>
              <w:t>Prueba 5</w:t>
            </w:r>
          </w:p>
        </w:tc>
        <w:tc>
          <w:tcPr>
            <w:tcW w:type="dxa" w:w="2592"/>
            <w:shd w:val="clear" w:color="auto" w:fill="FFFFFF"/>
            <w:tcMar>
              <w:top w:w="70" w:type="dxa"/>
              <w:bottom w:w="70" w:type="dxa"/>
              <w:left w:w="90" w:type="dxa"/>
              <w:right w:w="90" w:type="dxa"/>
            </w:tcMar>
          </w:tcPr>
          <w:p>
            <w:r>
              <w:rPr>
                <w:rFonts w:ascii="Calibri" w:hAnsi="Calibri"/>
                <w:b/>
                <w:color w:val="262626"/>
                <w:sz w:val="18"/>
              </w:rPr>
              <w:t>Trigger 4 (Solapamiento Plan)</w:t>
            </w:r>
          </w:p>
        </w:tc>
        <w:tc>
          <w:tcPr>
            <w:tcW w:type="dxa" w:w="3168"/>
            <w:shd w:val="clear" w:color="auto" w:fill="FFFFFF"/>
            <w:tcMar>
              <w:top w:w="70" w:type="dxa"/>
              <w:bottom w:w="70" w:type="dxa"/>
              <w:left w:w="90" w:type="dxa"/>
              <w:right w:w="90" w:type="dxa"/>
            </w:tcMar>
          </w:tcPr>
          <w:p>
            <w:r>
              <w:rPr>
                <w:rFonts w:ascii="Calibri" w:hAnsi="Calibri"/>
                <w:b/>
                <w:color w:val="262626"/>
                <w:sz w:val="18"/>
              </w:rPr>
              <w:t>Rechazar planes concurrentes para la misma dupla (vendedor, rol).</w:t>
            </w:r>
          </w:p>
        </w:tc>
        <w:tc>
          <w:tcPr>
            <w:tcW w:type="dxa" w:w="2304"/>
            <w:shd w:val="clear" w:color="auto" w:fill="FFFFFF"/>
            <w:tcMar>
              <w:top w:w="70" w:type="dxa"/>
              <w:bottom w:w="70" w:type="dxa"/>
              <w:left w:w="90" w:type="dxa"/>
              <w:right w:w="90" w:type="dxa"/>
            </w:tcMar>
          </w:tcPr>
          <w:p>
            <w:r>
              <w:rPr>
                <w:rFonts w:ascii="Calibri" w:hAnsi="Calibri"/>
                <w:b/>
                <w:color w:val="262626"/>
                <w:sz w:val="18"/>
              </w:rPr>
              <w:t>ÉXITO: Solapamiento bloqueado por solapamiento de fechas vigentes.</w:t>
            </w:r>
          </w:p>
        </w:tc>
      </w:tr>
      <w:tr>
        <w:tc>
          <w:tcPr>
            <w:tcW w:type="dxa" w:w="1296"/>
            <w:shd w:val="clear" w:color="auto" w:fill="F2F4F7"/>
            <w:tcMar>
              <w:top w:w="70" w:type="dxa"/>
              <w:bottom w:w="70" w:type="dxa"/>
              <w:left w:w="90" w:type="dxa"/>
              <w:right w:w="90" w:type="dxa"/>
            </w:tcMar>
          </w:tcPr>
          <w:p>
            <w:r>
              <w:rPr>
                <w:rFonts w:ascii="Calibri" w:hAnsi="Calibri"/>
                <w:b/>
                <w:color w:val="262626"/>
                <w:sz w:val="18"/>
              </w:rPr>
              <w:t>Prueba 6</w:t>
            </w:r>
          </w:p>
        </w:tc>
        <w:tc>
          <w:tcPr>
            <w:tcW w:type="dxa" w:w="2592"/>
            <w:shd w:val="clear" w:color="auto" w:fill="F2F4F7"/>
            <w:tcMar>
              <w:top w:w="70" w:type="dxa"/>
              <w:bottom w:w="70" w:type="dxa"/>
              <w:left w:w="90" w:type="dxa"/>
              <w:right w:w="90" w:type="dxa"/>
            </w:tcMar>
          </w:tcPr>
          <w:p>
            <w:r>
              <w:rPr>
                <w:rFonts w:ascii="Calibri" w:hAnsi="Calibri"/>
                <w:b/>
                <w:color w:val="262626"/>
                <w:sz w:val="18"/>
              </w:rPr>
              <w:t>Restricción CK_Periodo_fechas</w:t>
            </w:r>
          </w:p>
        </w:tc>
        <w:tc>
          <w:tcPr>
            <w:tcW w:type="dxa" w:w="3168"/>
            <w:shd w:val="clear" w:color="auto" w:fill="F2F4F7"/>
            <w:tcMar>
              <w:top w:w="70" w:type="dxa"/>
              <w:bottom w:w="70" w:type="dxa"/>
              <w:left w:w="90" w:type="dxa"/>
              <w:right w:w="90" w:type="dxa"/>
            </w:tcMar>
          </w:tcPr>
          <w:p>
            <w:r>
              <w:rPr>
                <w:rFonts w:ascii="Calibri" w:hAnsi="Calibri"/>
                <w:b/>
                <w:color w:val="262626"/>
                <w:sz w:val="18"/>
              </w:rPr>
              <w:t>Rechazar período mensual con duración menor o distinta de 1 mes.</w:t>
            </w:r>
          </w:p>
        </w:tc>
        <w:tc>
          <w:tcPr>
            <w:tcW w:type="dxa" w:w="2304"/>
            <w:shd w:val="clear" w:color="auto" w:fill="F2F4F7"/>
            <w:tcMar>
              <w:top w:w="70" w:type="dxa"/>
              <w:bottom w:w="70" w:type="dxa"/>
              <w:left w:w="90" w:type="dxa"/>
              <w:right w:w="90" w:type="dxa"/>
            </w:tcMar>
          </w:tcPr>
          <w:p>
            <w:r>
              <w:rPr>
                <w:rFonts w:ascii="Calibri" w:hAnsi="Calibri"/>
                <w:b/>
                <w:color w:val="262626"/>
                <w:sz w:val="18"/>
              </w:rPr>
              <w:t>ÉXITO: Transacción abortada por infracción de CHECK constraint.</w:t>
            </w:r>
          </w:p>
        </w:tc>
      </w:tr>
      <w:tr>
        <w:tc>
          <w:tcPr>
            <w:tcW w:type="dxa" w:w="1296"/>
            <w:shd w:val="clear" w:color="auto" w:fill="FFFFFF"/>
            <w:tcMar>
              <w:top w:w="70" w:type="dxa"/>
              <w:bottom w:w="70" w:type="dxa"/>
              <w:left w:w="90" w:type="dxa"/>
              <w:right w:w="90" w:type="dxa"/>
            </w:tcMar>
          </w:tcPr>
          <w:p>
            <w:r>
              <w:rPr>
                <w:rFonts w:ascii="Calibri" w:hAnsi="Calibri"/>
                <w:b/>
                <w:color w:val="262626"/>
                <w:sz w:val="18"/>
              </w:rPr>
              <w:t>Prueba 7</w:t>
            </w:r>
          </w:p>
        </w:tc>
        <w:tc>
          <w:tcPr>
            <w:tcW w:type="dxa" w:w="2592"/>
            <w:shd w:val="clear" w:color="auto" w:fill="FFFFFF"/>
            <w:tcMar>
              <w:top w:w="70" w:type="dxa"/>
              <w:bottom w:w="70" w:type="dxa"/>
              <w:left w:w="90" w:type="dxa"/>
              <w:right w:w="90" w:type="dxa"/>
            </w:tcMar>
          </w:tcPr>
          <w:p>
            <w:r>
              <w:rPr>
                <w:rFonts w:ascii="Calibri" w:hAnsi="Calibri"/>
                <w:b/>
                <w:color w:val="262626"/>
                <w:sz w:val="18"/>
              </w:rPr>
              <w:t>Función fn_CalcularBase</w:t>
            </w:r>
          </w:p>
        </w:tc>
        <w:tc>
          <w:tcPr>
            <w:tcW w:type="dxa" w:w="3168"/>
            <w:shd w:val="clear" w:color="auto" w:fill="FFFFFF"/>
            <w:tcMar>
              <w:top w:w="70" w:type="dxa"/>
              <w:bottom w:w="70" w:type="dxa"/>
              <w:left w:w="90" w:type="dxa"/>
              <w:right w:w="90" w:type="dxa"/>
            </w:tcMar>
          </w:tcPr>
          <w:p>
            <w:r>
              <w:rPr>
                <w:rFonts w:ascii="Calibri" w:hAnsi="Calibri"/>
                <w:b/>
                <w:color w:val="262626"/>
                <w:sz w:val="18"/>
              </w:rPr>
              <w:t>Discriminación exacta según filtros (SaaS=0, Hardware=Margen Bruto, etc.).</w:t>
            </w:r>
          </w:p>
        </w:tc>
        <w:tc>
          <w:tcPr>
            <w:tcW w:type="dxa" w:w="2304"/>
            <w:shd w:val="clear" w:color="auto" w:fill="FFFFFF"/>
            <w:tcMar>
              <w:top w:w="70" w:type="dxa"/>
              <w:bottom w:w="70" w:type="dxa"/>
              <w:left w:w="90" w:type="dxa"/>
              <w:right w:w="90" w:type="dxa"/>
            </w:tcMar>
          </w:tcPr>
          <w:p>
            <w:r>
              <w:rPr>
                <w:rFonts w:ascii="Calibri" w:hAnsi="Calibri"/>
                <w:b/>
                <w:color w:val="262626"/>
                <w:sz w:val="18"/>
              </w:rPr>
              <w:t>ÉXITO: Cálculos matemáticos exactos según segmento y producto.</w:t>
            </w:r>
          </w:p>
        </w:tc>
      </w:tr>
      <w:tr>
        <w:tc>
          <w:tcPr>
            <w:tcW w:type="dxa" w:w="1296"/>
            <w:shd w:val="clear" w:color="auto" w:fill="F2F4F7"/>
            <w:tcMar>
              <w:top w:w="70" w:type="dxa"/>
              <w:bottom w:w="70" w:type="dxa"/>
              <w:left w:w="90" w:type="dxa"/>
              <w:right w:w="90" w:type="dxa"/>
            </w:tcMar>
          </w:tcPr>
          <w:p>
            <w:r>
              <w:rPr>
                <w:rFonts w:ascii="Calibri" w:hAnsi="Calibri"/>
                <w:b/>
                <w:color w:val="262626"/>
                <w:sz w:val="18"/>
              </w:rPr>
              <w:t>Prueba 8</w:t>
            </w:r>
          </w:p>
        </w:tc>
        <w:tc>
          <w:tcPr>
            <w:tcW w:type="dxa" w:w="2592"/>
            <w:shd w:val="clear" w:color="auto" w:fill="F2F4F7"/>
            <w:tcMar>
              <w:top w:w="70" w:type="dxa"/>
              <w:bottom w:w="70" w:type="dxa"/>
              <w:left w:w="90" w:type="dxa"/>
              <w:right w:w="90" w:type="dxa"/>
            </w:tcMar>
          </w:tcPr>
          <w:p>
            <w:r>
              <w:rPr>
                <w:rFonts w:ascii="Calibri" w:hAnsi="Calibri"/>
                <w:b/>
                <w:color w:val="262626"/>
                <w:sz w:val="18"/>
              </w:rPr>
              <w:t>Roles de Seguridad</w:t>
            </w:r>
          </w:p>
        </w:tc>
        <w:tc>
          <w:tcPr>
            <w:tcW w:type="dxa" w:w="3168"/>
            <w:shd w:val="clear" w:color="auto" w:fill="F2F4F7"/>
            <w:tcMar>
              <w:top w:w="70" w:type="dxa"/>
              <w:bottom w:w="70" w:type="dxa"/>
              <w:left w:w="90" w:type="dxa"/>
              <w:right w:w="90" w:type="dxa"/>
            </w:tcMar>
          </w:tcPr>
          <w:p>
            <w:r>
              <w:rPr>
                <w:rFonts w:ascii="Calibri" w:hAnsi="Calibri"/>
                <w:b/>
                <w:color w:val="262626"/>
                <w:sz w:val="18"/>
              </w:rPr>
              <w:t>moderador sólo lectura (INSERT falla); registrador restringe tablas clave.</w:t>
            </w:r>
          </w:p>
        </w:tc>
        <w:tc>
          <w:tcPr>
            <w:tcW w:type="dxa" w:w="2304"/>
            <w:shd w:val="clear" w:color="auto" w:fill="F2F4F7"/>
            <w:tcMar>
              <w:top w:w="70" w:type="dxa"/>
              <w:bottom w:w="70" w:type="dxa"/>
              <w:left w:w="90" w:type="dxa"/>
              <w:right w:w="90" w:type="dxa"/>
            </w:tcMar>
          </w:tcPr>
          <w:p>
            <w:r>
              <w:rPr>
                <w:rFonts w:ascii="Calibri" w:hAnsi="Calibri"/>
                <w:b/>
                <w:color w:val="262626"/>
                <w:sz w:val="18"/>
              </w:rPr>
              <w:t>ÉXITO: Matriz RBAC validada con permisos concedidos y denegados.</w:t>
            </w:r>
          </w:p>
        </w:tc>
      </w:tr>
    </w:tbl>
    <w:p>
      <w:pPr>
        <w:spacing w:before="0" w:after="80"/>
      </w:pPr>
    </w:p>
    <w:p>
      <w:pPr>
        <w:spacing w:before="0" w:after="120" w:line="276" w:lineRule="auto"/>
      </w:pPr>
      <w:r>
        <w:rPr>
          <w:rFonts w:ascii="Calibri" w:hAnsi="Calibri"/>
          <w:b/>
          <w:color w:val="262626"/>
          <w:sz w:val="22"/>
        </w:rPr>
        <w:t>Conclusión del Compendio de Justificaciones:</w:t>
      </w:r>
    </w:p>
    <w:p>
      <w:pPr>
        <w:spacing w:before="0" w:after="120" w:line="276" w:lineRule="auto"/>
      </w:pPr>
      <w:r>
        <w:rPr>
          <w:rFonts w:ascii="Calibri" w:hAnsi="Calibri"/>
          <w:b/>
          <w:color w:val="262626"/>
          <w:sz w:val="22"/>
        </w:rPr>
        <w:t>El diseño de la plataforma CompuComisiones, C.A. cumple holgadamente con todos los requerimientos funcionales, de integridad de datos, seguridad multinivel (RBAC) y de alta disponibilidad solicitados en la materia Administración de Bases de Datos. Los componentes físicos, programables y analíticos se encuentran enteramente orquestados, sincronizados y documentados para su defensa académica y pase a producción.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