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4549643"/>
        <w:docPartObj>
          <w:docPartGallery w:val="Cover Pages"/>
          <w:docPartUnique/>
        </w:docPartObj>
      </w:sdtPr>
      <w:sdtEndPr/>
      <w:sdtContent>
        <w:p w14:paraId="02310DCA" w14:textId="30FFFDB9" w:rsidR="000E232A" w:rsidRDefault="000E232A" w:rsidP="00F078FC">
          <w:pPr>
            <w:jc w:val="both"/>
          </w:pPr>
          <w:r>
            <w:rPr>
              <w:noProof/>
              <w:lang w:val="en-AU" w:eastAsia="zh-CN"/>
            </w:rPr>
            <mc:AlternateContent>
              <mc:Choice Requires="wpg">
                <w:drawing>
                  <wp:anchor distT="0" distB="0" distL="114300" distR="114300" simplePos="0" relativeHeight="251658243" behindDoc="0" locked="0" layoutInCell="1" allowOverlap="1" wp14:anchorId="33FDFED6" wp14:editId="322628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EE6708"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AU" w:eastAsia="zh-CN"/>
            </w:rPr>
            <mc:AlternateContent>
              <mc:Choice Requires="wps">
                <w:drawing>
                  <wp:anchor distT="0" distB="0" distL="114300" distR="114300" simplePos="0" relativeHeight="251658241" behindDoc="0" locked="0" layoutInCell="1" allowOverlap="1" wp14:anchorId="7CDEC318" wp14:editId="08EF5DA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C8F4AF" w14:textId="77777777" w:rsidR="0000158D" w:rsidRDefault="0000158D">
                                    <w:pPr>
                                      <w:pStyle w:val="NoSpacing"/>
                                      <w:jc w:val="right"/>
                                      <w:rPr>
                                        <w:color w:val="595959" w:themeColor="text1" w:themeTint="A6"/>
                                        <w:sz w:val="28"/>
                                        <w:szCs w:val="28"/>
                                      </w:rPr>
                                    </w:pPr>
                                    <w:r>
                                      <w:rPr>
                                        <w:color w:val="595959" w:themeColor="text1" w:themeTint="A6"/>
                                        <w:sz w:val="28"/>
                                        <w:szCs w:val="28"/>
                                      </w:rPr>
                                      <w:t>Jeremiah Dufourq</w:t>
                                    </w:r>
                                  </w:p>
                                </w:sdtContent>
                              </w:sdt>
                              <w:p w14:paraId="445FD383" w14:textId="3E5D1F77" w:rsidR="0000158D" w:rsidRDefault="00367A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158D">
                                      <w:rPr>
                                        <w:color w:val="595959" w:themeColor="text1" w:themeTint="A6"/>
                                        <w:sz w:val="18"/>
                                        <w:szCs w:val="18"/>
                                      </w:rPr>
                                      <w:t>j.dufourq@connect.qut.edu.au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DEC31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C8F4AF" w14:textId="77777777" w:rsidR="0000158D" w:rsidRDefault="0000158D">
                              <w:pPr>
                                <w:pStyle w:val="NoSpacing"/>
                                <w:jc w:val="right"/>
                                <w:rPr>
                                  <w:color w:val="595959" w:themeColor="text1" w:themeTint="A6"/>
                                  <w:sz w:val="28"/>
                                  <w:szCs w:val="28"/>
                                </w:rPr>
                              </w:pPr>
                              <w:r>
                                <w:rPr>
                                  <w:color w:val="595959" w:themeColor="text1" w:themeTint="A6"/>
                                  <w:sz w:val="28"/>
                                  <w:szCs w:val="28"/>
                                </w:rPr>
                                <w:t>Jeremiah Dufourq</w:t>
                              </w:r>
                            </w:p>
                          </w:sdtContent>
                        </w:sdt>
                        <w:p w14:paraId="445FD383" w14:textId="3E5D1F77" w:rsidR="0000158D" w:rsidRDefault="00367A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158D">
                                <w:rPr>
                                  <w:color w:val="595959" w:themeColor="text1" w:themeTint="A6"/>
                                  <w:sz w:val="18"/>
                                  <w:szCs w:val="18"/>
                                </w:rPr>
                                <w:t>j.dufourq@connect.qut.edu.au</w:t>
                              </w:r>
                            </w:sdtContent>
                          </w:sdt>
                        </w:p>
                      </w:txbxContent>
                    </v:textbox>
                    <w10:wrap type="square" anchorx="page" anchory="page"/>
                  </v:shape>
                </w:pict>
              </mc:Fallback>
            </mc:AlternateContent>
          </w:r>
          <w:r>
            <w:rPr>
              <w:noProof/>
              <w:lang w:val="en-AU" w:eastAsia="zh-CN"/>
            </w:rPr>
            <mc:AlternateContent>
              <mc:Choice Requires="wps">
                <w:drawing>
                  <wp:anchor distT="0" distB="0" distL="114300" distR="114300" simplePos="0" relativeHeight="251658240" behindDoc="0" locked="0" layoutInCell="1" allowOverlap="1" wp14:anchorId="2B58C3A0" wp14:editId="67B5602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44ACB" w14:textId="052566E4" w:rsidR="0000158D" w:rsidRDefault="00367A6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58D">
                                      <w:rPr>
                                        <w:caps/>
                                        <w:color w:val="4472C4" w:themeColor="accent1"/>
                                        <w:sz w:val="64"/>
                                        <w:szCs w:val="64"/>
                                      </w:rPr>
                                      <w:t>Research Booklet</w:t>
                                    </w:r>
                                  </w:sdtContent>
                                </w:sdt>
                              </w:p>
                              <w:p w14:paraId="3C761155" w14:textId="5C7FF8F6" w:rsidR="0000158D" w:rsidRDefault="0000158D" w:rsidP="00931678">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58C3A0" id="Text Box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3C44ACB" w14:textId="052566E4" w:rsidR="0000158D" w:rsidRDefault="00367A6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158D">
                                <w:rPr>
                                  <w:caps/>
                                  <w:color w:val="4472C4" w:themeColor="accent1"/>
                                  <w:sz w:val="64"/>
                                  <w:szCs w:val="64"/>
                                </w:rPr>
                                <w:t>Research Booklet</w:t>
                              </w:r>
                            </w:sdtContent>
                          </w:sdt>
                        </w:p>
                        <w:p w14:paraId="3C761155" w14:textId="5C7FF8F6" w:rsidR="0000158D" w:rsidRDefault="0000158D" w:rsidP="00931678">
                          <w:pPr>
                            <w:jc w:val="center"/>
                            <w:rPr>
                              <w:smallCaps/>
                              <w:color w:val="404040" w:themeColor="text1" w:themeTint="BF"/>
                              <w:sz w:val="36"/>
                              <w:szCs w:val="36"/>
                            </w:rPr>
                          </w:pPr>
                        </w:p>
                      </w:txbxContent>
                    </v:textbox>
                    <w10:wrap type="square" anchorx="page" anchory="page"/>
                  </v:shape>
                </w:pict>
              </mc:Fallback>
            </mc:AlternateContent>
          </w:r>
        </w:p>
        <w:p w14:paraId="2EEABB3A" w14:textId="77777777" w:rsidR="000E232A" w:rsidRDefault="000E232A" w:rsidP="00F078FC">
          <w:pPr>
            <w:jc w:val="both"/>
          </w:pPr>
          <w:r>
            <w:br w:type="page"/>
          </w:r>
        </w:p>
      </w:sdtContent>
    </w:sdt>
    <w:p w14:paraId="270D5A03" w14:textId="232E2FC2" w:rsidR="005D48D0" w:rsidRPr="00BA40D9" w:rsidRDefault="00BA40D9" w:rsidP="00931678">
      <w:pPr>
        <w:pStyle w:val="Heading1"/>
        <w:jc w:val="both"/>
      </w:pPr>
      <w:r>
        <w:lastRenderedPageBreak/>
        <w:t>Research questions:</w:t>
      </w:r>
    </w:p>
    <w:p w14:paraId="7E90ED78" w14:textId="09171B29" w:rsidR="00BA40D9" w:rsidRDefault="003666F8" w:rsidP="00F078FC">
      <w:pPr>
        <w:pStyle w:val="Heading1"/>
        <w:jc w:val="both"/>
      </w:pPr>
      <w:r>
        <w:t>Research:</w:t>
      </w:r>
    </w:p>
    <w:p w14:paraId="56799CE1" w14:textId="1587ACE2" w:rsidR="00607025" w:rsidRDefault="00607025" w:rsidP="00F078FC">
      <w:pPr>
        <w:pStyle w:val="Heading2"/>
        <w:jc w:val="both"/>
      </w:pPr>
      <w:r>
        <w:t>Context article:</w:t>
      </w:r>
    </w:p>
    <w:tbl>
      <w:tblPr>
        <w:tblStyle w:val="GridTable4"/>
        <w:tblW w:w="0" w:type="auto"/>
        <w:tblLook w:val="04A0" w:firstRow="1" w:lastRow="0" w:firstColumn="1" w:lastColumn="0" w:noHBand="0" w:noVBand="1"/>
      </w:tblPr>
      <w:tblGrid>
        <w:gridCol w:w="1696"/>
        <w:gridCol w:w="7320"/>
      </w:tblGrid>
      <w:tr w:rsidR="00607025" w14:paraId="2345B723" w14:textId="77777777" w:rsidTr="0000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FA1C9A" w14:textId="77777777" w:rsidR="00607025" w:rsidRDefault="00607025" w:rsidP="00F078FC">
            <w:pPr>
              <w:jc w:val="both"/>
            </w:pPr>
            <w:r>
              <w:t>Source number</w:t>
            </w:r>
          </w:p>
        </w:tc>
        <w:tc>
          <w:tcPr>
            <w:tcW w:w="7320" w:type="dxa"/>
          </w:tcPr>
          <w:p w14:paraId="0B284758" w14:textId="7FAA7D0B" w:rsidR="00607025" w:rsidRDefault="006B5040" w:rsidP="00F078FC">
            <w:pPr>
              <w:jc w:val="both"/>
              <w:cnfStyle w:val="100000000000" w:firstRow="1" w:lastRow="0" w:firstColumn="0" w:lastColumn="0" w:oddVBand="0" w:evenVBand="0" w:oddHBand="0" w:evenHBand="0" w:firstRowFirstColumn="0" w:firstRowLastColumn="0" w:lastRowFirstColumn="0" w:lastRowLastColumn="0"/>
            </w:pPr>
            <w:r>
              <w:t>1</w:t>
            </w:r>
          </w:p>
        </w:tc>
      </w:tr>
      <w:tr w:rsidR="00607025" w14:paraId="155D0B5A"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8F8E16" w14:textId="77777777" w:rsidR="00607025" w:rsidRDefault="00607025" w:rsidP="00F078FC">
            <w:pPr>
              <w:jc w:val="both"/>
            </w:pPr>
            <w:r>
              <w:t>Source</w:t>
            </w:r>
          </w:p>
        </w:tc>
        <w:tc>
          <w:tcPr>
            <w:tcW w:w="7320" w:type="dxa"/>
          </w:tcPr>
          <w:p w14:paraId="524AA9B3" w14:textId="77777777" w:rsidR="00607025" w:rsidRDefault="00607025" w:rsidP="00F078FC">
            <w:pPr>
              <w:jc w:val="both"/>
              <w:cnfStyle w:val="000000100000" w:firstRow="0" w:lastRow="0" w:firstColumn="0" w:lastColumn="0" w:oddVBand="0" w:evenVBand="0" w:oddHBand="1" w:evenHBand="0" w:firstRowFirstColumn="0" w:firstRowLastColumn="0" w:lastRowFirstColumn="0" w:lastRowLastColumn="0"/>
            </w:pPr>
            <w:r w:rsidRPr="00090253">
              <w:rPr>
                <w:b/>
              </w:rPr>
              <w:t>Notes</w:t>
            </w:r>
          </w:p>
        </w:tc>
      </w:tr>
      <w:tr w:rsidR="00607025" w14:paraId="79FEC34B" w14:textId="77777777" w:rsidTr="0000158D">
        <w:tc>
          <w:tcPr>
            <w:cnfStyle w:val="001000000000" w:firstRow="0" w:lastRow="0" w:firstColumn="1" w:lastColumn="0" w:oddVBand="0" w:evenVBand="0" w:oddHBand="0" w:evenHBand="0" w:firstRowFirstColumn="0" w:firstRowLastColumn="0" w:lastRowFirstColumn="0" w:lastRowLastColumn="0"/>
            <w:tcW w:w="1696" w:type="dxa"/>
          </w:tcPr>
          <w:p w14:paraId="2D892E93" w14:textId="5844403B" w:rsidR="00607025" w:rsidRDefault="00607025" w:rsidP="00F078FC">
            <w:pPr>
              <w:jc w:val="both"/>
            </w:pPr>
          </w:p>
        </w:tc>
        <w:tc>
          <w:tcPr>
            <w:tcW w:w="7320" w:type="dxa"/>
          </w:tcPr>
          <w:p w14:paraId="462D16C1" w14:textId="77777777" w:rsidR="00897177" w:rsidRDefault="00897177" w:rsidP="00897177">
            <w:pPr>
              <w:pStyle w:val="NormalWeb"/>
              <w:spacing w:before="120" w:beforeAutospacing="0" w:after="12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The</w:t>
            </w:r>
            <w:r>
              <w:rPr>
                <w:rStyle w:val="apple-converted-space"/>
                <w:rFonts w:ascii="Arial" w:eastAsiaTheme="majorEastAsia" w:hAnsi="Arial" w:cs="Arial"/>
                <w:color w:val="222222"/>
                <w:sz w:val="21"/>
                <w:szCs w:val="21"/>
              </w:rPr>
              <w:t> </w:t>
            </w:r>
            <w:r>
              <w:rPr>
                <w:rFonts w:ascii="Arial" w:hAnsi="Arial" w:cs="Arial"/>
                <w:b/>
                <w:bCs/>
                <w:color w:val="222222"/>
                <w:sz w:val="21"/>
                <w:szCs w:val="21"/>
              </w:rPr>
              <w:t>Black–Scholes</w:t>
            </w:r>
            <w:r>
              <w:rPr>
                <w:rStyle w:val="apple-converted-space"/>
                <w:rFonts w:ascii="Arial" w:eastAsiaTheme="majorEastAsia" w:hAnsi="Arial" w:cs="Arial"/>
                <w:color w:val="222222"/>
                <w:sz w:val="21"/>
                <w:szCs w:val="21"/>
              </w:rPr>
              <w:t> </w:t>
            </w:r>
            <w:hyperlink r:id="rId11" w:tooltip="Help:IPA/English" w:history="1">
              <w:r>
                <w:rPr>
                  <w:rStyle w:val="Hyperlink"/>
                  <w:rFonts w:ascii="Arial" w:hAnsi="Arial" w:cs="Arial"/>
                  <w:color w:val="0B0080"/>
                  <w:sz w:val="21"/>
                  <w:szCs w:val="21"/>
                </w:rPr>
                <w:t>/ˌ</w:t>
              </w:r>
              <w:proofErr w:type="spellStart"/>
              <w:r>
                <w:rPr>
                  <w:rStyle w:val="Hyperlink"/>
                  <w:rFonts w:ascii="Arial" w:hAnsi="Arial" w:cs="Arial"/>
                  <w:color w:val="0B0080"/>
                  <w:sz w:val="21"/>
                  <w:szCs w:val="21"/>
                </w:rPr>
                <w:t>blæk</w:t>
              </w:r>
              <w:proofErr w:type="spellEnd"/>
              <w:r>
                <w:rPr>
                  <w:rStyle w:val="apple-converted-space"/>
                  <w:rFonts w:ascii="Arial" w:eastAsiaTheme="majorEastAsia" w:hAnsi="Arial" w:cs="Arial"/>
                  <w:color w:val="0B0080"/>
                  <w:sz w:val="21"/>
                  <w:szCs w:val="21"/>
                  <w:u w:val="single"/>
                </w:rPr>
                <w:t> </w:t>
              </w:r>
              <w:r>
                <w:rPr>
                  <w:rStyle w:val="Hyperlink"/>
                  <w:rFonts w:ascii="Arial" w:hAnsi="Arial" w:cs="Arial"/>
                  <w:color w:val="0B0080"/>
                  <w:sz w:val="21"/>
                  <w:szCs w:val="21"/>
                </w:rPr>
                <w:t>ˈ</w:t>
              </w:r>
              <w:proofErr w:type="spellStart"/>
              <w:r>
                <w:rPr>
                  <w:rStyle w:val="Hyperlink"/>
                  <w:rFonts w:ascii="Arial" w:hAnsi="Arial" w:cs="Arial"/>
                  <w:color w:val="0B0080"/>
                  <w:sz w:val="21"/>
                  <w:szCs w:val="21"/>
                </w:rPr>
                <w:t>ʃoʊlz</w:t>
              </w:r>
              <w:proofErr w:type="spellEnd"/>
              <w:r>
                <w:rPr>
                  <w:rStyle w:val="Hyperlink"/>
                  <w:rFonts w:ascii="Arial" w:hAnsi="Arial" w:cs="Arial"/>
                  <w:color w:val="0B0080"/>
                  <w:sz w:val="21"/>
                  <w:szCs w:val="21"/>
                </w:rPr>
                <w:t>/</w:t>
              </w:r>
            </w:hyperlink>
            <w:hyperlink r:id="rId12" w:anchor="cite_note-1" w:history="1">
              <w:r>
                <w:rPr>
                  <w:rStyle w:val="Hyperlink"/>
                  <w:rFonts w:ascii="Arial" w:hAnsi="Arial" w:cs="Arial"/>
                  <w:color w:val="0B0080"/>
                  <w:sz w:val="17"/>
                  <w:szCs w:val="17"/>
                  <w:vertAlign w:val="superscript"/>
                </w:rPr>
                <w:t>[1]</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or</w:t>
            </w:r>
            <w:r>
              <w:rPr>
                <w:rStyle w:val="apple-converted-space"/>
                <w:rFonts w:ascii="Arial" w:eastAsiaTheme="majorEastAsia" w:hAnsi="Arial" w:cs="Arial"/>
                <w:color w:val="222222"/>
                <w:sz w:val="21"/>
                <w:szCs w:val="21"/>
              </w:rPr>
              <w:t> </w:t>
            </w:r>
            <w:r>
              <w:rPr>
                <w:rFonts w:ascii="Arial" w:hAnsi="Arial" w:cs="Arial"/>
                <w:b/>
                <w:bCs/>
                <w:color w:val="222222"/>
                <w:sz w:val="21"/>
                <w:szCs w:val="21"/>
              </w:rPr>
              <w:t>Black–Scholes–Merton model</w:t>
            </w:r>
            <w:r>
              <w:rPr>
                <w:rStyle w:val="apple-converted-space"/>
                <w:rFonts w:ascii="Arial" w:eastAsiaTheme="majorEastAsia" w:hAnsi="Arial" w:cs="Arial"/>
                <w:color w:val="222222"/>
                <w:sz w:val="21"/>
                <w:szCs w:val="21"/>
              </w:rPr>
              <w:t> </w:t>
            </w:r>
            <w:r>
              <w:rPr>
                <w:rFonts w:ascii="Arial" w:hAnsi="Arial" w:cs="Arial"/>
                <w:color w:val="222222"/>
                <w:sz w:val="21"/>
                <w:szCs w:val="21"/>
              </w:rPr>
              <w:t>is a</w:t>
            </w:r>
            <w:r>
              <w:rPr>
                <w:rStyle w:val="apple-converted-space"/>
                <w:rFonts w:ascii="Arial" w:eastAsiaTheme="majorEastAsia" w:hAnsi="Arial" w:cs="Arial"/>
                <w:color w:val="222222"/>
                <w:sz w:val="21"/>
                <w:szCs w:val="21"/>
              </w:rPr>
              <w:t> </w:t>
            </w:r>
            <w:hyperlink r:id="rId13" w:tooltip="Mathematical model" w:history="1">
              <w:r>
                <w:rPr>
                  <w:rStyle w:val="Hyperlink"/>
                  <w:rFonts w:ascii="Arial" w:hAnsi="Arial" w:cs="Arial"/>
                  <w:color w:val="0B0080"/>
                  <w:sz w:val="21"/>
                  <w:szCs w:val="21"/>
                </w:rPr>
                <w:t>mathematical model</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for the dynamics of a</w:t>
            </w:r>
            <w:r>
              <w:rPr>
                <w:rStyle w:val="apple-converted-space"/>
                <w:rFonts w:ascii="Arial" w:eastAsiaTheme="majorEastAsia" w:hAnsi="Arial" w:cs="Arial"/>
                <w:color w:val="222222"/>
                <w:sz w:val="21"/>
                <w:szCs w:val="21"/>
              </w:rPr>
              <w:t> </w:t>
            </w:r>
            <w:hyperlink r:id="rId14" w:tooltip="Financial market" w:history="1">
              <w:r>
                <w:rPr>
                  <w:rStyle w:val="Hyperlink"/>
                  <w:rFonts w:ascii="Arial" w:hAnsi="Arial" w:cs="Arial"/>
                  <w:color w:val="0B0080"/>
                  <w:sz w:val="21"/>
                  <w:szCs w:val="21"/>
                </w:rPr>
                <w:t>financial market</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containing</w:t>
            </w:r>
            <w:r>
              <w:rPr>
                <w:rStyle w:val="apple-converted-space"/>
                <w:rFonts w:ascii="Arial" w:eastAsiaTheme="majorEastAsia" w:hAnsi="Arial" w:cs="Arial"/>
                <w:color w:val="222222"/>
                <w:sz w:val="21"/>
                <w:szCs w:val="21"/>
              </w:rPr>
              <w:t> </w:t>
            </w:r>
            <w:hyperlink r:id="rId15" w:tooltip="Derivative (finance)" w:history="1">
              <w:r>
                <w:rPr>
                  <w:rStyle w:val="Hyperlink"/>
                  <w:rFonts w:ascii="Arial" w:hAnsi="Arial" w:cs="Arial"/>
                  <w:color w:val="0B0080"/>
                  <w:sz w:val="21"/>
                  <w:szCs w:val="21"/>
                </w:rPr>
                <w:t>derivative</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investment instruments. From the</w:t>
            </w:r>
            <w:r>
              <w:rPr>
                <w:rStyle w:val="apple-converted-space"/>
                <w:rFonts w:ascii="Arial" w:eastAsiaTheme="majorEastAsia" w:hAnsi="Arial" w:cs="Arial"/>
                <w:color w:val="222222"/>
                <w:sz w:val="21"/>
                <w:szCs w:val="21"/>
              </w:rPr>
              <w:t> </w:t>
            </w:r>
            <w:hyperlink r:id="rId16" w:tooltip="Partial differential equation" w:history="1">
              <w:r>
                <w:rPr>
                  <w:rStyle w:val="Hyperlink"/>
                  <w:rFonts w:ascii="Arial" w:hAnsi="Arial" w:cs="Arial"/>
                  <w:color w:val="0B0080"/>
                  <w:sz w:val="21"/>
                  <w:szCs w:val="21"/>
                </w:rPr>
                <w:t>partial differential equation</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in the model, known as the</w:t>
            </w:r>
            <w:r>
              <w:rPr>
                <w:rStyle w:val="apple-converted-space"/>
                <w:rFonts w:ascii="Arial" w:eastAsiaTheme="majorEastAsia" w:hAnsi="Arial" w:cs="Arial"/>
                <w:color w:val="222222"/>
                <w:sz w:val="21"/>
                <w:szCs w:val="21"/>
              </w:rPr>
              <w:t> </w:t>
            </w:r>
            <w:hyperlink r:id="rId17" w:tooltip="Black–Scholes equation" w:history="1">
              <w:r>
                <w:rPr>
                  <w:rStyle w:val="Hyperlink"/>
                  <w:rFonts w:ascii="Arial" w:hAnsi="Arial" w:cs="Arial"/>
                  <w:color w:val="0B0080"/>
                  <w:sz w:val="21"/>
                  <w:szCs w:val="21"/>
                </w:rPr>
                <w:t>Black–Scholes equation</w:t>
              </w:r>
            </w:hyperlink>
            <w:r>
              <w:rPr>
                <w:rFonts w:ascii="Arial" w:hAnsi="Arial" w:cs="Arial"/>
                <w:color w:val="222222"/>
                <w:sz w:val="21"/>
                <w:szCs w:val="21"/>
              </w:rPr>
              <w:t>, one can deduce the</w:t>
            </w:r>
            <w:r>
              <w:rPr>
                <w:rStyle w:val="apple-converted-space"/>
                <w:rFonts w:ascii="Arial" w:eastAsiaTheme="majorEastAsia" w:hAnsi="Arial" w:cs="Arial"/>
                <w:color w:val="222222"/>
                <w:sz w:val="21"/>
                <w:szCs w:val="21"/>
              </w:rPr>
              <w:t> </w:t>
            </w:r>
            <w:r>
              <w:rPr>
                <w:rFonts w:ascii="Arial" w:hAnsi="Arial" w:cs="Arial"/>
                <w:b/>
                <w:bCs/>
                <w:color w:val="222222"/>
                <w:sz w:val="21"/>
                <w:szCs w:val="21"/>
              </w:rPr>
              <w:t>Black–Scholes formula</w:t>
            </w:r>
            <w:r>
              <w:rPr>
                <w:rFonts w:ascii="Arial" w:hAnsi="Arial" w:cs="Arial"/>
                <w:color w:val="222222"/>
                <w:sz w:val="21"/>
                <w:szCs w:val="21"/>
              </w:rPr>
              <w:t>, which gives a theoretical estimate of the price of</w:t>
            </w:r>
            <w:r>
              <w:rPr>
                <w:rStyle w:val="apple-converted-space"/>
                <w:rFonts w:ascii="Arial" w:eastAsiaTheme="majorEastAsia" w:hAnsi="Arial" w:cs="Arial"/>
                <w:color w:val="222222"/>
                <w:sz w:val="21"/>
                <w:szCs w:val="21"/>
              </w:rPr>
              <w:t> </w:t>
            </w:r>
            <w:hyperlink r:id="rId18" w:tooltip="Option style" w:history="1">
              <w:r>
                <w:rPr>
                  <w:rStyle w:val="Hyperlink"/>
                  <w:rFonts w:ascii="Arial" w:hAnsi="Arial" w:cs="Arial"/>
                  <w:color w:val="0B0080"/>
                  <w:sz w:val="21"/>
                  <w:szCs w:val="21"/>
                </w:rPr>
                <w:t>European-style</w:t>
              </w:r>
            </w:hyperlink>
            <w:r>
              <w:rPr>
                <w:rStyle w:val="apple-converted-space"/>
                <w:rFonts w:ascii="Arial" w:eastAsiaTheme="majorEastAsia" w:hAnsi="Arial" w:cs="Arial"/>
                <w:color w:val="222222"/>
                <w:sz w:val="21"/>
                <w:szCs w:val="21"/>
              </w:rPr>
              <w:t> </w:t>
            </w:r>
            <w:hyperlink r:id="rId19" w:tooltip="Option (finance)" w:history="1">
              <w:r>
                <w:rPr>
                  <w:rStyle w:val="Hyperlink"/>
                  <w:rFonts w:ascii="Arial" w:hAnsi="Arial" w:cs="Arial"/>
                  <w:color w:val="0B0080"/>
                  <w:sz w:val="21"/>
                  <w:szCs w:val="21"/>
                </w:rPr>
                <w:t>options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and shows that the option has a</w:t>
            </w:r>
            <w:r>
              <w:rPr>
                <w:rStyle w:val="apple-converted-space"/>
                <w:rFonts w:ascii="Arial" w:eastAsiaTheme="majorEastAsia" w:hAnsi="Arial" w:cs="Arial"/>
                <w:color w:val="222222"/>
                <w:sz w:val="21"/>
                <w:szCs w:val="21"/>
              </w:rPr>
              <w:t> </w:t>
            </w:r>
            <w:r>
              <w:rPr>
                <w:rFonts w:ascii="Arial" w:hAnsi="Arial" w:cs="Arial"/>
                <w:i/>
                <w:iCs/>
                <w:color w:val="222222"/>
                <w:sz w:val="21"/>
                <w:szCs w:val="21"/>
              </w:rPr>
              <w:t>unique</w:t>
            </w:r>
            <w:r>
              <w:rPr>
                <w:rStyle w:val="apple-converted-space"/>
                <w:rFonts w:ascii="Arial" w:eastAsiaTheme="majorEastAsia" w:hAnsi="Arial" w:cs="Arial"/>
                <w:color w:val="222222"/>
                <w:sz w:val="21"/>
                <w:szCs w:val="21"/>
              </w:rPr>
              <w:t> </w:t>
            </w:r>
            <w:r>
              <w:rPr>
                <w:rFonts w:ascii="Arial" w:hAnsi="Arial" w:cs="Arial"/>
                <w:color w:val="222222"/>
                <w:sz w:val="21"/>
                <w:szCs w:val="21"/>
              </w:rPr>
              <w:t>price regardless of the risk of the security and its expected return (instead replacing the security's expected return with the</w:t>
            </w:r>
            <w:r>
              <w:rPr>
                <w:rStyle w:val="apple-converted-space"/>
                <w:rFonts w:ascii="Arial" w:eastAsiaTheme="majorEastAsia" w:hAnsi="Arial" w:cs="Arial"/>
                <w:color w:val="222222"/>
                <w:sz w:val="21"/>
                <w:szCs w:val="21"/>
              </w:rPr>
              <w:t> </w:t>
            </w:r>
            <w:hyperlink r:id="rId20" w:tooltip="Risk-neutral" w:history="1">
              <w:r>
                <w:rPr>
                  <w:rStyle w:val="Hyperlink"/>
                  <w:rFonts w:ascii="Arial" w:hAnsi="Arial" w:cs="Arial"/>
                  <w:color w:val="0B0080"/>
                  <w:sz w:val="21"/>
                  <w:szCs w:val="21"/>
                </w:rPr>
                <w:t>risk-neutral</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rate). The formula led to a boom in options trading and provided mathematical legitimacy to the activities of the</w:t>
            </w:r>
            <w:r>
              <w:rPr>
                <w:rStyle w:val="apple-converted-space"/>
                <w:rFonts w:ascii="Arial" w:eastAsiaTheme="majorEastAsia" w:hAnsi="Arial" w:cs="Arial"/>
                <w:color w:val="222222"/>
                <w:sz w:val="21"/>
                <w:szCs w:val="21"/>
              </w:rPr>
              <w:t> </w:t>
            </w:r>
            <w:hyperlink r:id="rId21" w:tooltip="Chicago Board Options Exchange" w:history="1">
              <w:r>
                <w:rPr>
                  <w:rStyle w:val="Hyperlink"/>
                  <w:rFonts w:ascii="Arial" w:hAnsi="Arial" w:cs="Arial"/>
                  <w:color w:val="0B0080"/>
                  <w:sz w:val="21"/>
                  <w:szCs w:val="21"/>
                </w:rPr>
                <w:t>Chicago Board Options Exchange</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and other options markets around the world.</w:t>
            </w:r>
            <w:hyperlink r:id="rId22" w:anchor="cite_note-mackenzie-2" w:history="1">
              <w:r>
                <w:rPr>
                  <w:rStyle w:val="Hyperlink"/>
                  <w:rFonts w:ascii="Arial" w:hAnsi="Arial" w:cs="Arial"/>
                  <w:color w:val="0B0080"/>
                  <w:sz w:val="17"/>
                  <w:szCs w:val="17"/>
                  <w:vertAlign w:val="superscript"/>
                </w:rPr>
                <w:t>[2]</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It is widely used, although often with some adjustments, by options market participants.</w:t>
            </w:r>
            <w:hyperlink r:id="rId23" w:anchor="cite_note-bodie-kane-marcus-3" w:history="1">
              <w:r>
                <w:rPr>
                  <w:rStyle w:val="Hyperlink"/>
                  <w:rFonts w:ascii="Arial" w:hAnsi="Arial" w:cs="Arial"/>
                  <w:color w:val="0B0080"/>
                  <w:sz w:val="17"/>
                  <w:szCs w:val="17"/>
                  <w:vertAlign w:val="superscript"/>
                </w:rPr>
                <w:t>[3]</w:t>
              </w:r>
            </w:hyperlink>
            <w:r>
              <w:rPr>
                <w:rFonts w:ascii="Arial" w:hAnsi="Arial" w:cs="Arial"/>
                <w:color w:val="222222"/>
                <w:sz w:val="17"/>
                <w:szCs w:val="17"/>
                <w:vertAlign w:val="superscript"/>
              </w:rPr>
              <w:t>:751</w:t>
            </w:r>
          </w:p>
          <w:p w14:paraId="4ACEBB09" w14:textId="77777777" w:rsidR="00897177" w:rsidRDefault="00897177" w:rsidP="00897177">
            <w:pPr>
              <w:pStyle w:val="NormalWeb"/>
              <w:spacing w:before="120" w:beforeAutospacing="0" w:after="12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Based on works previously developed by market researchers and practitioners, such as</w:t>
            </w:r>
            <w:r>
              <w:rPr>
                <w:rStyle w:val="apple-converted-space"/>
                <w:rFonts w:ascii="Arial" w:eastAsiaTheme="majorEastAsia" w:hAnsi="Arial" w:cs="Arial"/>
                <w:color w:val="222222"/>
                <w:sz w:val="21"/>
                <w:szCs w:val="21"/>
              </w:rPr>
              <w:t> </w:t>
            </w:r>
            <w:hyperlink r:id="rId24" w:tooltip="Louis Bachelier" w:history="1">
              <w:r>
                <w:rPr>
                  <w:rStyle w:val="Hyperlink"/>
                  <w:rFonts w:ascii="Arial" w:hAnsi="Arial" w:cs="Arial"/>
                  <w:color w:val="0B0080"/>
                  <w:sz w:val="21"/>
                  <w:szCs w:val="21"/>
                </w:rPr>
                <w:t xml:space="preserve">Louis </w:t>
              </w:r>
              <w:proofErr w:type="spellStart"/>
              <w:r>
                <w:rPr>
                  <w:rStyle w:val="Hyperlink"/>
                  <w:rFonts w:ascii="Arial" w:hAnsi="Arial" w:cs="Arial"/>
                  <w:color w:val="0B0080"/>
                  <w:sz w:val="21"/>
                  <w:szCs w:val="21"/>
                </w:rPr>
                <w:t>Bachelier</w:t>
              </w:r>
              <w:proofErr w:type="spellEnd"/>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25" w:tooltip="Sheen Kassouf" w:history="1">
              <w:r>
                <w:rPr>
                  <w:rStyle w:val="Hyperlink"/>
                  <w:rFonts w:ascii="Arial" w:hAnsi="Arial" w:cs="Arial"/>
                  <w:color w:val="0B0080"/>
                  <w:sz w:val="21"/>
                  <w:szCs w:val="21"/>
                </w:rPr>
                <w:t xml:space="preserve">Sheen </w:t>
              </w:r>
              <w:proofErr w:type="spellStart"/>
              <w:r>
                <w:rPr>
                  <w:rStyle w:val="Hyperlink"/>
                  <w:rFonts w:ascii="Arial" w:hAnsi="Arial" w:cs="Arial"/>
                  <w:color w:val="0B0080"/>
                  <w:sz w:val="21"/>
                  <w:szCs w:val="21"/>
                </w:rPr>
                <w:t>Kassouf</w:t>
              </w:r>
              <w:proofErr w:type="spellEnd"/>
            </w:hyperlink>
            <w:r>
              <w:rPr>
                <w:rStyle w:val="apple-converted-space"/>
                <w:rFonts w:ascii="Arial" w:eastAsiaTheme="majorEastAsia" w:hAnsi="Arial" w:cs="Arial"/>
                <w:color w:val="222222"/>
                <w:sz w:val="21"/>
                <w:szCs w:val="21"/>
              </w:rPr>
              <w:t> </w:t>
            </w:r>
            <w:r>
              <w:rPr>
                <w:rFonts w:ascii="Arial" w:hAnsi="Arial" w:cs="Arial"/>
                <w:color w:val="222222"/>
                <w:sz w:val="21"/>
                <w:szCs w:val="21"/>
              </w:rPr>
              <w:t>and</w:t>
            </w:r>
            <w:r>
              <w:rPr>
                <w:rStyle w:val="apple-converted-space"/>
                <w:rFonts w:ascii="Arial" w:eastAsiaTheme="majorEastAsia" w:hAnsi="Arial" w:cs="Arial"/>
                <w:color w:val="222222"/>
                <w:sz w:val="21"/>
                <w:szCs w:val="21"/>
              </w:rPr>
              <w:t> </w:t>
            </w:r>
            <w:hyperlink r:id="rId26" w:tooltip="Edward Thorp" w:history="1">
              <w:r>
                <w:rPr>
                  <w:rStyle w:val="Hyperlink"/>
                  <w:rFonts w:ascii="Arial" w:hAnsi="Arial" w:cs="Arial"/>
                  <w:color w:val="0B0080"/>
                  <w:sz w:val="21"/>
                  <w:szCs w:val="21"/>
                </w:rPr>
                <w:t>Ed Thorp</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among others,</w:t>
            </w:r>
            <w:r>
              <w:rPr>
                <w:rStyle w:val="apple-converted-space"/>
                <w:rFonts w:ascii="Arial" w:eastAsiaTheme="majorEastAsia" w:hAnsi="Arial" w:cs="Arial"/>
                <w:color w:val="222222"/>
                <w:sz w:val="21"/>
                <w:szCs w:val="21"/>
              </w:rPr>
              <w:t> </w:t>
            </w:r>
            <w:hyperlink r:id="rId27" w:tooltip="Fischer Black" w:history="1">
              <w:r>
                <w:rPr>
                  <w:rStyle w:val="Hyperlink"/>
                  <w:rFonts w:ascii="Arial" w:hAnsi="Arial" w:cs="Arial"/>
                  <w:color w:val="0B0080"/>
                  <w:sz w:val="21"/>
                  <w:szCs w:val="21"/>
                </w:rPr>
                <w:t>Fischer Black</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and</w:t>
            </w:r>
            <w:r>
              <w:rPr>
                <w:rStyle w:val="apple-converted-space"/>
                <w:rFonts w:ascii="Arial" w:eastAsiaTheme="majorEastAsia" w:hAnsi="Arial" w:cs="Arial"/>
                <w:color w:val="222222"/>
                <w:sz w:val="21"/>
                <w:szCs w:val="21"/>
              </w:rPr>
              <w:t> </w:t>
            </w:r>
            <w:hyperlink r:id="rId28" w:tooltip="Myron Scholes" w:history="1">
              <w:r>
                <w:rPr>
                  <w:rStyle w:val="Hyperlink"/>
                  <w:rFonts w:ascii="Arial" w:hAnsi="Arial" w:cs="Arial"/>
                  <w:color w:val="0B0080"/>
                  <w:sz w:val="21"/>
                  <w:szCs w:val="21"/>
                </w:rPr>
                <w:t>Myron Scholes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demonstrated in the late 1960s that a dynamic revision of a portfolio removes the expected return of the security, thus inventing the</w:t>
            </w:r>
            <w:r>
              <w:rPr>
                <w:rStyle w:val="apple-converted-space"/>
                <w:rFonts w:ascii="Arial" w:eastAsiaTheme="majorEastAsia" w:hAnsi="Arial" w:cs="Arial"/>
                <w:color w:val="222222"/>
                <w:sz w:val="21"/>
                <w:szCs w:val="21"/>
              </w:rPr>
              <w:t> </w:t>
            </w:r>
            <w:r>
              <w:rPr>
                <w:rFonts w:ascii="Arial" w:hAnsi="Arial" w:cs="Arial"/>
                <w:i/>
                <w:iCs/>
                <w:color w:val="222222"/>
                <w:sz w:val="21"/>
                <w:szCs w:val="21"/>
              </w:rPr>
              <w:t>risk neutral argument</w:t>
            </w:r>
            <w:r>
              <w:rPr>
                <w:rFonts w:ascii="Arial" w:hAnsi="Arial" w:cs="Arial"/>
                <w:color w:val="222222"/>
                <w:sz w:val="21"/>
                <w:szCs w:val="21"/>
              </w:rPr>
              <w:t>.</w:t>
            </w:r>
            <w:hyperlink r:id="rId29" w:anchor="cite_note-4" w:history="1">
              <w:r>
                <w:rPr>
                  <w:rStyle w:val="Hyperlink"/>
                  <w:rFonts w:ascii="Arial" w:hAnsi="Arial" w:cs="Arial"/>
                  <w:color w:val="0B0080"/>
                  <w:sz w:val="17"/>
                  <w:szCs w:val="17"/>
                  <w:vertAlign w:val="superscript"/>
                </w:rPr>
                <w:t>[4]</w:t>
              </w:r>
            </w:hyperlink>
            <w:hyperlink r:id="rId30" w:anchor="cite_note-5" w:history="1">
              <w:r>
                <w:rPr>
                  <w:rStyle w:val="Hyperlink"/>
                  <w:rFonts w:ascii="Arial" w:hAnsi="Arial" w:cs="Arial"/>
                  <w:color w:val="0B0080"/>
                  <w:sz w:val="17"/>
                  <w:szCs w:val="17"/>
                  <w:vertAlign w:val="superscript"/>
                </w:rPr>
                <w:t>[5]</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In 1970, after they attempted to apply the formula to the markets and incurred financial losses due to lack of</w:t>
            </w:r>
            <w:r>
              <w:rPr>
                <w:rStyle w:val="apple-converted-space"/>
                <w:rFonts w:ascii="Arial" w:eastAsiaTheme="majorEastAsia" w:hAnsi="Arial" w:cs="Arial"/>
                <w:color w:val="222222"/>
                <w:sz w:val="21"/>
                <w:szCs w:val="21"/>
              </w:rPr>
              <w:t> </w:t>
            </w:r>
            <w:hyperlink r:id="rId31" w:tooltip="Risk management" w:history="1">
              <w:r>
                <w:rPr>
                  <w:rStyle w:val="Hyperlink"/>
                  <w:rFonts w:ascii="Arial" w:hAnsi="Arial" w:cs="Arial"/>
                  <w:color w:val="0B0080"/>
                  <w:sz w:val="21"/>
                  <w:szCs w:val="21"/>
                </w:rPr>
                <w:t>risk management</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in their trades, they decided to focus in their domain area, the academic environment.</w:t>
            </w:r>
            <w:hyperlink r:id="rId32" w:anchor="cite_note-6" w:history="1">
              <w:r>
                <w:rPr>
                  <w:rStyle w:val="Hyperlink"/>
                  <w:rFonts w:ascii="Arial" w:hAnsi="Arial" w:cs="Arial"/>
                  <w:color w:val="0B0080"/>
                  <w:sz w:val="17"/>
                  <w:szCs w:val="17"/>
                  <w:vertAlign w:val="superscript"/>
                </w:rPr>
                <w:t>[6]</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After three years of efforts, the formula named in </w:t>
            </w:r>
            <w:proofErr w:type="spellStart"/>
            <w:r>
              <w:rPr>
                <w:rFonts w:ascii="Arial" w:hAnsi="Arial" w:cs="Arial"/>
                <w:color w:val="222222"/>
                <w:sz w:val="21"/>
                <w:szCs w:val="21"/>
              </w:rPr>
              <w:t>honor</w:t>
            </w:r>
            <w:proofErr w:type="spellEnd"/>
            <w:r>
              <w:rPr>
                <w:rFonts w:ascii="Arial" w:hAnsi="Arial" w:cs="Arial"/>
                <w:color w:val="222222"/>
                <w:sz w:val="21"/>
                <w:szCs w:val="21"/>
              </w:rPr>
              <w:t xml:space="preserve"> of them for making it public, was finally published in 1973 in an article entitled "The Pricing of Options and Corporate Liabilities", in the</w:t>
            </w:r>
            <w:r>
              <w:rPr>
                <w:rStyle w:val="apple-converted-space"/>
                <w:rFonts w:ascii="Arial" w:eastAsiaTheme="majorEastAsia" w:hAnsi="Arial" w:cs="Arial"/>
                <w:color w:val="222222"/>
                <w:sz w:val="21"/>
                <w:szCs w:val="21"/>
              </w:rPr>
              <w:t> </w:t>
            </w:r>
            <w:hyperlink r:id="rId33" w:tooltip="Journal of Political Economy" w:history="1">
              <w:r>
                <w:rPr>
                  <w:rStyle w:val="Hyperlink"/>
                  <w:rFonts w:ascii="Arial" w:hAnsi="Arial" w:cs="Arial"/>
                  <w:i/>
                  <w:iCs/>
                  <w:color w:val="0B0080"/>
                  <w:sz w:val="21"/>
                  <w:szCs w:val="21"/>
                </w:rPr>
                <w:t>Journal of Political Economy</w:t>
              </w:r>
            </w:hyperlink>
            <w:r>
              <w:rPr>
                <w:rFonts w:ascii="Arial" w:hAnsi="Arial" w:cs="Arial"/>
                <w:color w:val="222222"/>
                <w:sz w:val="21"/>
                <w:szCs w:val="21"/>
              </w:rPr>
              <w:t>.</w:t>
            </w:r>
            <w:hyperlink r:id="rId34" w:anchor="cite_note-7" w:history="1">
              <w:r>
                <w:rPr>
                  <w:rStyle w:val="Hyperlink"/>
                  <w:rFonts w:ascii="Arial" w:hAnsi="Arial" w:cs="Arial"/>
                  <w:color w:val="0B0080"/>
                  <w:sz w:val="17"/>
                  <w:szCs w:val="17"/>
                  <w:vertAlign w:val="superscript"/>
                </w:rPr>
                <w:t>[7]</w:t>
              </w:r>
            </w:hyperlink>
            <w:hyperlink r:id="rId35" w:anchor="cite_note-8" w:history="1">
              <w:r>
                <w:rPr>
                  <w:rStyle w:val="Hyperlink"/>
                  <w:rFonts w:ascii="Arial" w:hAnsi="Arial" w:cs="Arial"/>
                  <w:color w:val="0B0080"/>
                  <w:sz w:val="17"/>
                  <w:szCs w:val="17"/>
                  <w:vertAlign w:val="superscript"/>
                </w:rPr>
                <w:t>[8]</w:t>
              </w:r>
            </w:hyperlink>
            <w:hyperlink r:id="rId36" w:anchor="cite_note-9" w:history="1">
              <w:r>
                <w:rPr>
                  <w:rStyle w:val="Hyperlink"/>
                  <w:rFonts w:ascii="Arial" w:hAnsi="Arial" w:cs="Arial"/>
                  <w:color w:val="0B0080"/>
                  <w:sz w:val="17"/>
                  <w:szCs w:val="17"/>
                  <w:vertAlign w:val="superscript"/>
                </w:rPr>
                <w:t>[9]</w:t>
              </w:r>
            </w:hyperlink>
            <w:r>
              <w:rPr>
                <w:rStyle w:val="apple-converted-space"/>
                <w:rFonts w:ascii="Arial" w:eastAsiaTheme="majorEastAsia" w:hAnsi="Arial" w:cs="Arial"/>
                <w:color w:val="222222"/>
                <w:sz w:val="21"/>
                <w:szCs w:val="21"/>
              </w:rPr>
              <w:t> </w:t>
            </w:r>
            <w:hyperlink r:id="rId37" w:tooltip="Robert C. Merton" w:history="1">
              <w:r>
                <w:rPr>
                  <w:rStyle w:val="Hyperlink"/>
                  <w:rFonts w:ascii="Arial" w:hAnsi="Arial" w:cs="Arial"/>
                  <w:color w:val="0B0080"/>
                  <w:sz w:val="21"/>
                  <w:szCs w:val="21"/>
                </w:rPr>
                <w:t>Robert C. Merton</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was the first to publish a paper expanding the mathematical understanding of the options pricing model, and coined the term "Black–Scholes</w:t>
            </w:r>
            <w:r>
              <w:rPr>
                <w:rStyle w:val="apple-converted-space"/>
                <w:rFonts w:ascii="Arial" w:eastAsiaTheme="majorEastAsia" w:hAnsi="Arial" w:cs="Arial"/>
                <w:color w:val="222222"/>
                <w:sz w:val="21"/>
                <w:szCs w:val="21"/>
              </w:rPr>
              <w:t> </w:t>
            </w:r>
            <w:hyperlink r:id="rId38" w:tooltip="Options pricing" w:history="1">
              <w:r>
                <w:rPr>
                  <w:rStyle w:val="Hyperlink"/>
                  <w:rFonts w:ascii="Arial" w:hAnsi="Arial" w:cs="Arial"/>
                  <w:color w:val="0B0080"/>
                  <w:sz w:val="21"/>
                  <w:szCs w:val="21"/>
                </w:rPr>
                <w:t>options pricing</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model". Merton and Scholes received the 1997</w:t>
            </w:r>
            <w:r>
              <w:rPr>
                <w:rStyle w:val="apple-converted-space"/>
                <w:rFonts w:ascii="Arial" w:eastAsiaTheme="majorEastAsia" w:hAnsi="Arial" w:cs="Arial"/>
                <w:color w:val="222222"/>
                <w:sz w:val="21"/>
                <w:szCs w:val="21"/>
              </w:rPr>
              <w:t> </w:t>
            </w:r>
            <w:hyperlink r:id="rId39" w:tooltip="Nobel Memorial Prize in Economic Sciences" w:history="1">
              <w:r>
                <w:rPr>
                  <w:rStyle w:val="Hyperlink"/>
                  <w:rFonts w:ascii="Arial" w:hAnsi="Arial" w:cs="Arial"/>
                  <w:color w:val="0B0080"/>
                  <w:sz w:val="21"/>
                  <w:szCs w:val="21"/>
                </w:rPr>
                <w:t>Nobel Memorial Prize in Economic Sciences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for their work, the committee citing their discovery of the risk neutral dynamic revision as a breakthrough that separates the option from the risk of the underlying security.</w:t>
            </w:r>
            <w:hyperlink r:id="rId40" w:anchor="cite_note-10" w:history="1">
              <w:r>
                <w:rPr>
                  <w:rStyle w:val="Hyperlink"/>
                  <w:rFonts w:ascii="Arial" w:hAnsi="Arial" w:cs="Arial"/>
                  <w:color w:val="0B0080"/>
                  <w:sz w:val="17"/>
                  <w:szCs w:val="17"/>
                  <w:vertAlign w:val="superscript"/>
                </w:rPr>
                <w:t>[10]</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Although ineligible for the prize because of his death in 1995, Black was mentioned as a contributor by the Swedish Academy.</w:t>
            </w:r>
            <w:hyperlink r:id="rId41" w:anchor="cite_note-11" w:history="1">
              <w:r>
                <w:rPr>
                  <w:rStyle w:val="Hyperlink"/>
                  <w:rFonts w:ascii="Arial" w:hAnsi="Arial" w:cs="Arial"/>
                  <w:color w:val="0B0080"/>
                  <w:sz w:val="17"/>
                  <w:szCs w:val="17"/>
                  <w:vertAlign w:val="superscript"/>
                </w:rPr>
                <w:t>[11]</w:t>
              </w:r>
            </w:hyperlink>
          </w:p>
          <w:p w14:paraId="77EA28B3" w14:textId="77777777" w:rsidR="00897177" w:rsidRDefault="00897177" w:rsidP="00897177">
            <w:pPr>
              <w:pStyle w:val="NormalWeb"/>
              <w:spacing w:before="120" w:beforeAutospacing="0" w:after="12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The key idea behind the model is to</w:t>
            </w:r>
            <w:r>
              <w:rPr>
                <w:rStyle w:val="apple-converted-space"/>
                <w:rFonts w:ascii="Arial" w:eastAsiaTheme="majorEastAsia" w:hAnsi="Arial" w:cs="Arial"/>
                <w:color w:val="222222"/>
                <w:sz w:val="21"/>
                <w:szCs w:val="21"/>
              </w:rPr>
              <w:t> </w:t>
            </w:r>
            <w:hyperlink r:id="rId42" w:tooltip="Hedge (finance)" w:history="1">
              <w:r>
                <w:rPr>
                  <w:rStyle w:val="Hyperlink"/>
                  <w:rFonts w:ascii="Arial" w:hAnsi="Arial" w:cs="Arial"/>
                  <w:color w:val="0B0080"/>
                  <w:sz w:val="21"/>
                  <w:szCs w:val="21"/>
                </w:rPr>
                <w:t>hedge</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the option by buying and selling the underlying asset in just the right way and, as a consequence, to eliminate risk. This type of hedging is called "continuously revised</w:t>
            </w:r>
            <w:r>
              <w:rPr>
                <w:rStyle w:val="apple-converted-space"/>
                <w:rFonts w:ascii="Arial" w:eastAsiaTheme="majorEastAsia" w:hAnsi="Arial" w:cs="Arial"/>
                <w:color w:val="222222"/>
                <w:sz w:val="21"/>
                <w:szCs w:val="21"/>
              </w:rPr>
              <w:t> </w:t>
            </w:r>
            <w:hyperlink r:id="rId43" w:tooltip="Delta hedging" w:history="1">
              <w:r>
                <w:rPr>
                  <w:rStyle w:val="Hyperlink"/>
                  <w:rFonts w:ascii="Arial" w:hAnsi="Arial" w:cs="Arial"/>
                  <w:color w:val="0B0080"/>
                  <w:sz w:val="21"/>
                  <w:szCs w:val="21"/>
                </w:rPr>
                <w:t>delta hedging</w:t>
              </w:r>
            </w:hyperlink>
            <w:r>
              <w:rPr>
                <w:rFonts w:ascii="Arial" w:hAnsi="Arial" w:cs="Arial"/>
                <w:color w:val="222222"/>
                <w:sz w:val="21"/>
                <w:szCs w:val="21"/>
              </w:rPr>
              <w:t>" and is the basis of more complicated hedging strategies such as those engaged in by</w:t>
            </w:r>
            <w:r>
              <w:rPr>
                <w:rStyle w:val="apple-converted-space"/>
                <w:rFonts w:ascii="Arial" w:eastAsiaTheme="majorEastAsia" w:hAnsi="Arial" w:cs="Arial"/>
                <w:color w:val="222222"/>
                <w:sz w:val="21"/>
                <w:szCs w:val="21"/>
              </w:rPr>
              <w:t> </w:t>
            </w:r>
            <w:hyperlink r:id="rId44" w:tooltip="Investment bank" w:history="1">
              <w:r>
                <w:rPr>
                  <w:rStyle w:val="Hyperlink"/>
                  <w:rFonts w:ascii="Arial" w:hAnsi="Arial" w:cs="Arial"/>
                  <w:color w:val="0B0080"/>
                  <w:sz w:val="21"/>
                  <w:szCs w:val="21"/>
                </w:rPr>
                <w:t>investment banks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and</w:t>
            </w:r>
            <w:r>
              <w:rPr>
                <w:rStyle w:val="apple-converted-space"/>
                <w:rFonts w:ascii="Arial" w:eastAsiaTheme="majorEastAsia" w:hAnsi="Arial" w:cs="Arial"/>
                <w:color w:val="222222"/>
                <w:sz w:val="21"/>
                <w:szCs w:val="21"/>
              </w:rPr>
              <w:t> </w:t>
            </w:r>
            <w:hyperlink r:id="rId45" w:tooltip="Hedge fund" w:history="1">
              <w:r>
                <w:rPr>
                  <w:rStyle w:val="Hyperlink"/>
                  <w:rFonts w:ascii="Arial" w:hAnsi="Arial" w:cs="Arial"/>
                  <w:color w:val="0B0080"/>
                  <w:sz w:val="21"/>
                  <w:szCs w:val="21"/>
                </w:rPr>
                <w:t>hedge funds</w:t>
              </w:r>
            </w:hyperlink>
            <w:r>
              <w:rPr>
                <w:rFonts w:ascii="Arial" w:hAnsi="Arial" w:cs="Arial"/>
                <w:color w:val="222222"/>
                <w:sz w:val="21"/>
                <w:szCs w:val="21"/>
              </w:rPr>
              <w:t>.</w:t>
            </w:r>
          </w:p>
          <w:p w14:paraId="6D285276" w14:textId="77777777" w:rsidR="00897177" w:rsidRDefault="00897177" w:rsidP="00897177">
            <w:pPr>
              <w:pStyle w:val="NormalWeb"/>
              <w:spacing w:before="120" w:beforeAutospacing="0" w:after="12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t>The model's assumptions have been relaxed and generalized in many directions, leading to a plethora of models that are currently used in derivative pricing and risk management. It is the insights of the model, as exemplified in the</w:t>
            </w:r>
            <w:r>
              <w:rPr>
                <w:rStyle w:val="apple-converted-space"/>
                <w:rFonts w:ascii="Arial" w:eastAsiaTheme="majorEastAsia" w:hAnsi="Arial" w:cs="Arial"/>
                <w:color w:val="222222"/>
                <w:sz w:val="21"/>
                <w:szCs w:val="21"/>
              </w:rPr>
              <w:t> </w:t>
            </w:r>
            <w:hyperlink r:id="rId46" w:tooltip="Black–Scholes formula" w:history="1">
              <w:r>
                <w:rPr>
                  <w:rStyle w:val="Hyperlink"/>
                  <w:rFonts w:ascii="Arial" w:hAnsi="Arial" w:cs="Arial"/>
                  <w:color w:val="0B0080"/>
                  <w:sz w:val="21"/>
                  <w:szCs w:val="21"/>
                </w:rPr>
                <w:t>Black–Scholes formula</w:t>
              </w:r>
            </w:hyperlink>
            <w:r>
              <w:rPr>
                <w:rFonts w:ascii="Arial" w:hAnsi="Arial" w:cs="Arial"/>
                <w:color w:val="222222"/>
                <w:sz w:val="21"/>
                <w:szCs w:val="21"/>
              </w:rPr>
              <w:t>, that are frequently used by market participants, as distinguished from the actual prices. These insights include</w:t>
            </w:r>
            <w:r>
              <w:rPr>
                <w:rStyle w:val="apple-converted-space"/>
                <w:rFonts w:ascii="Arial" w:eastAsiaTheme="majorEastAsia" w:hAnsi="Arial" w:cs="Arial"/>
                <w:color w:val="222222"/>
                <w:sz w:val="21"/>
                <w:szCs w:val="21"/>
              </w:rPr>
              <w:t> </w:t>
            </w:r>
            <w:hyperlink r:id="rId47" w:tooltip="No-arbitrage bounds" w:history="1">
              <w:r>
                <w:rPr>
                  <w:rStyle w:val="Hyperlink"/>
                  <w:rFonts w:ascii="Arial" w:hAnsi="Arial" w:cs="Arial"/>
                  <w:color w:val="0B0080"/>
                  <w:sz w:val="21"/>
                  <w:szCs w:val="21"/>
                </w:rPr>
                <w:t>no-arbitrage bounds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and</w:t>
            </w:r>
            <w:r>
              <w:rPr>
                <w:rStyle w:val="apple-converted-space"/>
                <w:rFonts w:ascii="Arial" w:eastAsiaTheme="majorEastAsia" w:hAnsi="Arial" w:cs="Arial"/>
                <w:color w:val="222222"/>
                <w:sz w:val="21"/>
                <w:szCs w:val="21"/>
              </w:rPr>
              <w:t> </w:t>
            </w:r>
            <w:hyperlink r:id="rId48" w:tooltip="Risk-neutral measure" w:history="1">
              <w:r>
                <w:rPr>
                  <w:rStyle w:val="Hyperlink"/>
                  <w:rFonts w:ascii="Arial" w:hAnsi="Arial" w:cs="Arial"/>
                  <w:color w:val="0B0080"/>
                  <w:sz w:val="21"/>
                  <w:szCs w:val="21"/>
                </w:rPr>
                <w:t>risk-neutral pricing</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(thanks to continuous revision). Further, the</w:t>
            </w:r>
            <w:r>
              <w:rPr>
                <w:rStyle w:val="apple-converted-space"/>
                <w:rFonts w:ascii="Arial" w:eastAsiaTheme="majorEastAsia" w:hAnsi="Arial" w:cs="Arial"/>
                <w:color w:val="222222"/>
                <w:sz w:val="21"/>
                <w:szCs w:val="21"/>
              </w:rPr>
              <w:t> </w:t>
            </w:r>
            <w:hyperlink r:id="rId49" w:tooltip="Black–Scholes equation" w:history="1">
              <w:r>
                <w:rPr>
                  <w:rStyle w:val="Hyperlink"/>
                  <w:rFonts w:ascii="Arial" w:hAnsi="Arial" w:cs="Arial"/>
                  <w:color w:val="0B0080"/>
                  <w:sz w:val="21"/>
                  <w:szCs w:val="21"/>
                </w:rPr>
                <w:t>Black–Scholes equation</w:t>
              </w:r>
            </w:hyperlink>
            <w:r>
              <w:rPr>
                <w:rFonts w:ascii="Arial" w:hAnsi="Arial" w:cs="Arial"/>
                <w:color w:val="222222"/>
                <w:sz w:val="21"/>
                <w:szCs w:val="21"/>
              </w:rPr>
              <w:t>, a partial differential equation that governs the price of the option, enables pricing using</w:t>
            </w:r>
            <w:r>
              <w:rPr>
                <w:rStyle w:val="apple-converted-space"/>
                <w:rFonts w:ascii="Arial" w:eastAsiaTheme="majorEastAsia" w:hAnsi="Arial" w:cs="Arial"/>
                <w:color w:val="222222"/>
                <w:sz w:val="21"/>
                <w:szCs w:val="21"/>
              </w:rPr>
              <w:t> </w:t>
            </w:r>
            <w:hyperlink r:id="rId50" w:tooltip="Numerical methods" w:history="1">
              <w:r>
                <w:rPr>
                  <w:rStyle w:val="Hyperlink"/>
                  <w:rFonts w:ascii="Arial" w:hAnsi="Arial" w:cs="Arial"/>
                  <w:color w:val="0B0080"/>
                  <w:sz w:val="21"/>
                  <w:szCs w:val="21"/>
                </w:rPr>
                <w:t>numerical methods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when an explicit formula is not possible.</w:t>
            </w:r>
          </w:p>
          <w:p w14:paraId="02CC7DB2" w14:textId="5F7C6C1E" w:rsidR="0000362A" w:rsidRPr="00897177" w:rsidRDefault="00897177" w:rsidP="00897177">
            <w:pPr>
              <w:pStyle w:val="NormalWeb"/>
              <w:spacing w:before="120" w:beforeAutospacing="0" w:after="12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222222"/>
                <w:sz w:val="21"/>
                <w:szCs w:val="21"/>
              </w:rPr>
            </w:pPr>
            <w:r>
              <w:rPr>
                <w:rFonts w:ascii="Arial" w:hAnsi="Arial" w:cs="Arial"/>
                <w:color w:val="222222"/>
                <w:sz w:val="21"/>
                <w:szCs w:val="21"/>
              </w:rPr>
              <w:lastRenderedPageBreak/>
              <w:t>The Black–Scholes formula has only one parameter that cannot be directly observed in the market: the average future volatility of the underlying asset, though it can be found from the price of other options. Since the option value (whether put or call) is increasing in this parameter, it can be inverted to produce a "</w:t>
            </w:r>
            <w:hyperlink r:id="rId51" w:tooltip="Volatility surface" w:history="1">
              <w:r>
                <w:rPr>
                  <w:rStyle w:val="Hyperlink"/>
                  <w:rFonts w:ascii="Arial" w:hAnsi="Arial" w:cs="Arial"/>
                  <w:color w:val="0B0080"/>
                  <w:sz w:val="21"/>
                  <w:szCs w:val="21"/>
                </w:rPr>
                <w:t>volatility surface</w:t>
              </w:r>
            </w:hyperlink>
            <w:r>
              <w:rPr>
                <w:rFonts w:ascii="Arial" w:hAnsi="Arial" w:cs="Arial"/>
                <w:color w:val="222222"/>
                <w:sz w:val="21"/>
                <w:szCs w:val="21"/>
              </w:rPr>
              <w:t>" that is then used to calibrate other models, e.g. for</w:t>
            </w:r>
            <w:r>
              <w:rPr>
                <w:rStyle w:val="apple-converted-space"/>
                <w:rFonts w:ascii="Arial" w:eastAsiaTheme="majorEastAsia" w:hAnsi="Arial" w:cs="Arial"/>
                <w:color w:val="222222"/>
                <w:sz w:val="21"/>
                <w:szCs w:val="21"/>
              </w:rPr>
              <w:t> </w:t>
            </w:r>
            <w:hyperlink r:id="rId52" w:anchor="OTC_and_exchange-traded" w:tooltip="Derivative (finance)" w:history="1">
              <w:r>
                <w:rPr>
                  <w:rStyle w:val="Hyperlink"/>
                  <w:rFonts w:ascii="Arial" w:hAnsi="Arial" w:cs="Arial"/>
                  <w:color w:val="0B0080"/>
                  <w:sz w:val="21"/>
                  <w:szCs w:val="21"/>
                </w:rPr>
                <w:t>OTC derivatives</w:t>
              </w:r>
            </w:hyperlink>
            <w:r>
              <w:rPr>
                <w:rFonts w:ascii="Arial" w:hAnsi="Arial" w:cs="Arial"/>
                <w:color w:val="222222"/>
                <w:sz w:val="21"/>
                <w:szCs w:val="21"/>
              </w:rPr>
              <w:t>.</w:t>
            </w:r>
          </w:p>
        </w:tc>
      </w:tr>
      <w:tr w:rsidR="00607025" w14:paraId="65C7E1BE" w14:textId="77777777" w:rsidTr="0000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D9705D7" w14:textId="77777777" w:rsidR="00607025" w:rsidRDefault="00607025" w:rsidP="00F078FC">
            <w:pPr>
              <w:jc w:val="both"/>
            </w:pPr>
            <w:r>
              <w:lastRenderedPageBreak/>
              <w:t>Key points/summary</w:t>
            </w:r>
          </w:p>
        </w:tc>
      </w:tr>
      <w:tr w:rsidR="00607025" w14:paraId="7A79C8A1" w14:textId="77777777" w:rsidTr="0000158D">
        <w:tc>
          <w:tcPr>
            <w:cnfStyle w:val="001000000000" w:firstRow="0" w:lastRow="0" w:firstColumn="1" w:lastColumn="0" w:oddVBand="0" w:evenVBand="0" w:oddHBand="0" w:evenHBand="0" w:firstRowFirstColumn="0" w:firstRowLastColumn="0" w:lastRowFirstColumn="0" w:lastRowLastColumn="0"/>
            <w:tcW w:w="9016" w:type="dxa"/>
            <w:gridSpan w:val="2"/>
          </w:tcPr>
          <w:p w14:paraId="64EBA66A" w14:textId="1982607E" w:rsidR="00607025" w:rsidRPr="00187E9D" w:rsidRDefault="00CB4345" w:rsidP="00CB4345">
            <w:pPr>
              <w:pStyle w:val="ListParagraph"/>
              <w:numPr>
                <w:ilvl w:val="0"/>
                <w:numId w:val="9"/>
              </w:numPr>
              <w:jc w:val="both"/>
              <w:rPr>
                <w:b w:val="0"/>
                <w:bCs w:val="0"/>
              </w:rPr>
            </w:pPr>
            <w:r w:rsidRPr="00187E9D">
              <w:rPr>
                <w:b w:val="0"/>
                <w:bCs w:val="0"/>
              </w:rPr>
              <w:t>Black-</w:t>
            </w:r>
            <w:r w:rsidR="0008486A" w:rsidRPr="00187E9D">
              <w:rPr>
                <w:b w:val="0"/>
                <w:bCs w:val="0"/>
              </w:rPr>
              <w:t>S</w:t>
            </w:r>
            <w:r w:rsidRPr="00187E9D">
              <w:rPr>
                <w:b w:val="0"/>
                <w:bCs w:val="0"/>
              </w:rPr>
              <w:t>choles-</w:t>
            </w:r>
            <w:r w:rsidR="0008486A" w:rsidRPr="00187E9D">
              <w:rPr>
                <w:b w:val="0"/>
                <w:bCs w:val="0"/>
              </w:rPr>
              <w:t>Merton</w:t>
            </w:r>
            <w:r w:rsidRPr="00187E9D">
              <w:rPr>
                <w:b w:val="0"/>
                <w:bCs w:val="0"/>
              </w:rPr>
              <w:t xml:space="preserve"> model gives the theoretical estimate of the price of European-style options and shows that </w:t>
            </w:r>
            <w:r w:rsidR="003F1EDC" w:rsidRPr="00187E9D">
              <w:rPr>
                <w:b w:val="0"/>
                <w:bCs w:val="0"/>
              </w:rPr>
              <w:t xml:space="preserve">the option has a unique price regardless of the risk of the security and its respected return </w:t>
            </w:r>
          </w:p>
          <w:p w14:paraId="14293829" w14:textId="77777777" w:rsidR="0008486A" w:rsidRPr="00187E9D" w:rsidRDefault="00A76628" w:rsidP="00CB4345">
            <w:pPr>
              <w:pStyle w:val="ListParagraph"/>
              <w:numPr>
                <w:ilvl w:val="0"/>
                <w:numId w:val="9"/>
              </w:numPr>
              <w:jc w:val="both"/>
              <w:rPr>
                <w:b w:val="0"/>
                <w:bCs w:val="0"/>
              </w:rPr>
            </w:pPr>
            <w:r w:rsidRPr="00187E9D">
              <w:rPr>
                <w:b w:val="0"/>
                <w:bCs w:val="0"/>
              </w:rPr>
              <w:t>Late 1960s, Fischer Black and Myron Scholes demonstrated dynamic update of a portfolio removes the expected return of the security</w:t>
            </w:r>
            <w:r w:rsidR="00115709" w:rsidRPr="00187E9D">
              <w:rPr>
                <w:b w:val="0"/>
                <w:bCs w:val="0"/>
              </w:rPr>
              <w:t xml:space="preserve"> </w:t>
            </w:r>
            <w:r w:rsidR="00115709" w:rsidRPr="00187E9D">
              <w:rPr>
                <w:b w:val="0"/>
                <w:bCs w:val="0"/>
              </w:rPr>
              <w:sym w:font="Wingdings" w:char="F0E0"/>
            </w:r>
            <w:r w:rsidR="00115709" w:rsidRPr="00187E9D">
              <w:rPr>
                <w:b w:val="0"/>
                <w:bCs w:val="0"/>
              </w:rPr>
              <w:t xml:space="preserve"> risk neutral argument</w:t>
            </w:r>
          </w:p>
          <w:p w14:paraId="0CD10105" w14:textId="77777777" w:rsidR="00115709" w:rsidRPr="00187E9D" w:rsidRDefault="00115709" w:rsidP="00CB4345">
            <w:pPr>
              <w:pStyle w:val="ListParagraph"/>
              <w:numPr>
                <w:ilvl w:val="0"/>
                <w:numId w:val="9"/>
              </w:numPr>
              <w:jc w:val="both"/>
              <w:rPr>
                <w:b w:val="0"/>
                <w:bCs w:val="0"/>
              </w:rPr>
            </w:pPr>
            <w:r w:rsidRPr="00187E9D">
              <w:rPr>
                <w:b w:val="0"/>
                <w:bCs w:val="0"/>
              </w:rPr>
              <w:t>Published in 1973</w:t>
            </w:r>
            <w:r w:rsidR="0041218C" w:rsidRPr="00187E9D">
              <w:rPr>
                <w:b w:val="0"/>
                <w:bCs w:val="0"/>
              </w:rPr>
              <w:t xml:space="preserve"> in an article entitled “The Pricing of Options and Corporate Liabilities”</w:t>
            </w:r>
          </w:p>
          <w:p w14:paraId="00B7D22F" w14:textId="77777777" w:rsidR="0041218C" w:rsidRPr="00187E9D" w:rsidRDefault="000E23F6" w:rsidP="00CB4345">
            <w:pPr>
              <w:pStyle w:val="ListParagraph"/>
              <w:numPr>
                <w:ilvl w:val="0"/>
                <w:numId w:val="9"/>
              </w:numPr>
              <w:jc w:val="both"/>
              <w:rPr>
                <w:b w:val="0"/>
                <w:bCs w:val="0"/>
              </w:rPr>
            </w:pPr>
            <w:r w:rsidRPr="00187E9D">
              <w:rPr>
                <w:b w:val="0"/>
                <w:bCs w:val="0"/>
              </w:rPr>
              <w:t>This was a discovery of the risk neutral dynamic revision as a breakthrough that separates the option from the risk of the underlying security</w:t>
            </w:r>
          </w:p>
          <w:p w14:paraId="2371B85A" w14:textId="77777777" w:rsidR="000E23F6" w:rsidRDefault="00187E9D" w:rsidP="00CB4345">
            <w:pPr>
              <w:pStyle w:val="ListParagraph"/>
              <w:numPr>
                <w:ilvl w:val="0"/>
                <w:numId w:val="9"/>
              </w:numPr>
              <w:jc w:val="both"/>
            </w:pPr>
            <w:r w:rsidRPr="00187E9D">
              <w:rPr>
                <w:b w:val="0"/>
                <w:bCs w:val="0"/>
              </w:rPr>
              <w:t>The Black-Scholes equation, a partial differential equation that governs the price of the option, enables pricing using numerical methods when an explicit formula is not possible</w:t>
            </w:r>
          </w:p>
          <w:p w14:paraId="402C31A8" w14:textId="0F5FAFCB" w:rsidR="0014597A" w:rsidRPr="0014597A" w:rsidRDefault="0014597A" w:rsidP="00CB4345">
            <w:pPr>
              <w:pStyle w:val="ListParagraph"/>
              <w:numPr>
                <w:ilvl w:val="0"/>
                <w:numId w:val="9"/>
              </w:numPr>
              <w:jc w:val="both"/>
              <w:rPr>
                <w:b w:val="0"/>
                <w:bCs w:val="0"/>
              </w:rPr>
            </w:pPr>
            <w:bookmarkStart w:id="0" w:name="_GoBack"/>
            <w:r w:rsidRPr="0014597A">
              <w:rPr>
                <w:b w:val="0"/>
                <w:bCs w:val="0"/>
              </w:rPr>
              <w:t>European call/put options you can only exercise it on the exercise date</w:t>
            </w:r>
            <w:bookmarkEnd w:id="0"/>
          </w:p>
        </w:tc>
      </w:tr>
    </w:tbl>
    <w:p w14:paraId="65DA2C2F" w14:textId="4A23D14F" w:rsidR="00A23EF6" w:rsidRPr="00BA40D9" w:rsidRDefault="00A23EF6" w:rsidP="00F078FC">
      <w:pPr>
        <w:jc w:val="both"/>
      </w:pPr>
    </w:p>
    <w:sectPr w:rsidR="00A23EF6" w:rsidRPr="00BA40D9" w:rsidSect="000E232A">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1B76F" w14:textId="77777777" w:rsidR="00367A6A" w:rsidRDefault="00367A6A" w:rsidP="007B2AD5">
      <w:pPr>
        <w:spacing w:after="0" w:line="240" w:lineRule="auto"/>
      </w:pPr>
      <w:r>
        <w:separator/>
      </w:r>
    </w:p>
  </w:endnote>
  <w:endnote w:type="continuationSeparator" w:id="0">
    <w:p w14:paraId="0AE9F5F0" w14:textId="77777777" w:rsidR="00367A6A" w:rsidRDefault="00367A6A" w:rsidP="007B2AD5">
      <w:pPr>
        <w:spacing w:after="0" w:line="240" w:lineRule="auto"/>
      </w:pPr>
      <w:r>
        <w:continuationSeparator/>
      </w:r>
    </w:p>
  </w:endnote>
  <w:endnote w:type="continuationNotice" w:id="1">
    <w:p w14:paraId="4B1E3061" w14:textId="77777777" w:rsidR="00367A6A" w:rsidRDefault="00367A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84FD" w14:textId="64DCA18B" w:rsidR="0000158D" w:rsidRPr="007B2AD5" w:rsidRDefault="0000158D">
    <w:pPr>
      <w:pStyle w:val="Footer"/>
      <w:rPr>
        <w:lang w:val="en-US"/>
      </w:rPr>
    </w:pPr>
    <w:r>
      <w:rPr>
        <w:lang w:val="en-US"/>
      </w:rPr>
      <w:t>BSB113 – Research Booklet</w:t>
    </w:r>
    <w:r>
      <w:rPr>
        <w:lang w:val="en-US"/>
      </w:rPr>
      <w:tab/>
    </w:r>
    <w:r>
      <w:rPr>
        <w:lang w:val="en-US"/>
      </w:rPr>
      <w:tab/>
      <w:t>Jeremiah Dufourq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BB237" w14:textId="77777777" w:rsidR="00367A6A" w:rsidRDefault="00367A6A" w:rsidP="007B2AD5">
      <w:pPr>
        <w:spacing w:after="0" w:line="240" w:lineRule="auto"/>
      </w:pPr>
      <w:r>
        <w:separator/>
      </w:r>
    </w:p>
  </w:footnote>
  <w:footnote w:type="continuationSeparator" w:id="0">
    <w:p w14:paraId="2DD0BA08" w14:textId="77777777" w:rsidR="00367A6A" w:rsidRDefault="00367A6A" w:rsidP="007B2AD5">
      <w:pPr>
        <w:spacing w:after="0" w:line="240" w:lineRule="auto"/>
      </w:pPr>
      <w:r>
        <w:continuationSeparator/>
      </w:r>
    </w:p>
  </w:footnote>
  <w:footnote w:type="continuationNotice" w:id="1">
    <w:p w14:paraId="5C096506" w14:textId="77777777" w:rsidR="00367A6A" w:rsidRDefault="00367A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214F"/>
    <w:multiLevelType w:val="hybridMultilevel"/>
    <w:tmpl w:val="F36C0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E4B30"/>
    <w:multiLevelType w:val="hybridMultilevel"/>
    <w:tmpl w:val="E4C058E8"/>
    <w:lvl w:ilvl="0" w:tplc="2E72433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239"/>
    <w:multiLevelType w:val="hybridMultilevel"/>
    <w:tmpl w:val="FCDE7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5F43E9"/>
    <w:multiLevelType w:val="hybridMultilevel"/>
    <w:tmpl w:val="41EC47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ED016E"/>
    <w:multiLevelType w:val="hybridMultilevel"/>
    <w:tmpl w:val="7B18B34C"/>
    <w:lvl w:ilvl="0" w:tplc="686EA94C">
      <w:start w:val="1"/>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723664"/>
    <w:multiLevelType w:val="hybridMultilevel"/>
    <w:tmpl w:val="73F85012"/>
    <w:lvl w:ilvl="0" w:tplc="FBF46F62">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8E4CB5"/>
    <w:multiLevelType w:val="hybridMultilevel"/>
    <w:tmpl w:val="21F65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E3859"/>
    <w:multiLevelType w:val="hybridMultilevel"/>
    <w:tmpl w:val="FEF0EE52"/>
    <w:lvl w:ilvl="0" w:tplc="1BFAC7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8A3374"/>
    <w:multiLevelType w:val="hybridMultilevel"/>
    <w:tmpl w:val="221278A2"/>
    <w:lvl w:ilvl="0" w:tplc="0809000F">
      <w:start w:val="1"/>
      <w:numFmt w:val="decimal"/>
      <w:lvlText w:val="%1."/>
      <w:lvlJc w:val="left"/>
      <w:pPr>
        <w:ind w:left="720" w:hanging="360"/>
      </w:pPr>
      <w:rPr>
        <w:rFonts w:hint="default"/>
      </w:rPr>
    </w:lvl>
    <w:lvl w:ilvl="1" w:tplc="6A5EFB5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2"/>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rrp2tpc5av2tetxa5p5pzkstxa9vawsfad&quot;&gt;BSB113 Report references&lt;record-ids&gt;&lt;item&gt;1&lt;/item&gt;&lt;item&gt;2&lt;/item&gt;&lt;item&gt;3&lt;/item&gt;&lt;item&gt;4&lt;/item&gt;&lt;item&gt;5&lt;/item&gt;&lt;item&gt;6&lt;/item&gt;&lt;item&gt;7&lt;/item&gt;&lt;item&gt;8&lt;/item&gt;&lt;item&gt;14&lt;/item&gt;&lt;item&gt;15&lt;/item&gt;&lt;item&gt;16&lt;/item&gt;&lt;item&gt;17&lt;/item&gt;&lt;item&gt;18&lt;/item&gt;&lt;item&gt;19&lt;/item&gt;&lt;item&gt;21&lt;/item&gt;&lt;/record-ids&gt;&lt;/item&gt;&lt;/Libraries&gt;"/>
  </w:docVars>
  <w:rsids>
    <w:rsidRoot w:val="000E232A"/>
    <w:rsid w:val="0000158D"/>
    <w:rsid w:val="000016CF"/>
    <w:rsid w:val="0000362A"/>
    <w:rsid w:val="000124F6"/>
    <w:rsid w:val="00015D08"/>
    <w:rsid w:val="00021169"/>
    <w:rsid w:val="00023762"/>
    <w:rsid w:val="00037EC7"/>
    <w:rsid w:val="00041D0D"/>
    <w:rsid w:val="0004692D"/>
    <w:rsid w:val="00065681"/>
    <w:rsid w:val="00083D7A"/>
    <w:rsid w:val="0008486A"/>
    <w:rsid w:val="00085981"/>
    <w:rsid w:val="00090253"/>
    <w:rsid w:val="00096E7D"/>
    <w:rsid w:val="000B2281"/>
    <w:rsid w:val="000B506A"/>
    <w:rsid w:val="000C6299"/>
    <w:rsid w:val="000C6A2C"/>
    <w:rsid w:val="000C7B89"/>
    <w:rsid w:val="000D336B"/>
    <w:rsid w:val="000D45B2"/>
    <w:rsid w:val="000D4D94"/>
    <w:rsid w:val="000E232A"/>
    <w:rsid w:val="000E23F6"/>
    <w:rsid w:val="000E5439"/>
    <w:rsid w:val="000F6D68"/>
    <w:rsid w:val="00101E89"/>
    <w:rsid w:val="00103DF4"/>
    <w:rsid w:val="001059D2"/>
    <w:rsid w:val="00106AF2"/>
    <w:rsid w:val="00115709"/>
    <w:rsid w:val="001228AF"/>
    <w:rsid w:val="0014597A"/>
    <w:rsid w:val="001558D1"/>
    <w:rsid w:val="00162D11"/>
    <w:rsid w:val="00164521"/>
    <w:rsid w:val="00165644"/>
    <w:rsid w:val="0016623D"/>
    <w:rsid w:val="00187D6F"/>
    <w:rsid w:val="00187E9D"/>
    <w:rsid w:val="00194AED"/>
    <w:rsid w:val="001A393B"/>
    <w:rsid w:val="001B2AA6"/>
    <w:rsid w:val="001B412A"/>
    <w:rsid w:val="001E1EE7"/>
    <w:rsid w:val="001E7557"/>
    <w:rsid w:val="00204DB0"/>
    <w:rsid w:val="00224993"/>
    <w:rsid w:val="00227AF6"/>
    <w:rsid w:val="00245801"/>
    <w:rsid w:val="0025006D"/>
    <w:rsid w:val="00251200"/>
    <w:rsid w:val="00255034"/>
    <w:rsid w:val="00290458"/>
    <w:rsid w:val="00297CCE"/>
    <w:rsid w:val="002B4325"/>
    <w:rsid w:val="002B48C1"/>
    <w:rsid w:val="002B5F42"/>
    <w:rsid w:val="002D79CE"/>
    <w:rsid w:val="002F4B8E"/>
    <w:rsid w:val="003176AF"/>
    <w:rsid w:val="003254A5"/>
    <w:rsid w:val="003264A8"/>
    <w:rsid w:val="00340F0F"/>
    <w:rsid w:val="00350183"/>
    <w:rsid w:val="00355221"/>
    <w:rsid w:val="00357CAF"/>
    <w:rsid w:val="00361E23"/>
    <w:rsid w:val="003666F8"/>
    <w:rsid w:val="00367A6A"/>
    <w:rsid w:val="00374608"/>
    <w:rsid w:val="00397FD3"/>
    <w:rsid w:val="003A6575"/>
    <w:rsid w:val="003A67F2"/>
    <w:rsid w:val="003B29F6"/>
    <w:rsid w:val="003C3D40"/>
    <w:rsid w:val="003D3532"/>
    <w:rsid w:val="003E5211"/>
    <w:rsid w:val="003F1EDC"/>
    <w:rsid w:val="0041096A"/>
    <w:rsid w:val="0041218C"/>
    <w:rsid w:val="00416B51"/>
    <w:rsid w:val="0043714C"/>
    <w:rsid w:val="0046551E"/>
    <w:rsid w:val="004907C9"/>
    <w:rsid w:val="004A1FC5"/>
    <w:rsid w:val="00500F9C"/>
    <w:rsid w:val="00525A33"/>
    <w:rsid w:val="00534A84"/>
    <w:rsid w:val="00540371"/>
    <w:rsid w:val="00544EBE"/>
    <w:rsid w:val="005522AA"/>
    <w:rsid w:val="00575255"/>
    <w:rsid w:val="00575830"/>
    <w:rsid w:val="00581280"/>
    <w:rsid w:val="0058455D"/>
    <w:rsid w:val="005906DE"/>
    <w:rsid w:val="00591E33"/>
    <w:rsid w:val="005A37ED"/>
    <w:rsid w:val="005B1617"/>
    <w:rsid w:val="005D1D01"/>
    <w:rsid w:val="005D48D0"/>
    <w:rsid w:val="005F0D2E"/>
    <w:rsid w:val="005F17B3"/>
    <w:rsid w:val="005F76AE"/>
    <w:rsid w:val="00606FF0"/>
    <w:rsid w:val="00607025"/>
    <w:rsid w:val="00622842"/>
    <w:rsid w:val="00634C52"/>
    <w:rsid w:val="00661853"/>
    <w:rsid w:val="0067747E"/>
    <w:rsid w:val="0068788C"/>
    <w:rsid w:val="00691710"/>
    <w:rsid w:val="0069363B"/>
    <w:rsid w:val="006B1F87"/>
    <w:rsid w:val="006B5040"/>
    <w:rsid w:val="006D3072"/>
    <w:rsid w:val="006D3A64"/>
    <w:rsid w:val="006E7135"/>
    <w:rsid w:val="006F582E"/>
    <w:rsid w:val="006F6122"/>
    <w:rsid w:val="00702C18"/>
    <w:rsid w:val="00705F9F"/>
    <w:rsid w:val="00713CF5"/>
    <w:rsid w:val="007317C8"/>
    <w:rsid w:val="0076456C"/>
    <w:rsid w:val="00781C76"/>
    <w:rsid w:val="007938F8"/>
    <w:rsid w:val="00793B60"/>
    <w:rsid w:val="007A7149"/>
    <w:rsid w:val="007B2AD5"/>
    <w:rsid w:val="007B3203"/>
    <w:rsid w:val="007C28FB"/>
    <w:rsid w:val="007D0454"/>
    <w:rsid w:val="007E0F4E"/>
    <w:rsid w:val="007E750A"/>
    <w:rsid w:val="008010E3"/>
    <w:rsid w:val="00821A6B"/>
    <w:rsid w:val="00822631"/>
    <w:rsid w:val="008265CD"/>
    <w:rsid w:val="0086794C"/>
    <w:rsid w:val="0089208F"/>
    <w:rsid w:val="008945F7"/>
    <w:rsid w:val="00897177"/>
    <w:rsid w:val="008A1334"/>
    <w:rsid w:val="008B2285"/>
    <w:rsid w:val="008C14DD"/>
    <w:rsid w:val="008C456B"/>
    <w:rsid w:val="008C7E72"/>
    <w:rsid w:val="008D0BA7"/>
    <w:rsid w:val="008D4E17"/>
    <w:rsid w:val="008D6B18"/>
    <w:rsid w:val="008E01FD"/>
    <w:rsid w:val="008E58E2"/>
    <w:rsid w:val="0090402F"/>
    <w:rsid w:val="00905086"/>
    <w:rsid w:val="0090782F"/>
    <w:rsid w:val="00914B89"/>
    <w:rsid w:val="00931678"/>
    <w:rsid w:val="00933BEE"/>
    <w:rsid w:val="00933F88"/>
    <w:rsid w:val="00933FFD"/>
    <w:rsid w:val="00934554"/>
    <w:rsid w:val="009450EE"/>
    <w:rsid w:val="0095737E"/>
    <w:rsid w:val="00964ACF"/>
    <w:rsid w:val="00966990"/>
    <w:rsid w:val="00973392"/>
    <w:rsid w:val="0098234C"/>
    <w:rsid w:val="00986D8B"/>
    <w:rsid w:val="009955F7"/>
    <w:rsid w:val="009A623C"/>
    <w:rsid w:val="009B0808"/>
    <w:rsid w:val="009C0D6F"/>
    <w:rsid w:val="009D3B4B"/>
    <w:rsid w:val="009D7416"/>
    <w:rsid w:val="009E6D5C"/>
    <w:rsid w:val="00A0014C"/>
    <w:rsid w:val="00A076E8"/>
    <w:rsid w:val="00A238A1"/>
    <w:rsid w:val="00A23EF6"/>
    <w:rsid w:val="00A263B3"/>
    <w:rsid w:val="00A308FE"/>
    <w:rsid w:val="00A33AD5"/>
    <w:rsid w:val="00A42205"/>
    <w:rsid w:val="00A42B1B"/>
    <w:rsid w:val="00A44504"/>
    <w:rsid w:val="00A50352"/>
    <w:rsid w:val="00A5513C"/>
    <w:rsid w:val="00A64024"/>
    <w:rsid w:val="00A675A8"/>
    <w:rsid w:val="00A7355A"/>
    <w:rsid w:val="00A76628"/>
    <w:rsid w:val="00A81018"/>
    <w:rsid w:val="00A9213E"/>
    <w:rsid w:val="00AA0E5D"/>
    <w:rsid w:val="00AA1160"/>
    <w:rsid w:val="00AB1E3E"/>
    <w:rsid w:val="00AB3EBA"/>
    <w:rsid w:val="00AD1E1A"/>
    <w:rsid w:val="00AD5A92"/>
    <w:rsid w:val="00AD605C"/>
    <w:rsid w:val="00AF1858"/>
    <w:rsid w:val="00AF196B"/>
    <w:rsid w:val="00B05BA4"/>
    <w:rsid w:val="00B153CA"/>
    <w:rsid w:val="00B22EFA"/>
    <w:rsid w:val="00B467F6"/>
    <w:rsid w:val="00B52D04"/>
    <w:rsid w:val="00B65F82"/>
    <w:rsid w:val="00B77E05"/>
    <w:rsid w:val="00B8228A"/>
    <w:rsid w:val="00BA21CE"/>
    <w:rsid w:val="00BA40D9"/>
    <w:rsid w:val="00BA6B2F"/>
    <w:rsid w:val="00BA7882"/>
    <w:rsid w:val="00BC28A7"/>
    <w:rsid w:val="00BD6D73"/>
    <w:rsid w:val="00BE2BAC"/>
    <w:rsid w:val="00BF5F85"/>
    <w:rsid w:val="00C11783"/>
    <w:rsid w:val="00C20A44"/>
    <w:rsid w:val="00C23CCB"/>
    <w:rsid w:val="00C5564B"/>
    <w:rsid w:val="00C5706A"/>
    <w:rsid w:val="00C7007F"/>
    <w:rsid w:val="00C7556F"/>
    <w:rsid w:val="00C75E9C"/>
    <w:rsid w:val="00C861B6"/>
    <w:rsid w:val="00CA5C54"/>
    <w:rsid w:val="00CB4345"/>
    <w:rsid w:val="00CC1C9A"/>
    <w:rsid w:val="00CD3D0C"/>
    <w:rsid w:val="00CD6A28"/>
    <w:rsid w:val="00CF6140"/>
    <w:rsid w:val="00D05D64"/>
    <w:rsid w:val="00D273B2"/>
    <w:rsid w:val="00D36C88"/>
    <w:rsid w:val="00D51C01"/>
    <w:rsid w:val="00D61B6F"/>
    <w:rsid w:val="00D64724"/>
    <w:rsid w:val="00D67644"/>
    <w:rsid w:val="00DA18C3"/>
    <w:rsid w:val="00DA7309"/>
    <w:rsid w:val="00DC3A00"/>
    <w:rsid w:val="00DC62EE"/>
    <w:rsid w:val="00DC6660"/>
    <w:rsid w:val="00E0005B"/>
    <w:rsid w:val="00E17973"/>
    <w:rsid w:val="00E2555D"/>
    <w:rsid w:val="00E25BF4"/>
    <w:rsid w:val="00E3001A"/>
    <w:rsid w:val="00E436BD"/>
    <w:rsid w:val="00E44F82"/>
    <w:rsid w:val="00E5128D"/>
    <w:rsid w:val="00E576F8"/>
    <w:rsid w:val="00E57B4B"/>
    <w:rsid w:val="00E6469D"/>
    <w:rsid w:val="00E700E0"/>
    <w:rsid w:val="00E92280"/>
    <w:rsid w:val="00ED4995"/>
    <w:rsid w:val="00F078E6"/>
    <w:rsid w:val="00F078FC"/>
    <w:rsid w:val="00F14004"/>
    <w:rsid w:val="00F16E48"/>
    <w:rsid w:val="00F85D1E"/>
    <w:rsid w:val="00FA0BD2"/>
    <w:rsid w:val="00FA18E8"/>
    <w:rsid w:val="00FB01CA"/>
    <w:rsid w:val="00FB404A"/>
    <w:rsid w:val="00FE26F6"/>
    <w:rsid w:val="00FF4C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5491"/>
  <w15:chartTrackingRefBased/>
  <w15:docId w15:val="{4819EB52-93F5-45DC-8C17-3B188598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3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232A"/>
    <w:rPr>
      <w:rFonts w:eastAsiaTheme="minorEastAsia"/>
      <w:lang w:val="en-US"/>
    </w:rPr>
  </w:style>
  <w:style w:type="character" w:customStyle="1" w:styleId="Heading1Char">
    <w:name w:val="Heading 1 Char"/>
    <w:basedOn w:val="DefaultParagraphFont"/>
    <w:link w:val="Heading1"/>
    <w:uiPriority w:val="9"/>
    <w:rsid w:val="000E23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232A"/>
    <w:pPr>
      <w:ind w:left="720"/>
      <w:contextualSpacing/>
    </w:pPr>
  </w:style>
  <w:style w:type="paragraph" w:styleId="Header">
    <w:name w:val="header"/>
    <w:basedOn w:val="Normal"/>
    <w:link w:val="HeaderChar"/>
    <w:uiPriority w:val="99"/>
    <w:unhideWhenUsed/>
    <w:rsid w:val="007B2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AD5"/>
  </w:style>
  <w:style w:type="paragraph" w:styleId="Footer">
    <w:name w:val="footer"/>
    <w:basedOn w:val="Normal"/>
    <w:link w:val="FooterChar"/>
    <w:uiPriority w:val="99"/>
    <w:unhideWhenUsed/>
    <w:rsid w:val="007B2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AD5"/>
  </w:style>
  <w:style w:type="character" w:customStyle="1" w:styleId="Heading2Char">
    <w:name w:val="Heading 2 Char"/>
    <w:basedOn w:val="DefaultParagraphFont"/>
    <w:link w:val="Heading2"/>
    <w:uiPriority w:val="9"/>
    <w:rsid w:val="00DC3A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12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2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4F6"/>
    <w:rPr>
      <w:rFonts w:ascii="Segoe UI" w:hAnsi="Segoe UI" w:cs="Segoe UI"/>
      <w:sz w:val="18"/>
      <w:szCs w:val="18"/>
    </w:rPr>
  </w:style>
  <w:style w:type="table" w:styleId="GridTable4">
    <w:name w:val="Grid Table 4"/>
    <w:basedOn w:val="TableNormal"/>
    <w:uiPriority w:val="49"/>
    <w:rsid w:val="000124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9450E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450EE"/>
    <w:rPr>
      <w:rFonts w:ascii="Calibri" w:hAnsi="Calibri" w:cs="Calibri"/>
      <w:noProof/>
      <w:lang w:val="en-US"/>
    </w:rPr>
  </w:style>
  <w:style w:type="paragraph" w:customStyle="1" w:styleId="EndNoteBibliography">
    <w:name w:val="EndNote Bibliography"/>
    <w:basedOn w:val="Normal"/>
    <w:link w:val="EndNoteBibliographyChar"/>
    <w:rsid w:val="009450E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450EE"/>
    <w:rPr>
      <w:rFonts w:ascii="Calibri" w:hAnsi="Calibri" w:cs="Calibri"/>
      <w:noProof/>
      <w:lang w:val="en-US"/>
    </w:rPr>
  </w:style>
  <w:style w:type="character" w:styleId="Hyperlink">
    <w:name w:val="Hyperlink"/>
    <w:basedOn w:val="DefaultParagraphFont"/>
    <w:uiPriority w:val="99"/>
    <w:unhideWhenUsed/>
    <w:rsid w:val="009450EE"/>
    <w:rPr>
      <w:color w:val="0563C1" w:themeColor="hyperlink"/>
      <w:u w:val="single"/>
    </w:rPr>
  </w:style>
  <w:style w:type="character" w:customStyle="1" w:styleId="UnresolvedMention1">
    <w:name w:val="Unresolved Mention1"/>
    <w:basedOn w:val="DefaultParagraphFont"/>
    <w:uiPriority w:val="99"/>
    <w:semiHidden/>
    <w:unhideWhenUsed/>
    <w:rsid w:val="009450EE"/>
    <w:rPr>
      <w:color w:val="808080"/>
      <w:shd w:val="clear" w:color="auto" w:fill="E6E6E6"/>
    </w:rPr>
  </w:style>
  <w:style w:type="character" w:styleId="UnresolvedMention">
    <w:name w:val="Unresolved Mention"/>
    <w:basedOn w:val="DefaultParagraphFont"/>
    <w:uiPriority w:val="99"/>
    <w:semiHidden/>
    <w:unhideWhenUsed/>
    <w:rsid w:val="003C3D40"/>
    <w:rPr>
      <w:color w:val="808080"/>
      <w:shd w:val="clear" w:color="auto" w:fill="E6E6E6"/>
    </w:rPr>
  </w:style>
  <w:style w:type="character" w:styleId="CommentReference">
    <w:name w:val="annotation reference"/>
    <w:basedOn w:val="DefaultParagraphFont"/>
    <w:uiPriority w:val="99"/>
    <w:semiHidden/>
    <w:unhideWhenUsed/>
    <w:rsid w:val="006D3A64"/>
    <w:rPr>
      <w:sz w:val="16"/>
      <w:szCs w:val="16"/>
    </w:rPr>
  </w:style>
  <w:style w:type="paragraph" w:styleId="CommentText">
    <w:name w:val="annotation text"/>
    <w:basedOn w:val="Normal"/>
    <w:link w:val="CommentTextChar"/>
    <w:uiPriority w:val="99"/>
    <w:semiHidden/>
    <w:unhideWhenUsed/>
    <w:rsid w:val="006D3A64"/>
    <w:pPr>
      <w:spacing w:line="240" w:lineRule="auto"/>
    </w:pPr>
    <w:rPr>
      <w:sz w:val="20"/>
      <w:szCs w:val="20"/>
    </w:rPr>
  </w:style>
  <w:style w:type="character" w:customStyle="1" w:styleId="CommentTextChar">
    <w:name w:val="Comment Text Char"/>
    <w:basedOn w:val="DefaultParagraphFont"/>
    <w:link w:val="CommentText"/>
    <w:uiPriority w:val="99"/>
    <w:semiHidden/>
    <w:rsid w:val="006D3A64"/>
    <w:rPr>
      <w:sz w:val="20"/>
      <w:szCs w:val="20"/>
    </w:rPr>
  </w:style>
  <w:style w:type="paragraph" w:styleId="CommentSubject">
    <w:name w:val="annotation subject"/>
    <w:basedOn w:val="CommentText"/>
    <w:next w:val="CommentText"/>
    <w:link w:val="CommentSubjectChar"/>
    <w:uiPriority w:val="99"/>
    <w:semiHidden/>
    <w:unhideWhenUsed/>
    <w:rsid w:val="006D3A64"/>
    <w:rPr>
      <w:b/>
      <w:bCs/>
    </w:rPr>
  </w:style>
  <w:style w:type="character" w:customStyle="1" w:styleId="CommentSubjectChar">
    <w:name w:val="Comment Subject Char"/>
    <w:basedOn w:val="CommentTextChar"/>
    <w:link w:val="CommentSubject"/>
    <w:uiPriority w:val="99"/>
    <w:semiHidden/>
    <w:rsid w:val="006D3A64"/>
    <w:rPr>
      <w:b/>
      <w:bCs/>
      <w:sz w:val="20"/>
      <w:szCs w:val="20"/>
    </w:rPr>
  </w:style>
  <w:style w:type="paragraph" w:styleId="NormalWeb">
    <w:name w:val="Normal (Web)"/>
    <w:basedOn w:val="Normal"/>
    <w:uiPriority w:val="99"/>
    <w:unhideWhenUsed/>
    <w:rsid w:val="00897177"/>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character" w:customStyle="1" w:styleId="apple-converted-space">
    <w:name w:val="apple-converted-space"/>
    <w:basedOn w:val="DefaultParagraphFont"/>
    <w:rsid w:val="00897177"/>
  </w:style>
  <w:style w:type="character" w:customStyle="1" w:styleId="ipa">
    <w:name w:val="ipa"/>
    <w:basedOn w:val="DefaultParagraphFont"/>
    <w:rsid w:val="0089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4433">
      <w:bodyDiv w:val="1"/>
      <w:marLeft w:val="0"/>
      <w:marRight w:val="0"/>
      <w:marTop w:val="0"/>
      <w:marBottom w:val="0"/>
      <w:divBdr>
        <w:top w:val="none" w:sz="0" w:space="0" w:color="auto"/>
        <w:left w:val="none" w:sz="0" w:space="0" w:color="auto"/>
        <w:bottom w:val="none" w:sz="0" w:space="0" w:color="auto"/>
        <w:right w:val="none" w:sz="0" w:space="0" w:color="auto"/>
      </w:divBdr>
      <w:divsChild>
        <w:div w:id="309402200">
          <w:blockQuote w:val="1"/>
          <w:marLeft w:val="0"/>
          <w:marRight w:val="0"/>
          <w:marTop w:val="0"/>
          <w:marBottom w:val="270"/>
          <w:divBdr>
            <w:top w:val="none" w:sz="0" w:space="7" w:color="auto"/>
            <w:left w:val="single" w:sz="48" w:space="14" w:color="E8E8E8"/>
            <w:bottom w:val="none" w:sz="0" w:space="9" w:color="auto"/>
            <w:right w:val="none" w:sz="0" w:space="14" w:color="auto"/>
          </w:divBdr>
        </w:div>
      </w:divsChild>
    </w:div>
    <w:div w:id="13872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hematical_model" TargetMode="External"/><Relationship Id="rId18" Type="http://schemas.openxmlformats.org/officeDocument/2006/relationships/hyperlink" Target="https://en.wikipedia.org/wiki/Option_style" TargetMode="External"/><Relationship Id="rId26" Type="http://schemas.openxmlformats.org/officeDocument/2006/relationships/hyperlink" Target="https://en.wikipedia.org/wiki/Edward_Thorp" TargetMode="External"/><Relationship Id="rId39" Type="http://schemas.openxmlformats.org/officeDocument/2006/relationships/hyperlink" Target="https://en.wikipedia.org/wiki/Nobel_Memorial_Prize_in_Economic_Sciences" TargetMode="External"/><Relationship Id="rId21" Type="http://schemas.openxmlformats.org/officeDocument/2006/relationships/hyperlink" Target="https://en.wikipedia.org/wiki/Chicago_Board_Options_Exchange" TargetMode="External"/><Relationship Id="rId34" Type="http://schemas.openxmlformats.org/officeDocument/2006/relationships/hyperlink" Target="https://en.wikipedia.org/wiki/Black%E2%80%93Scholes_model" TargetMode="External"/><Relationship Id="rId42" Type="http://schemas.openxmlformats.org/officeDocument/2006/relationships/hyperlink" Target="https://en.wikipedia.org/wiki/Hedge_(finance)" TargetMode="External"/><Relationship Id="rId47" Type="http://schemas.openxmlformats.org/officeDocument/2006/relationships/hyperlink" Target="https://en.wikipedia.org/wiki/No-arbitrage_bounds" TargetMode="External"/><Relationship Id="rId50" Type="http://schemas.openxmlformats.org/officeDocument/2006/relationships/hyperlink" Target="https://en.wikipedia.org/wiki/Numerical_method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Partial_differential_equation" TargetMode="External"/><Relationship Id="rId29" Type="http://schemas.openxmlformats.org/officeDocument/2006/relationships/hyperlink" Target="https://en.wikipedia.org/wiki/Black%E2%80%93Scholes_model" TargetMode="External"/><Relationship Id="rId11" Type="http://schemas.openxmlformats.org/officeDocument/2006/relationships/hyperlink" Target="https://en.wikipedia.org/wiki/Help:IPA/English" TargetMode="External"/><Relationship Id="rId24" Type="http://schemas.openxmlformats.org/officeDocument/2006/relationships/hyperlink" Target="https://en.wikipedia.org/wiki/Louis_Bachelier" TargetMode="External"/><Relationship Id="rId32" Type="http://schemas.openxmlformats.org/officeDocument/2006/relationships/hyperlink" Target="https://en.wikipedia.org/wiki/Black%E2%80%93Scholes_model" TargetMode="External"/><Relationship Id="rId37" Type="http://schemas.openxmlformats.org/officeDocument/2006/relationships/hyperlink" Target="https://en.wikipedia.org/wiki/Robert_C._Merton" TargetMode="External"/><Relationship Id="rId40" Type="http://schemas.openxmlformats.org/officeDocument/2006/relationships/hyperlink" Target="https://en.wikipedia.org/wiki/Black%E2%80%93Scholes_model" TargetMode="External"/><Relationship Id="rId45" Type="http://schemas.openxmlformats.org/officeDocument/2006/relationships/hyperlink" Target="https://en.wikipedia.org/wiki/Hedge_fund"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en.wikipedia.org/wiki/Option_(finance)" TargetMode="External"/><Relationship Id="rId31" Type="http://schemas.openxmlformats.org/officeDocument/2006/relationships/hyperlink" Target="https://en.wikipedia.org/wiki/Risk_management" TargetMode="External"/><Relationship Id="rId44" Type="http://schemas.openxmlformats.org/officeDocument/2006/relationships/hyperlink" Target="https://en.wikipedia.org/wiki/Investment_bank" TargetMode="External"/><Relationship Id="rId52" Type="http://schemas.openxmlformats.org/officeDocument/2006/relationships/hyperlink" Target="https://en.wikipedia.org/wiki/Derivative_(fi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Financial_market" TargetMode="External"/><Relationship Id="rId22" Type="http://schemas.openxmlformats.org/officeDocument/2006/relationships/hyperlink" Target="https://en.wikipedia.org/wiki/Black%E2%80%93Scholes_model" TargetMode="External"/><Relationship Id="rId27" Type="http://schemas.openxmlformats.org/officeDocument/2006/relationships/hyperlink" Target="https://en.wikipedia.org/wiki/Fischer_Black" TargetMode="External"/><Relationship Id="rId30" Type="http://schemas.openxmlformats.org/officeDocument/2006/relationships/hyperlink" Target="https://en.wikipedia.org/wiki/Black%E2%80%93Scholes_model" TargetMode="External"/><Relationship Id="rId35" Type="http://schemas.openxmlformats.org/officeDocument/2006/relationships/hyperlink" Target="https://en.wikipedia.org/wiki/Black%E2%80%93Scholes_model" TargetMode="External"/><Relationship Id="rId43" Type="http://schemas.openxmlformats.org/officeDocument/2006/relationships/hyperlink" Target="https://en.wikipedia.org/wiki/Delta_hedging" TargetMode="External"/><Relationship Id="rId48" Type="http://schemas.openxmlformats.org/officeDocument/2006/relationships/hyperlink" Target="https://en.wikipedia.org/wiki/Risk-neutral_measure" TargetMode="External"/><Relationship Id="rId8" Type="http://schemas.openxmlformats.org/officeDocument/2006/relationships/endnotes" Target="endnotes.xml"/><Relationship Id="rId51" Type="http://schemas.openxmlformats.org/officeDocument/2006/relationships/hyperlink" Target="https://en.wikipedia.org/wiki/Volatility_surface" TargetMode="External"/><Relationship Id="rId3" Type="http://schemas.openxmlformats.org/officeDocument/2006/relationships/numbering" Target="numbering.xml"/><Relationship Id="rId12" Type="http://schemas.openxmlformats.org/officeDocument/2006/relationships/hyperlink" Target="https://en.wikipedia.org/wiki/Black%E2%80%93Scholes_model" TargetMode="External"/><Relationship Id="rId17" Type="http://schemas.openxmlformats.org/officeDocument/2006/relationships/hyperlink" Target="https://en.wikipedia.org/wiki/Black%E2%80%93Scholes_equation" TargetMode="External"/><Relationship Id="rId25" Type="http://schemas.openxmlformats.org/officeDocument/2006/relationships/hyperlink" Target="https://en.wikipedia.org/wiki/Sheen_Kassouf" TargetMode="External"/><Relationship Id="rId33" Type="http://schemas.openxmlformats.org/officeDocument/2006/relationships/hyperlink" Target="https://en.wikipedia.org/wiki/Journal_of_Political_Economy" TargetMode="External"/><Relationship Id="rId38" Type="http://schemas.openxmlformats.org/officeDocument/2006/relationships/hyperlink" Target="https://en.wikipedia.org/wiki/Options_pricing" TargetMode="External"/><Relationship Id="rId46" Type="http://schemas.openxmlformats.org/officeDocument/2006/relationships/hyperlink" Target="file:////wiki/Black%25E2%2580%2593Scholes_formula%23Black&#8211;Scholes_formula" TargetMode="External"/><Relationship Id="rId20" Type="http://schemas.openxmlformats.org/officeDocument/2006/relationships/hyperlink" Target="https://en.wikipedia.org/wiki/Risk-neutral" TargetMode="External"/><Relationship Id="rId41" Type="http://schemas.openxmlformats.org/officeDocument/2006/relationships/hyperlink" Target="https://en.wikipedia.org/wiki/Black%E2%80%93Scholes_mode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Derivative_(finance)" TargetMode="External"/><Relationship Id="rId23" Type="http://schemas.openxmlformats.org/officeDocument/2006/relationships/hyperlink" Target="https://en.wikipedia.org/wiki/Black%E2%80%93Scholes_model" TargetMode="External"/><Relationship Id="rId28" Type="http://schemas.openxmlformats.org/officeDocument/2006/relationships/hyperlink" Target="https://en.wikipedia.org/wiki/Myron_Scholes" TargetMode="External"/><Relationship Id="rId36" Type="http://schemas.openxmlformats.org/officeDocument/2006/relationships/hyperlink" Target="https://en.wikipedia.org/wiki/Black%E2%80%93Scholes_model" TargetMode="External"/><Relationship Id="rId49" Type="http://schemas.openxmlformats.org/officeDocument/2006/relationships/hyperlink" Target="https://en.wikipedia.org/wiki/Black%E2%80%93Scholes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research booklet for the second research item for BSB113. It will cover the task, research questions, and the research with citations and respective references. It will also contain the structure for the report.</Abstract>
  <CompanyAddress/>
  <CompanyPhone/>
  <CompanyFax/>
  <CompanyEmail>j.dufourq@connect.qut.edu.au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82E4B-FD63-1A4F-BFE0-BCC46D00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Research Booklet</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Booklet</dc:title>
  <dc:subject/>
  <dc:creator>Jeremiah Dufourq</dc:creator>
  <cp:keywords/>
  <dc:description/>
  <cp:lastModifiedBy>Jeremiah Dufourq</cp:lastModifiedBy>
  <cp:revision>11</cp:revision>
  <dcterms:created xsi:type="dcterms:W3CDTF">2019-08-14T10:31:00Z</dcterms:created>
  <dcterms:modified xsi:type="dcterms:W3CDTF">2019-08-14T10:44:00Z</dcterms:modified>
</cp:coreProperties>
</file>