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88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ano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8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jc w:val="center"/>
      </w:pPr>
      <w:r>
        <w:rPr>
          <w:b/>
          <w:color w:val="178DC2"/>
          <w:sz w:val="52"/>
        </w:rPr>
        <w:t>Manual de Seguimiento de Reuniones con IA</w:t>
      </w:r>
    </w:p>
    <w:p>
      <w:pPr>
        <w:jc w:val="center"/>
      </w:pPr>
      <w:r>
        <w:rPr>
          <w:color w:val="0D3B66"/>
          <w:sz w:val="30"/>
        </w:rPr>
        <w:t>Módulo de Consultoría — Pestaña «Seguimiento»</w:t>
      </w:r>
    </w:p>
    <w:p>
      <w:pPr>
        <w:jc w:val="center"/>
      </w:pPr>
      <w:r>
        <w:rPr>
          <w:color w:val="555B66"/>
          <w:sz w:val="24"/>
        </w:rPr>
        <w:t>Plataforma de Seguimiento de Proyectos · ISO 27001 (referencia)</w:t>
      </w:r>
    </w:p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AF4FA"/>
          </w:tcPr>
          <w:p>
            <w:r/>
            <w:r>
              <w:rPr>
                <w:b/>
                <w:color w:val="0D3B66"/>
                <w:sz w:val="21"/>
              </w:rPr>
              <w:t>Versión del documento</w:t>
            </w:r>
          </w:p>
        </w:tc>
        <w:tc>
          <w:tcPr>
            <w:tcW w:type="dxa" w:w="4759"/>
          </w:tcPr>
          <w:p>
            <w:r/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4759"/>
            <w:shd w:val="clear" w:color="auto" w:fill="EAF4FA"/>
          </w:tcPr>
          <w:p>
            <w:r/>
            <w:r>
              <w:rPr>
                <w:b/>
                <w:color w:val="0D3B66"/>
                <w:sz w:val="21"/>
              </w:rPr>
              <w:t>Responsable</w:t>
            </w:r>
          </w:p>
        </w:tc>
        <w:tc>
          <w:tcPr>
            <w:tcW w:type="dxa" w:w="4759"/>
          </w:tcPr>
          <w:p>
            <w:r/>
            <w:r>
              <w:rPr>
                <w:sz w:val="21"/>
              </w:rPr>
              <w:t>Jafa, S.L. (CODANOR)</w:t>
            </w:r>
          </w:p>
        </w:tc>
      </w:tr>
      <w:tr>
        <w:tc>
          <w:tcPr>
            <w:tcW w:type="dxa" w:w="4759"/>
            <w:shd w:val="clear" w:color="auto" w:fill="EAF4FA"/>
          </w:tcPr>
          <w:p>
            <w:r/>
            <w:r>
              <w:rPr>
                <w:b/>
                <w:color w:val="0D3B66"/>
                <w:sz w:val="21"/>
              </w:rPr>
              <w:t>Fecha</w:t>
            </w:r>
          </w:p>
        </w:tc>
        <w:tc>
          <w:tcPr>
            <w:tcW w:type="dxa" w:w="4759"/>
          </w:tcPr>
          <w:p>
            <w:r/>
            <w:r>
              <w:rPr>
                <w:sz w:val="21"/>
              </w:rPr>
              <w:t>25/06/2026</w:t>
            </w:r>
          </w:p>
        </w:tc>
      </w:tr>
      <w:tr>
        <w:tc>
          <w:tcPr>
            <w:tcW w:type="dxa" w:w="4759"/>
            <w:shd w:val="clear" w:color="auto" w:fill="EAF4FA"/>
          </w:tcPr>
          <w:p>
            <w:r/>
            <w:r>
              <w:rPr>
                <w:b/>
                <w:color w:val="0D3B66"/>
                <w:sz w:val="21"/>
              </w:rPr>
              <w:t>Ámbito</w:t>
            </w:r>
          </w:p>
        </w:tc>
        <w:tc>
          <w:tcPr>
            <w:tcW w:type="dxa" w:w="4759"/>
          </w:tcPr>
          <w:p>
            <w:r/>
            <w:r>
              <w:rPr>
                <w:sz w:val="21"/>
              </w:rPr>
              <w:t>Uso interno — Consultoría Organizativa y Normativa</w:t>
            </w:r>
          </w:p>
        </w:tc>
      </w:tr>
    </w:tbl>
    <w:p>
      <w:r>
        <w:br w:type="page"/>
      </w: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1. Introducción</w:t>
      </w:r>
    </w:p>
    <w:p>
      <w:pPr>
        <w:spacing w:after="120"/>
      </w:pPr>
      <w:r>
        <w:rPr>
          <w:b w:val="0"/>
          <w:i w:val="0"/>
          <w:sz w:val="22"/>
        </w:rPr>
        <w:t>La pestaña «Seguimiento», dentro del módulo de Consultoría (Implantación del SGSI), permite gestionar las reuniones que se mantienen con el cliente durante el desarrollo de la consultoría/implantación. Su objetivo es que, por cada reunión, puedas:</w:t>
      </w:r>
    </w:p>
    <w:p>
      <w:pPr>
        <w:pStyle w:val="ListBullet"/>
        <w:spacing w:after="40"/>
      </w:pPr>
      <w:r>
        <w:rPr>
          <w:b/>
          <w:color w:val="0D3B66"/>
        </w:rPr>
        <w:t xml:space="preserve">Subir el acta: </w:t>
      </w:r>
      <w:r>
        <w:t>subir el acta o resumen de la reunión (.docx, .pdf o .txt);</w:t>
      </w:r>
    </w:p>
    <w:p>
      <w:pPr>
        <w:pStyle w:val="ListBullet"/>
        <w:spacing w:after="40"/>
      </w:pPr>
      <w:r>
        <w:rPr>
          <w:b/>
          <w:color w:val="0D3B66"/>
        </w:rPr>
        <w:t xml:space="preserve">Sintetizar: </w:t>
      </w:r>
      <w:r>
        <w:t>obtener automáticamente una síntesis de ~10 líneas mediante Inteligencia Artificial;</w:t>
      </w:r>
    </w:p>
    <w:p>
      <w:pPr>
        <w:pStyle w:val="ListBullet"/>
        <w:spacing w:after="40"/>
      </w:pPr>
      <w:r>
        <w:rPr>
          <w:b/>
          <w:color w:val="0D3B66"/>
        </w:rPr>
        <w:t xml:space="preserve">Extraer tareas: </w:t>
      </w:r>
      <w:r>
        <w:t>extraer las tareas derivadas de cada reunión, con responsable y fecha límite;</w:t>
      </w:r>
    </w:p>
    <w:p>
      <w:pPr>
        <w:pStyle w:val="ListBullet"/>
        <w:spacing w:after="40"/>
      </w:pPr>
      <w:r>
        <w:rPr>
          <w:b/>
          <w:color w:val="0D3B66"/>
        </w:rPr>
        <w:t xml:space="preserve">Monitorizar: </w:t>
      </w:r>
      <w:r>
        <w:t>hacer seguimiento y monitorización: completar, desestimar o reabrir tareas, conservando el histórico.</w:t>
      </w: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2. Concepto clave: cómo trabaja la IA aquí</w:t>
      </w:r>
    </w:p>
    <w:p>
      <w:pPr>
        <w:spacing w:after="120"/>
      </w:pPr>
      <w:r>
        <w:rPr>
          <w:b w:val="0"/>
          <w:i w:val="0"/>
          <w:sz w:val="22"/>
        </w:rPr>
        <w:t>Para que la IA sintetice las actas y extraiga tareas, la aplicación necesita conectarse a un servicio de Inteligencia Artificial. Esa conexión se realiza con una «API Key» (una credencial, similar a una contraseña, que da acceso al servicio). Existen DOS formas de trabajar:</w:t>
      </w:r>
    </w:p>
    <w:p>
      <w:r>
        <w:rPr>
          <w:b/>
          <w:color w:val="0D3B66"/>
          <w:sz w:val="26"/>
        </w:rPr>
        <w:t>2.1. Modo automático (con API Key)</w:t>
      </w:r>
    </w:p>
    <w:p>
      <w:pPr>
        <w:spacing w:after="120"/>
      </w:pPr>
      <w:r>
        <w:rPr>
          <w:b w:val="0"/>
          <w:i w:val="0"/>
          <w:sz w:val="22"/>
        </w:rPr>
        <w:t>Configuras una API Key una sola vez. A partir de entonces, al pulsar «Sintetizar con IA», la aplicación llama sola al servicio y rellena el resumen y las tareas. Es el modo recomendado.</w:t>
      </w:r>
    </w:p>
    <w:p>
      <w:r>
        <w:rPr>
          <w:b/>
          <w:color w:val="0D3B66"/>
          <w:sz w:val="26"/>
        </w:rPr>
        <w:t>2.2. Modo manual (sin API Key — flujo de respaldo)</w:t>
      </w:r>
    </w:p>
    <w:p>
      <w:pPr>
        <w:spacing w:after="120"/>
      </w:pPr>
      <w:r>
        <w:rPr>
          <w:b w:val="0"/>
          <w:i w:val="0"/>
          <w:sz w:val="22"/>
        </w:rPr>
        <w:t>Si no tienes API Key, la aplicación te muestra el «prompt» (el texto de instrucciones) para que lo copies, lo pegues en ChatGPT o Claude por tu cuenta, y después pegues de vuelta el resultado en la aplicación con el botón «Pegar resultado IA». Funciona igual; solo que el viaje a la IA lo haces tú manualmente.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4FA"/>
          </w:tcPr>
          <w:p>
            <w:pPr>
              <w:spacing w:after="60"/>
            </w:pPr>
            <w:r>
              <w:rPr>
                <w:b/>
                <w:color w:val="12A79D"/>
                <w:sz w:val="22"/>
              </w:rPr>
              <w:t>¿Por qué antes «no pasaba nada»?</w:t>
            </w:r>
          </w:p>
          <w:p>
            <w:pPr>
              <w:spacing w:after="60"/>
            </w:pPr>
            <w:r>
              <w:rPr>
                <w:sz w:val="21"/>
              </w:rPr>
              <w:t>Si una reunión no funcionaba, no era porque los datos estuvieran dañados: simplemente no había una API Key configurada y el flujo manual no estaba visible. La versión actual corrige esto: la Configuración de la IA aparece ahora en la propia pestaña «Seguimiento», y los mensajes de error indican con claridad qué hacer.</w:t>
            </w:r>
          </w:p>
        </w:tc>
      </w:tr>
    </w:tbl>
    <w:p>
      <w:pPr>
        <w:spacing w:after="80"/>
      </w:pP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3. Novedades (tras la actualización)</w:t>
      </w:r>
    </w:p>
    <w:p>
      <w:pPr>
        <w:pStyle w:val="ListBullet"/>
        <w:spacing w:after="40"/>
      </w:pPr>
      <w:r>
        <w:t>Flujo unificado por reunión: subir acta → resumen de ~10 líneas → tareas, en un solo paso.</w:t>
      </w:r>
    </w:p>
    <w:p>
      <w:pPr>
        <w:pStyle w:val="ListBullet"/>
        <w:spacing w:after="40"/>
      </w:pPr>
      <w:r>
        <w:t>Configuración de IA accesible desde la propia pestaña «Seguimiento».</w:t>
      </w:r>
    </w:p>
    <w:p>
      <w:pPr>
        <w:pStyle w:val="ListBullet"/>
        <w:spacing w:after="40"/>
      </w:pPr>
      <w:r>
        <w:t>Sistema de proveedores ABIERTO: puedes usar cualquier servicio de IA (incluidos gratuitos) sin tocar el código.</w:t>
      </w:r>
    </w:p>
    <w:p>
      <w:pPr>
        <w:pStyle w:val="ListBullet"/>
        <w:spacing w:after="40"/>
      </w:pPr>
      <w:r>
        <w:t>Tareas con responsable, fecha límite y aviso de vencimiento.</w:t>
      </w:r>
    </w:p>
    <w:p>
      <w:pPr>
        <w:pStyle w:val="ListBullet"/>
        <w:spacing w:after="40"/>
      </w:pPr>
      <w:r>
        <w:t>Gestión con histórico: Completar, Desestimar (con motivo) y Reabrir — sin perder el registro.</w:t>
      </w:r>
    </w:p>
    <w:p>
      <w:pPr>
        <w:pStyle w:val="ListBullet"/>
        <w:spacing w:after="40"/>
      </w:pPr>
      <w:r>
        <w:t>Mensajes de error claros (clave vacía, modelo inexistente, cuota agotada, bloqueo del navegador).</w:t>
      </w: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4. Configurar la IA (modo automático)</w:t>
      </w:r>
    </w:p>
    <w:p>
      <w:pPr>
        <w:spacing w:after="120"/>
      </w:pPr>
      <w:r>
        <w:rPr>
          <w:b w:val="0"/>
          <w:i w:val="0"/>
          <w:sz w:val="22"/>
        </w:rPr>
        <w:t>En la pestaña «Seguimiento», arriba, despliega el bloque «🔑 Configuración API (LLM)». Si no hay clave configurada, aparece ya abierto y resaltado.</w:t>
      </w:r>
    </w:p>
    <w:p>
      <w:r>
        <w:rPr>
          <w:b/>
          <w:color w:val="0D3B66"/>
          <w:sz w:val="26"/>
        </w:rPr>
        <w:t>4.1. Proveedores y modelo gratuito recomendado</w:t>
      </w:r>
    </w:p>
    <w:p>
      <w:pPr>
        <w:spacing w:after="120"/>
      </w:pPr>
      <w:r>
        <w:rPr>
          <w:b w:val="0"/>
          <w:i w:val="0"/>
          <w:sz w:val="22"/>
        </w:rPr>
        <w:t>El selector «Proveedor» incluye opciones gratuitas (OpenRouter, Groq, Google Gemini) y de pago (OpenAI, Anthropic), además de «Personalizado» (cualquier servicio compatible). Para un uso gratuito y estable se recomienda:</w:t>
      </w:r>
    </w:p>
    <w:p>
      <w:pPr>
        <w:pStyle w:val="ListBullet"/>
        <w:spacing w:after="40"/>
      </w:pPr>
      <w:r>
        <w:rPr>
          <w:b/>
          <w:color w:val="0D3B66"/>
        </w:rPr>
        <w:t xml:space="preserve">OpenRouter: </w:t>
      </w:r>
      <w:r>
        <w:t>OpenRouter, con el modelo «openrouter/free» (alias estable que siempre apunta a un modelo gratuito disponible).</w:t>
      </w:r>
    </w:p>
    <w:p>
      <w:pPr>
        <w:pStyle w:val="ListBullet"/>
        <w:spacing w:after="40"/>
      </w:pPr>
      <w:r>
        <w:rPr>
          <w:b/>
          <w:color w:val="0D3B66"/>
        </w:rPr>
        <w:t xml:space="preserve">Groq: </w:t>
      </w:r>
      <w:r>
        <w:t>Groq, con «llama-3.3-70b-versatile» (más rápido y con cuota amplia), si necesitas procesar varias actas seguidas.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4FA"/>
          </w:tcPr>
          <w:p>
            <w:pPr>
              <w:spacing w:after="60"/>
            </w:pPr>
            <w:r>
              <w:rPr>
                <w:b/>
                <w:color w:val="178DC2"/>
                <w:sz w:val="22"/>
              </w:rPr>
              <w:t>Importante: los modelos gratuitos cambian a menudo</w:t>
            </w:r>
          </w:p>
          <w:p>
            <w:pPr>
              <w:spacing w:after="60"/>
            </w:pPr>
            <w:r>
              <w:rPr>
                <w:sz w:val="21"/>
              </w:rPr>
              <w:t>El campo «Modelo» es editable. Si un modelo deja de existir (error 404) o se satura (error 429), simplemente escribe otro modelo gratuito en ese campo. Por eso «openrouter/free» es la opción más cómoda: no caduca.</w:t>
            </w:r>
          </w:p>
        </w:tc>
      </w:tr>
    </w:tbl>
    <w:p>
      <w:pPr>
        <w:spacing w:after="80"/>
      </w:pPr>
    </w:p>
    <w:p>
      <w:r>
        <w:rPr>
          <w:b/>
          <w:color w:val="0D3B66"/>
          <w:sz w:val="26"/>
        </w:rPr>
        <w:t>4.2. Pasos para configurar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759"/>
          </w:tcPr>
          <w:p>
            <w:r>
              <w:t>1</w:t>
            </w:r>
          </w:p>
        </w:tc>
        <w:tc>
          <w:tcPr>
            <w:tcW w:type="dxa" w:w="4759"/>
          </w:tcPr>
          <w:p>
            <w:r>
              <w:t>Pestaña «Seguimiento» → desplegar «🔑 Configuración API (LLM)».</w:t>
            </w:r>
          </w:p>
        </w:tc>
      </w:tr>
      <w:tr>
        <w:tc>
          <w:tcPr>
            <w:tcW w:type="dxa" w:w="4759"/>
          </w:tcPr>
          <w:p>
            <w:r>
              <w:t>2</w:t>
            </w:r>
          </w:p>
        </w:tc>
        <w:tc>
          <w:tcPr>
            <w:tcW w:type="dxa" w:w="4759"/>
          </w:tcPr>
          <w:p>
            <w:r>
              <w:t>Proveedor: elegir «OpenRouter (Gratis)» (o Groq).</w:t>
            </w:r>
          </w:p>
        </w:tc>
      </w:tr>
      <w:tr>
        <w:tc>
          <w:tcPr>
            <w:tcW w:type="dxa" w:w="4759"/>
          </w:tcPr>
          <w:p>
            <w:r>
              <w:t>3</w:t>
            </w:r>
          </w:p>
        </w:tc>
        <w:tc>
          <w:tcPr>
            <w:tcW w:type="dxa" w:w="4759"/>
          </w:tcPr>
          <w:p>
            <w:r>
              <w:t>Pulsar «Consigue tu API Key gratis» y crear la clave en la web del proveedor (gratis, normalmente sin tarjeta).</w:t>
            </w:r>
          </w:p>
        </w:tc>
      </w:tr>
      <w:tr>
        <w:tc>
          <w:tcPr>
            <w:tcW w:type="dxa" w:w="4759"/>
          </w:tcPr>
          <w:p>
            <w:r>
              <w:t>4</w:t>
            </w:r>
          </w:p>
        </w:tc>
        <w:tc>
          <w:tcPr>
            <w:tcW w:type="dxa" w:w="4759"/>
          </w:tcPr>
          <w:p>
            <w:r>
              <w:t>Pegar la clave en el campo «API Key».</w:t>
            </w:r>
          </w:p>
        </w:tc>
      </w:tr>
      <w:tr>
        <w:tc>
          <w:tcPr>
            <w:tcW w:type="dxa" w:w="4759"/>
          </w:tcPr>
          <w:p>
            <w:r>
              <w:t>5</w:t>
            </w:r>
          </w:p>
        </w:tc>
        <w:tc>
          <w:tcPr>
            <w:tcW w:type="dxa" w:w="4759"/>
          </w:tcPr>
          <w:p>
            <w:r>
              <w:t>Modelo: dejar «openrouter/free» (o elegir otro de la lista).</w:t>
            </w:r>
          </w:p>
        </w:tc>
      </w:tr>
      <w:tr>
        <w:tc>
          <w:tcPr>
            <w:tcW w:type="dxa" w:w="4759"/>
          </w:tcPr>
          <w:p>
            <w:r>
              <w:t>6</w:t>
            </w:r>
          </w:p>
        </w:tc>
        <w:tc>
          <w:tcPr>
            <w:tcW w:type="dxa" w:w="4759"/>
          </w:tcPr>
          <w:p>
            <w:r>
              <w:t>Pulsar «Probar conexión». Debe mostrar «✔ OK».</w:t>
            </w:r>
          </w:p>
        </w:tc>
      </w:tr>
    </w:tbl>
    <w:p>
      <w:pPr>
        <w:spacing w:after="80"/>
      </w:pP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5. Sintetizar un acta de reunión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759"/>
          </w:tcPr>
          <w:p>
            <w:r>
              <w:t>1</w:t>
            </w:r>
          </w:p>
        </w:tc>
        <w:tc>
          <w:tcPr>
            <w:tcW w:type="dxa" w:w="4759"/>
          </w:tcPr>
          <w:p>
            <w:r>
              <w:t>En la fila de la reunión, abrir «Acta / Notas».</w:t>
            </w:r>
          </w:p>
        </w:tc>
      </w:tr>
      <w:tr>
        <w:tc>
          <w:tcPr>
            <w:tcW w:type="dxa" w:w="4759"/>
          </w:tcPr>
          <w:p>
            <w:r>
              <w:t>2</w:t>
            </w:r>
          </w:p>
        </w:tc>
        <w:tc>
          <w:tcPr>
            <w:tcW w:type="dxa" w:w="4759"/>
          </w:tcPr>
          <w:p>
            <w:r>
              <w:t>En el bloque «Acta de la reunión», pulsar «Subir acta (.docx/.pdf/.txt)» y seleccionar el fichero.</w:t>
            </w:r>
          </w:p>
        </w:tc>
      </w:tr>
      <w:tr>
        <w:tc>
          <w:tcPr>
            <w:tcW w:type="dxa" w:w="4759"/>
          </w:tcPr>
          <w:p>
            <w:r>
              <w:t>3</w:t>
            </w:r>
          </w:p>
        </w:tc>
        <w:tc>
          <w:tcPr>
            <w:tcW w:type="dxa" w:w="4759"/>
          </w:tcPr>
          <w:p>
            <w:r>
              <w:t>Pulsar «✨ Sintetizar con IA».</w:t>
            </w:r>
          </w:p>
        </w:tc>
      </w:tr>
      <w:tr>
        <w:tc>
          <w:tcPr>
            <w:tcW w:type="dxa" w:w="4759"/>
          </w:tcPr>
          <w:p>
            <w:r>
              <w:t>4</w:t>
            </w:r>
          </w:p>
        </w:tc>
        <w:tc>
          <w:tcPr>
            <w:tcW w:type="dxa" w:w="4759"/>
          </w:tcPr>
          <w:p>
            <w:r>
              <w:t>Esperar unos segundos: se rellenan el «Resumen IA (~10 líneas)» y las «Próximas tareas».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B66"/>
          <w:sz w:val="20"/>
        </w:rPr>
        <w:t>Nota: los modelos gratuitos pueden tardar algo (es normal). Si una llamada falla por lentitud o saturación, la aplicación reintenta automáticamente una vez.</w:t>
      </w:r>
    </w:p>
    <w:p>
      <w:r>
        <w:rPr>
          <w:b/>
          <w:color w:val="0D3B66"/>
          <w:sz w:val="26"/>
        </w:rPr>
        <w:t>5.1. Modo manual (sin API Key)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759"/>
          </w:tcPr>
          <w:p>
            <w:r>
              <w:t>1</w:t>
            </w:r>
          </w:p>
        </w:tc>
        <w:tc>
          <w:tcPr>
            <w:tcW w:type="dxa" w:w="4759"/>
          </w:tcPr>
          <w:p>
            <w:r>
              <w:t>Pulsar «✨ Sintetizar con IA»: se copia el prompt al portapapeles y se abre una ventana con el texto.</w:t>
            </w:r>
          </w:p>
        </w:tc>
      </w:tr>
      <w:tr>
        <w:tc>
          <w:tcPr>
            <w:tcW w:type="dxa" w:w="4759"/>
          </w:tcPr>
          <w:p>
            <w:r>
              <w:t>2</w:t>
            </w:r>
          </w:p>
        </w:tc>
        <w:tc>
          <w:tcPr>
            <w:tcW w:type="dxa" w:w="4759"/>
          </w:tcPr>
          <w:p>
            <w:r>
              <w:t>Pegar ese texto en ChatGPT o Claude (web) y enviar.</w:t>
            </w:r>
          </w:p>
        </w:tc>
      </w:tr>
      <w:tr>
        <w:tc>
          <w:tcPr>
            <w:tcW w:type="dxa" w:w="4759"/>
          </w:tcPr>
          <w:p>
            <w:r>
              <w:t>3</w:t>
            </w:r>
          </w:p>
        </w:tc>
        <w:tc>
          <w:tcPr>
            <w:tcW w:type="dxa" w:w="4759"/>
          </w:tcPr>
          <w:p>
            <w:r>
              <w:t>Copiar la respuesta (en formato JSON) que devuelve la IA.</w:t>
            </w:r>
          </w:p>
        </w:tc>
      </w:tr>
      <w:tr>
        <w:tc>
          <w:tcPr>
            <w:tcW w:type="dxa" w:w="4759"/>
          </w:tcPr>
          <w:p>
            <w:r>
              <w:t>4</w:t>
            </w:r>
          </w:p>
        </w:tc>
        <w:tc>
          <w:tcPr>
            <w:tcW w:type="dxa" w:w="4759"/>
          </w:tcPr>
          <w:p>
            <w:r>
              <w:t>En la aplicación, pulsar «Pegar resultado IA», pegar el JSON y aplicar.</w:t>
            </w:r>
          </w:p>
        </w:tc>
      </w:tr>
    </w:tbl>
    <w:p>
      <w:pPr>
        <w:spacing w:after="80"/>
      </w:pP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6. Gestión y seguimiento de tareas</w:t>
      </w:r>
    </w:p>
    <w:p>
      <w:pPr>
        <w:spacing w:after="120"/>
      </w:pPr>
      <w:r>
        <w:rPr>
          <w:b w:val="0"/>
          <w:i w:val="0"/>
          <w:sz w:val="22"/>
        </w:rPr>
        <w:t>Cada tarea (generada por IA o creada a mano) incluye:</w:t>
      </w:r>
    </w:p>
    <w:p>
      <w:pPr>
        <w:pStyle w:val="ListBullet"/>
        <w:spacing w:after="40"/>
      </w:pPr>
      <w:r>
        <w:t>Título y descripción.</w:t>
      </w:r>
    </w:p>
    <w:p>
      <w:pPr>
        <w:pStyle w:val="ListBullet"/>
        <w:spacing w:after="40"/>
      </w:pPr>
      <w:r>
        <w:t>Responsable (persona o rol).</w:t>
      </w:r>
    </w:p>
    <w:p>
      <w:pPr>
        <w:pStyle w:val="ListBullet"/>
        <w:spacing w:after="40"/>
      </w:pPr>
      <w:r>
        <w:t>Fecha límite (con aviso de «Vencida» si pasa la fecha y no está cerrada).</w:t>
      </w:r>
    </w:p>
    <w:p>
      <w:pPr>
        <w:pStyle w:val="ListBullet"/>
        <w:spacing w:after="40"/>
      </w:pPr>
      <w:r>
        <w:t>Estado: En curso, A revisar, Completada o Desestimada.</w:t>
      </w:r>
    </w:p>
    <w:p>
      <w:pPr>
        <w:pStyle w:val="ListBullet"/>
        <w:spacing w:after="40"/>
      </w:pPr>
      <w:r>
        <w:t>Indicador «IA» si la propuso la Inteligencia Artificial.</w:t>
      </w:r>
    </w:p>
    <w:p>
      <w:r>
        <w:rPr>
          <w:b/>
          <w:color w:val="0D3B66"/>
          <w:sz w:val="26"/>
        </w:rPr>
        <w:t>6.1. Cerrar tareas conservando el histórico</w:t>
      </w:r>
    </w:p>
    <w:p>
      <w:pPr>
        <w:pStyle w:val="ListBullet"/>
        <w:spacing w:after="40"/>
      </w:pPr>
      <w:r>
        <w:rPr>
          <w:b/>
          <w:color w:val="0D3B66"/>
        </w:rPr>
        <w:t xml:space="preserve">Completar: </w:t>
      </w:r>
      <w:r>
        <w:t>se marca como «Completada» y se registra la fecha de cierre. Se puede añadir una nota (opcional).</w:t>
      </w:r>
    </w:p>
    <w:p>
      <w:pPr>
        <w:pStyle w:val="ListBullet"/>
        <w:spacing w:after="40"/>
      </w:pPr>
      <w:r>
        <w:rPr>
          <w:b/>
          <w:color w:val="0D3B66"/>
        </w:rPr>
        <w:t xml:space="preserve">Desestimar: </w:t>
      </w:r>
      <w:r>
        <w:t>para tareas que la IA propuso pero no son correctas. Exige un MOTIVO obligatorio, que queda en el histórico.</w:t>
      </w:r>
    </w:p>
    <w:p>
      <w:pPr>
        <w:pStyle w:val="ListBullet"/>
        <w:spacing w:after="40"/>
      </w:pPr>
      <w:r>
        <w:rPr>
          <w:b/>
          <w:color w:val="0D3B66"/>
        </w:rPr>
        <w:t xml:space="preserve">Reabrir: </w:t>
      </w:r>
      <w:r>
        <w:t>una tarea cerrada o desestimada vuelve a «En curso». El cambio también queda registrado.</w:t>
      </w:r>
    </w:p>
    <w:p>
      <w:pPr>
        <w:spacing w:after="120"/>
      </w:pPr>
      <w:r>
        <w:rPr>
          <w:b w:val="0"/>
          <w:i w:val="0"/>
          <w:sz w:val="22"/>
        </w:rPr>
        <w:t>Ninguna acción borra la tarea: todas las tareas (completadas y desestimadas incluidas) se conservan y pueden consultarse filtrando por estado. Cada tarea guarda un «Historial» con todos los cambios (fecha, acción y nota).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AF4FA"/>
          </w:tcPr>
          <w:p>
            <w:pPr>
              <w:spacing w:after="60"/>
            </w:pPr>
            <w:r>
              <w:rPr>
                <w:b/>
                <w:color w:val="12A79D"/>
                <w:sz w:val="22"/>
              </w:rPr>
              <w:t>Panel de seguimiento de tareas</w:t>
            </w:r>
          </w:p>
          <w:p>
            <w:pPr>
              <w:spacing w:after="60"/>
            </w:pPr>
            <w:r>
              <w:rPr>
                <w:sz w:val="21"/>
              </w:rPr>
              <w:t>Al final de la pestaña «Seguimiento» hay un panel que agrupa TODAS las tareas de todas las reuniones, con filtros por estado (Todas, En curso, A revisar, Completada, Desestimada, Vencida) y contadores. Desde ahí puedes Completar, Desestimar o Reabrir, y ver responsable y fecha límite de cada tarea.</w:t>
            </w:r>
          </w:p>
        </w:tc>
      </w:tr>
    </w:tbl>
    <w:p>
      <w:pPr>
        <w:spacing w:after="80"/>
      </w:pP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7. Probar sobre un proyecto existente (p. ej. PRJ-006-REDMAN)</w:t>
      </w:r>
    </w:p>
    <w:p>
      <w:pPr>
        <w:spacing w:after="120"/>
      </w:pPr>
      <w:r>
        <w:rPr>
          <w:b w:val="0"/>
          <w:i w:val="0"/>
          <w:sz w:val="22"/>
        </w:rPr>
        <w:t>Los datos de las reuniones se guardan localmente en el navegador. Si un proyecto ya tiene reuniones creadas, NO se pierden: la actualización añade los campos nuevos de forma no destructiva.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759"/>
          </w:tcPr>
          <w:p>
            <w:r>
              <w:t>1</w:t>
            </w:r>
          </w:p>
        </w:tc>
        <w:tc>
          <w:tcPr>
            <w:tcW w:type="dxa" w:w="4759"/>
          </w:tcPr>
          <w:p>
            <w:r>
              <w:t>Abrir el proyecto → pestaña «Seguimiento». Las reuniones existentes siguen ahí.</w:t>
            </w:r>
          </w:p>
        </w:tc>
      </w:tr>
      <w:tr>
        <w:tc>
          <w:tcPr>
            <w:tcW w:type="dxa" w:w="4759"/>
          </w:tcPr>
          <w:p>
            <w:r>
              <w:t>2</w:t>
            </w:r>
          </w:p>
        </w:tc>
        <w:tc>
          <w:tcPr>
            <w:tcW w:type="dxa" w:w="4759"/>
          </w:tcPr>
          <w:p>
            <w:r>
              <w:t>Configurar la API Key (sección 4) si aún no está.</w:t>
            </w:r>
          </w:p>
        </w:tc>
      </w:tr>
      <w:tr>
        <w:tc>
          <w:tcPr>
            <w:tcW w:type="dxa" w:w="4759"/>
          </w:tcPr>
          <w:p>
            <w:r>
              <w:t>3</w:t>
            </w:r>
          </w:p>
        </w:tc>
        <w:tc>
          <w:tcPr>
            <w:tcW w:type="dxa" w:w="4759"/>
          </w:tcPr>
          <w:p>
            <w:r>
              <w:t>En una reunión, subir el acta y pulsar «✨ Sintetizar con IA».</w:t>
            </w:r>
          </w:p>
        </w:tc>
      </w:tr>
      <w:tr>
        <w:tc>
          <w:tcPr>
            <w:tcW w:type="dxa" w:w="4759"/>
          </w:tcPr>
          <w:p>
            <w:r>
              <w:t>4</w:t>
            </w:r>
          </w:p>
        </w:tc>
        <w:tc>
          <w:tcPr>
            <w:tcW w:type="dxa" w:w="4759"/>
          </w:tcPr>
          <w:p>
            <w:r>
              <w:t>Revisar el resumen y las tareas; asignar responsables y fechas.</w:t>
            </w:r>
          </w:p>
        </w:tc>
      </w:tr>
      <w:tr>
        <w:tc>
          <w:tcPr>
            <w:tcW w:type="dxa" w:w="4759"/>
          </w:tcPr>
          <w:p>
            <w:r>
              <w:t>5</w:t>
            </w:r>
          </w:p>
        </w:tc>
        <w:tc>
          <w:tcPr>
            <w:tcW w:type="dxa" w:w="4759"/>
          </w:tcPr>
          <w:p>
            <w:r>
              <w:t>Probar Completar / Desestimar / Reabrir y revisar el histórico.</w:t>
            </w:r>
          </w:p>
        </w:tc>
      </w:tr>
      <w:tr>
        <w:tc>
          <w:tcPr>
            <w:tcW w:type="dxa" w:w="4759"/>
          </w:tcPr>
          <w:p>
            <w:r>
              <w:t>6</w:t>
            </w:r>
          </w:p>
        </w:tc>
        <w:tc>
          <w:tcPr>
            <w:tcW w:type="dxa" w:w="4759"/>
          </w:tcPr>
          <w:p>
            <w:r>
              <w:t>Recargar la página y comprobar que todo se ha guardado.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55B66"/>
          <w:sz w:val="20"/>
        </w:rPr>
        <w:t>Nota: si esas reuniones «no funcionaban» antes, era por falta de API Key (no por datos corruptos). Una vez configurada, funcionan con normalidad.</w:t>
      </w: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8. Preguntas frecuentes y solución de problemas</w:t>
      </w:r>
    </w:p>
    <w:p>
      <w:pPr>
        <w:spacing w:after="20"/>
      </w:pPr>
      <w:r>
        <w:rPr>
          <w:b/>
          <w:color w:val="0D3B66"/>
        </w:rPr>
        <w:t>P: Al pulsar «Sintetizar con IA» no pasa nada.</w:t>
      </w:r>
    </w:p>
    <w:p>
      <w:pPr>
        <w:spacing w:after="120"/>
      </w:pPr>
      <w:r>
        <w:rPr>
          <w:sz w:val="21"/>
        </w:rPr>
        <w:t>R: Comprueba que hay una API Key configurada y que «Probar conexión» da OK. Sin clave, se abrirá la ventana del modo manual para copiar el prompt.</w:t>
      </w:r>
    </w:p>
    <w:p>
      <w:pPr>
        <w:spacing w:after="20"/>
      </w:pPr>
      <w:r>
        <w:rPr>
          <w:b/>
          <w:color w:val="0D3B66"/>
        </w:rPr>
        <w:t>P: «Probar conexión» da error de conexión / CORS.</w:t>
      </w:r>
    </w:p>
    <w:p>
      <w:pPr>
        <w:spacing w:after="120"/>
      </w:pPr>
      <w:r>
        <w:rPr>
          <w:sz w:val="21"/>
        </w:rPr>
        <w:t>R: Algunos navegadores (Safari) bloquean las llamadas a la IA al abrir el archivo con file://. Usa un proveedor gratuito (OpenRouter/Groq/Gemini), o sirve la aplicación por http://localhost, o usa el flujo manual.</w:t>
      </w:r>
    </w:p>
    <w:p>
      <w:pPr>
        <w:spacing w:after="20"/>
      </w:pPr>
      <w:r>
        <w:rPr>
          <w:b/>
          <w:color w:val="0D3B66"/>
        </w:rPr>
        <w:t>P: Error 404: «No endpoints found for …».</w:t>
      </w:r>
    </w:p>
    <w:p>
      <w:pPr>
        <w:spacing w:after="120"/>
      </w:pPr>
      <w:r>
        <w:rPr>
          <w:sz w:val="21"/>
        </w:rPr>
        <w:t>R: El nombre del modelo ya no existe. Escribe otro modelo en el campo «Modelo» (por ejemplo «openrouter/free»).</w:t>
      </w:r>
    </w:p>
    <w:p>
      <w:pPr>
        <w:spacing w:after="20"/>
      </w:pPr>
      <w:r>
        <w:rPr>
          <w:b/>
          <w:color w:val="0D3B66"/>
        </w:rPr>
        <w:t>P: Error 429: cuota agotada.</w:t>
      </w:r>
    </w:p>
    <w:p>
      <w:pPr>
        <w:spacing w:after="120"/>
      </w:pPr>
      <w:r>
        <w:rPr>
          <w:sz w:val="21"/>
        </w:rPr>
        <w:t>R: El modelo gratuito está saturado. Cambia a otro modelo :free, o usa el proveedor Groq (cuota más amplia).</w:t>
      </w:r>
    </w:p>
    <w:p>
      <w:pPr>
        <w:spacing w:after="20"/>
      </w:pPr>
      <w:r>
        <w:rPr>
          <w:b/>
          <w:color w:val="0D3B66"/>
        </w:rPr>
        <w:t>P: La IA devuelve textos de ejemplo en vez de contenido real.</w:t>
      </w:r>
    </w:p>
    <w:p>
      <w:pPr>
        <w:spacing w:after="120"/>
      </w:pPr>
      <w:r>
        <w:rPr>
          <w:sz w:val="21"/>
        </w:rPr>
        <w:t>R: Suele ocurrir con modelos poco potentes o actas con poco texto. La aplicación filtra y limpia esos textos; si persiste, usa un modelo mejor o revisa que el acta tenga contenido.</w:t>
      </w:r>
    </w:p>
    <w:p>
      <w:pPr>
        <w:spacing w:after="20"/>
      </w:pPr>
      <w:r>
        <w:rPr>
          <w:b/>
          <w:color w:val="0D3B66"/>
        </w:rPr>
        <w:t>P: El resumen tarda mucho.</w:t>
      </w:r>
    </w:p>
    <w:p>
      <w:pPr>
        <w:spacing w:after="120"/>
      </w:pPr>
      <w:r>
        <w:rPr>
          <w:sz w:val="21"/>
        </w:rPr>
        <w:t>R: Es normal con modelos gratuitos. La aplicación espera hasta 90 segundos y reintenta una vez. Para mayor velocidad, usa Groq.</w:t>
      </w:r>
    </w:p>
    <w:p>
      <w:pPr>
        <w:pBdr>
          <w:bottom w:val="single" w:sz="6" w:space="4" w:color="12A79D"/>
        </w:pBdr>
      </w:pPr>
      <w:r>
        <w:rPr>
          <w:b/>
          <w:color w:val="178DC2"/>
          <w:sz w:val="34"/>
        </w:rPr>
        <w:t>9. Glosario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759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759"/>
          </w:tcPr>
          <w:p>
            <w:r>
              <w:t>API Key</w:t>
            </w:r>
          </w:p>
        </w:tc>
        <w:tc>
          <w:tcPr>
            <w:tcW w:type="dxa" w:w="4759"/>
          </w:tcPr>
          <w:p>
            <w:r>
              <w:t>Credencial que autoriza a la aplicación a usar un servicio de IA.</w:t>
            </w:r>
          </w:p>
        </w:tc>
      </w:tr>
      <w:tr>
        <w:tc>
          <w:tcPr>
            <w:tcW w:type="dxa" w:w="4759"/>
          </w:tcPr>
          <w:p>
            <w:r>
              <w:t>Prompt</w:t>
            </w:r>
          </w:p>
        </w:tc>
        <w:tc>
          <w:tcPr>
            <w:tcW w:type="dxa" w:w="4759"/>
          </w:tcPr>
          <w:p>
            <w:r>
              <w:t>Texto de instrucciones que se envía a la IA para que genere el resultado.</w:t>
            </w:r>
          </w:p>
        </w:tc>
      </w:tr>
      <w:tr>
        <w:tc>
          <w:tcPr>
            <w:tcW w:type="dxa" w:w="4759"/>
          </w:tcPr>
          <w:p>
            <w:r>
              <w:t>Modelo (LLM)</w:t>
            </w:r>
          </w:p>
        </w:tc>
        <w:tc>
          <w:tcPr>
            <w:tcW w:type="dxa" w:w="4759"/>
          </w:tcPr>
          <w:p>
            <w:r>
              <w:t>El motor de IA concreto que procesa el texto (p. ej. Llama, Gemini, GPT).</w:t>
            </w:r>
          </w:p>
        </w:tc>
      </w:tr>
      <w:tr>
        <w:tc>
          <w:tcPr>
            <w:tcW w:type="dxa" w:w="4759"/>
          </w:tcPr>
          <w:p>
            <w:r>
              <w:t>Síntesis</w:t>
            </w:r>
          </w:p>
        </w:tc>
        <w:tc>
          <w:tcPr>
            <w:tcW w:type="dxa" w:w="4759"/>
          </w:tcPr>
          <w:p>
            <w:r>
              <w:t>Resumen breve (~10 líneas) generado por la IA a partir del acta.</w:t>
            </w:r>
          </w:p>
        </w:tc>
      </w:tr>
      <w:tr>
        <w:tc>
          <w:tcPr>
            <w:tcW w:type="dxa" w:w="4759"/>
          </w:tcPr>
          <w:p>
            <w:r>
              <w:t>CORS</w:t>
            </w:r>
          </w:p>
        </w:tc>
        <w:tc>
          <w:tcPr>
            <w:tcW w:type="dxa" w:w="4759"/>
          </w:tcPr>
          <w:p>
            <w:r>
              <w:t>Mecanismo de seguridad del navegador que puede bloquear llamadas externas con file://.</w:t>
            </w:r>
          </w:p>
        </w:tc>
      </w:tr>
      <w:tr>
        <w:tc>
          <w:tcPr>
            <w:tcW w:type="dxa" w:w="4759"/>
          </w:tcPr>
          <w:p>
            <w:r>
              <w:t>Fallback (manual)</w:t>
            </w:r>
          </w:p>
        </w:tc>
        <w:tc>
          <w:tcPr>
            <w:tcW w:type="dxa" w:w="4759"/>
          </w:tcPr>
          <w:p>
            <w:r>
              <w:t>Flujo de respaldo: copiar el prompt, usar ChatGPT/Claude y pegar el resultado.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CODANOR · Jafa, S.L. — Plataforma de Seguimiento de Proyectos · Manual de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