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9689"/>
      </w:tblGrid>
      <w:tr>
        <w:tc>
          <w:tcPr>
            <w:tcW w:type="dxa" w:w="9689"/>
            <w:shd w:val="clear" w:color="auto" w:fill="1A1A2E"/>
          </w:tcPr>
          <w:p/>
          <w:p>
            <w:pPr>
              <w:spacing w:before="400" w:after="120"/>
              <w:jc w:val="center"/>
            </w:pPr>
            <w:r>
              <w:rPr>
                <w:rFonts w:ascii="Nunito Sans" w:hAnsi="Nunito Sans"/>
                <w:b w:val="0"/>
                <w:color w:val="FFFFFF"/>
                <w:sz w:val="20"/>
              </w:rPr>
            </w:r>
          </w:p>
          <w:p>
            <w:pPr>
              <w:spacing w:before="0" w:after="120"/>
              <w:jc w:val="center"/>
            </w:pPr>
            <w:r>
              <w:drawing>
                <wp:inline xmlns:a="http://schemas.openxmlformats.org/drawingml/2006/main" xmlns:pic="http://schemas.openxmlformats.org/drawingml/2006/picture">
                  <wp:extent cx="3219876" cy="648000"/>
                  <wp:docPr id="1" name="Picture 1"/>
                  <wp:cNvGraphicFramePr>
                    <a:graphicFrameLocks noChangeAspect="1"/>
                  </wp:cNvGraphicFramePr>
                  <a:graphic>
                    <a:graphicData uri="http://schemas.openxmlformats.org/drawingml/2006/picture">
                      <pic:pic>
                        <pic:nvPicPr>
                          <pic:cNvPr id="0" name="logo-codanor.png"/>
                          <pic:cNvPicPr/>
                        </pic:nvPicPr>
                        <pic:blipFill>
                          <a:blip r:embed="rId11"/>
                          <a:stretch>
                            <a:fillRect/>
                          </a:stretch>
                        </pic:blipFill>
                        <pic:spPr>
                          <a:xfrm>
                            <a:off x="0" y="0"/>
                            <a:ext cx="3219876" cy="648000"/>
                          </a:xfrm>
                          <a:prstGeom prst="rect"/>
                        </pic:spPr>
                      </pic:pic>
                    </a:graphicData>
                  </a:graphic>
                </wp:inline>
              </w:drawing>
            </w:r>
          </w:p>
          <w:p>
            <w:pPr>
              <w:spacing w:before="0" w:after="40"/>
              <w:jc w:val="center"/>
            </w:pPr>
            <w:r>
              <w:rPr>
                <w:rFonts w:ascii="Poppins" w:hAnsi="Poppins"/>
                <w:b/>
                <w:color w:val="178DC2"/>
                <w:sz w:val="64"/>
              </w:rPr>
              <w:t>CODANOR</w:t>
            </w:r>
          </w:p>
          <w:p>
            <w:pPr>
              <w:spacing w:before="0" w:after="400"/>
              <w:jc w:val="center"/>
            </w:pPr>
            <w:r>
              <w:rPr>
                <w:rFonts w:ascii="Nunito Sans" w:hAnsi="Nunito Sans"/>
                <w:b w:val="0"/>
                <w:color w:val="8888AA"/>
                <w:sz w:val="18"/>
              </w:rPr>
              <w:t>Jafa, S.L. — Barcelona, Catalunya</w:t>
            </w:r>
          </w:p>
          <w:p>
            <w:pPr>
              <w:spacing w:before="0" w:after="80"/>
              <w:jc w:val="center"/>
            </w:pPr>
            <w:r>
              <w:rPr>
                <w:rFonts w:ascii="Poppins" w:hAnsi="Poppins"/>
                <w:b/>
                <w:color w:val="12A79D"/>
                <w:sz w:val="20"/>
              </w:rPr>
              <w:t>INFORME DE INCIDENTE</w:t>
            </w:r>
          </w:p>
          <w:p>
            <w:pPr>
              <w:spacing w:before="0" w:after="160"/>
              <w:jc w:val="center"/>
            </w:pPr>
            <w:r>
              <w:rPr>
                <w:rFonts w:ascii="Poppins" w:hAnsi="Poppins"/>
                <w:b/>
                <w:color w:val="FFFFFF"/>
                <w:sz w:val="44"/>
              </w:rPr>
              <w:t>Sistema de Propagación entre Apps CODANOR</w:t>
            </w:r>
          </w:p>
          <w:p>
            <w:pPr>
              <w:spacing w:before="0" w:after="480"/>
              <w:jc w:val="center"/>
            </w:pPr>
            <w:r>
              <w:rPr>
                <w:rFonts w:ascii="Nunito Sans" w:hAnsi="Nunito Sans"/>
                <w:b w:val="0"/>
                <w:color w:val="CCCCDD"/>
                <w:sz w:val="24"/>
              </w:rPr>
              <w:t>Análisis, correcciones aplicadas y mejoras preventivas implementadas</w:t>
            </w:r>
          </w:p>
          <w:p>
            <w:pPr>
              <w:spacing w:before="0" w:after="60"/>
              <w:jc w:val="center"/>
            </w:pPr>
            <w:r>
              <w:rPr>
                <w:rFonts w:ascii="Nunito Sans" w:hAnsi="Nunito Sans"/>
                <w:color w:val="8888AA"/>
                <w:sz w:val="20"/>
              </w:rPr>
              <w:t xml:space="preserve">Versión: </w:t>
            </w:r>
            <w:r>
              <w:rPr>
                <w:rFonts w:ascii="Nunito Sans" w:hAnsi="Nunito Sans"/>
                <w:b/>
                <w:color w:val="FFFFFF"/>
                <w:sz w:val="20"/>
              </w:rPr>
              <w:t>v1.0</w:t>
            </w:r>
          </w:p>
          <w:p>
            <w:pPr>
              <w:spacing w:before="0" w:after="60"/>
              <w:jc w:val="center"/>
            </w:pPr>
            <w:r>
              <w:rPr>
                <w:rFonts w:ascii="Nunito Sans" w:hAnsi="Nunito Sans"/>
                <w:color w:val="8888AA"/>
                <w:sz w:val="20"/>
              </w:rPr>
              <w:t xml:space="preserve">Fecha: </w:t>
            </w:r>
            <w:r>
              <w:rPr>
                <w:rFonts w:ascii="Nunito Sans" w:hAnsi="Nunito Sans"/>
                <w:b/>
                <w:color w:val="FFFFFF"/>
                <w:sz w:val="20"/>
              </w:rPr>
              <w:t>01/10/2026</w:t>
            </w:r>
          </w:p>
          <w:p>
            <w:pPr>
              <w:spacing w:before="0" w:after="60"/>
              <w:jc w:val="center"/>
            </w:pPr>
            <w:r>
              <w:rPr>
                <w:rFonts w:ascii="Nunito Sans" w:hAnsi="Nunito Sans"/>
                <w:color w:val="8888AA"/>
                <w:sz w:val="20"/>
              </w:rPr>
              <w:t xml:space="preserve">Autor: </w:t>
            </w:r>
            <w:r>
              <w:rPr>
                <w:rFonts w:ascii="Nunito Sans" w:hAnsi="Nunito Sans"/>
                <w:b/>
                <w:color w:val="FFFFFF"/>
                <w:sz w:val="20"/>
              </w:rPr>
              <w:t>Jaime Fajeda — CODANOR</w:t>
            </w:r>
          </w:p>
          <w:p>
            <w:pPr>
              <w:spacing w:before="0" w:after="60"/>
              <w:jc w:val="center"/>
            </w:pPr>
            <w:r>
              <w:rPr>
                <w:rFonts w:ascii="Nunito Sans" w:hAnsi="Nunito Sans"/>
                <w:color w:val="8888AA"/>
                <w:sz w:val="20"/>
              </w:rPr>
              <w:t xml:space="preserve">Referencia: </w:t>
            </w:r>
            <w:r>
              <w:rPr>
                <w:rFonts w:ascii="Nunito Sans" w:hAnsi="Nunito Sans"/>
                <w:b/>
                <w:color w:val="FFFFFF"/>
                <w:sz w:val="20"/>
              </w:rPr>
              <w:t>INC-2026-001</w:t>
            </w:r>
          </w:p>
          <w:p>
            <w:pPr>
              <w:spacing w:before="320" w:after="40"/>
              <w:jc w:val="center"/>
            </w:pPr>
            <w:r>
              <w:rPr>
                <w:rFonts w:ascii="Nunito Sans" w:hAnsi="Nunito Sans"/>
                <w:b w:val="0"/>
                <w:color w:val="FFFFFF"/>
                <w:sz w:val="16"/>
              </w:rPr>
            </w:r>
          </w:p>
          <w:p>
            <w:pPr>
              <w:spacing w:before="0" w:after="400"/>
              <w:jc w:val="center"/>
            </w:pPr>
            <w:r>
              <w:rPr>
                <w:rFonts w:ascii="Nunito Sans" w:hAnsi="Nunito Sans"/>
                <w:b w:val="0"/>
                <w:color w:val="8888AA"/>
                <w:sz w:val="18"/>
              </w:rPr>
              <w:t>Documento interno — Uso exclusivo CODANOR</w:t>
            </w:r>
          </w:p>
        </w:tc>
      </w:tr>
    </w:tbl>
    <w:p>
      <w:r>
        <w:br w:type="page"/>
      </w:r>
    </w:p>
    <w:p>
      <w:pPr>
        <w:spacing w:before="200" w:after="120"/>
      </w:pPr>
      <w:r>
        <w:rPr>
          <w:rFonts w:ascii="Poppins" w:hAnsi="Poppins"/>
          <w:b/>
          <w:color w:val="1275A3"/>
          <w:sz w:val="26"/>
        </w:rPr>
        <w:t>— Control de versiones</w:t>
      </w:r>
    </w:p>
    <w:tbl>
      <w:tblPr>
        <w:tblStyle w:val="TableGrid"/>
        <w:tblW w:type="auto" w:w="0"/>
        <w:tblLook w:firstColumn="1" w:firstRow="1" w:lastColumn="0" w:lastRow="0" w:noHBand="0" w:noVBand="1" w:val="04A0"/>
      </w:tblPr>
      <w:tblGrid>
        <w:gridCol w:w="2422"/>
        <w:gridCol w:w="2422"/>
        <w:gridCol w:w="2422"/>
        <w:gridCol w:w="2422"/>
      </w:tblGrid>
      <w:tr>
        <w:tc>
          <w:tcPr>
            <w:tcW w:type="dxa" w:w="1134"/>
            <w:shd w:val="clear" w:color="auto" w:fill="1275A3"/>
          </w:tcPr>
          <w:p>
            <w:r/>
            <w:r>
              <w:rPr>
                <w:rFonts w:ascii="Poppins" w:hAnsi="Poppins"/>
                <w:b/>
                <w:color w:val="FFFFFF"/>
                <w:sz w:val="18"/>
              </w:rPr>
              <w:t>Versión</w:t>
            </w:r>
          </w:p>
        </w:tc>
        <w:tc>
          <w:tcPr>
            <w:tcW w:type="dxa" w:w="1417"/>
            <w:shd w:val="clear" w:color="auto" w:fill="1275A3"/>
          </w:tcPr>
          <w:p>
            <w:r/>
            <w:r>
              <w:rPr>
                <w:rFonts w:ascii="Poppins" w:hAnsi="Poppins"/>
                <w:b/>
                <w:color w:val="FFFFFF"/>
                <w:sz w:val="18"/>
              </w:rPr>
              <w:t>Fecha</w:t>
            </w:r>
          </w:p>
        </w:tc>
        <w:tc>
          <w:tcPr>
            <w:tcW w:type="dxa" w:w="2268"/>
            <w:shd w:val="clear" w:color="auto" w:fill="1275A3"/>
          </w:tcPr>
          <w:p>
            <w:r/>
            <w:r>
              <w:rPr>
                <w:rFonts w:ascii="Poppins" w:hAnsi="Poppins"/>
                <w:b/>
                <w:color w:val="FFFFFF"/>
                <w:sz w:val="18"/>
              </w:rPr>
              <w:t>Autor</w:t>
            </w:r>
          </w:p>
        </w:tc>
        <w:tc>
          <w:tcPr>
            <w:tcW w:type="dxa" w:w="4819"/>
            <w:shd w:val="clear" w:color="auto" w:fill="1275A3"/>
          </w:tcPr>
          <w:p>
            <w:r/>
            <w:r>
              <w:rPr>
                <w:rFonts w:ascii="Poppins" w:hAnsi="Poppins"/>
                <w:b/>
                <w:color w:val="FFFFFF"/>
                <w:sz w:val="18"/>
              </w:rPr>
              <w:t>Descripción</w:t>
            </w:r>
          </w:p>
        </w:tc>
      </w:tr>
      <w:tr>
        <w:tc>
          <w:tcPr>
            <w:tcW w:type="dxa" w:w="2422"/>
            <w:shd w:val="clear" w:color="auto" w:fill="FFFFFF"/>
          </w:tcPr>
          <w:p>
            <w:r/>
            <w:r>
              <w:rPr>
                <w:rFonts w:ascii="JetBrains Mono" w:hAnsi="JetBrains Mono"/>
                <w:b w:val="0"/>
                <w:color w:val="1275A3"/>
                <w:sz w:val="18"/>
              </w:rPr>
              <w:t>v1.0</w:t>
            </w:r>
          </w:p>
        </w:tc>
        <w:tc>
          <w:tcPr>
            <w:tcW w:type="dxa" w:w="2422"/>
            <w:shd w:val="clear" w:color="auto" w:fill="FFFFFF"/>
          </w:tcPr>
          <w:p>
            <w:r/>
            <w:r>
              <w:rPr>
                <w:rFonts w:ascii="Nunito Sans" w:hAnsi="Nunito Sans"/>
                <w:b w:val="0"/>
                <w:color w:val="4A4A5A"/>
                <w:sz w:val="19"/>
              </w:rPr>
              <w:t>01/10/2026</w:t>
            </w:r>
          </w:p>
        </w:tc>
        <w:tc>
          <w:tcPr>
            <w:tcW w:type="dxa" w:w="2422"/>
            <w:shd w:val="clear" w:color="auto" w:fill="FFFFFF"/>
          </w:tcPr>
          <w:p>
            <w:r/>
            <w:r>
              <w:rPr>
                <w:rFonts w:ascii="Nunito Sans" w:hAnsi="Nunito Sans"/>
                <w:b w:val="0"/>
                <w:color w:val="4A4A5A"/>
                <w:sz w:val="19"/>
              </w:rPr>
              <w:t>Jaime Fajeda</w:t>
            </w:r>
          </w:p>
        </w:tc>
        <w:tc>
          <w:tcPr>
            <w:tcW w:type="dxa" w:w="2422"/>
            <w:shd w:val="clear" w:color="auto" w:fill="FFFFFF"/>
          </w:tcPr>
          <w:p>
            <w:r/>
            <w:r>
              <w:rPr>
                <w:rFonts w:ascii="Nunito Sans" w:hAnsi="Nunito Sans"/>
                <w:b w:val="0"/>
                <w:color w:val="4A4A5A"/>
                <w:sz w:val="19"/>
              </w:rPr>
              <w:t>Versión inicial — documentación completa del incidente INC-2026-001</w:t>
            </w:r>
          </w:p>
        </w:tc>
      </w:tr>
    </w:tbl>
    <w:p/>
    <w:p>
      <w:r>
        <w:br w:type="page"/>
      </w:r>
    </w:p>
    <w:p>
      <w:pPr>
        <w:spacing w:before="200" w:after="120"/>
      </w:pPr>
      <w:r>
        <w:rPr>
          <w:rFonts w:ascii="Poppins" w:hAnsi="Poppins"/>
          <w:b/>
          <w:color w:val="1275A3"/>
          <w:sz w:val="26"/>
        </w:rPr>
        <w:t>Índice de contenidos</w:t>
      </w:r>
    </w:p>
    <w:p>
      <w:r>
        <w:fldChar w:fldCharType="begin"/>
        <w:instrText xml:space="preserve">TOC \o "1-2" \h \z \u</w:instrText>
        <w:fldChar w:fldCharType="end"/>
      </w:r>
    </w:p>
    <w:p>
      <w:r>
        <w:rPr>
          <w:rFonts w:ascii="Nunito Sans" w:hAnsi="Nunito Sans"/>
          <w:i/>
          <w:color w:val="6B6B7B"/>
          <w:sz w:val="18"/>
        </w:rPr>
        <w:t>(Actualizar índice con Ctrl+A → F9 en Microsoft Word)</w:t>
      </w:r>
    </w:p>
    <w:p>
      <w:r>
        <w:br w:type="page"/>
      </w:r>
    </w:p>
    <w:p>
      <w:pPr>
        <w:spacing w:before="320" w:after="120"/>
        <w:pBdr>
          <w:bottom w:val="single" w:sz="8" w:color="1275A3"/>
        </w:pBdr>
      </w:pPr>
      <w:r>
        <w:rPr>
          <w:rFonts w:ascii="Poppins" w:hAnsi="Poppins"/>
          <w:b/>
          <w:color w:val="1A1A2E"/>
          <w:sz w:val="32"/>
        </w:rPr>
        <w:t>1. Introducción y objeto</w:t>
      </w:r>
    </w:p>
    <w:p>
      <w:pPr>
        <w:spacing w:before="40" w:after="120"/>
      </w:pPr>
      <w:r>
        <w:rPr>
          <w:rFonts w:ascii="Nunito Sans" w:hAnsi="Nunito Sans"/>
          <w:color w:val="4A4A5A"/>
          <w:sz w:val="21"/>
        </w:rPr>
        <w:t>El ecosistema CODANOR consta de 9 aplicaciones ISO/ENS de gestión de sistemas de seguridad y calidad, todas servidas por un servidor Flask centralizado en localhost:5001 con base de datos SQLite (plataforma.db). Las 9 aplicaciones son: ISO27001-SGSI, ENS-RD311-2022, RGPD-LOPD-GDD, ISO27701-SGP, ISO42001-SGIA, ISO9001-SGQ_2015, ISO14001-SGMA_2015, ISO14001-SGMA_2026_NEW y TISAX.</w:t>
      </w:r>
    </w:p>
    <w:p>
      <w:pPr>
        <w:spacing w:before="40" w:after="120"/>
      </w:pPr>
      <w:r>
        <w:rPr>
          <w:rFonts w:ascii="Nunito Sans" w:hAnsi="Nunito Sans"/>
          <w:color w:val="4A4A5A"/>
          <w:sz w:val="21"/>
        </w:rPr>
        <w:t>El workspace principal de OpenCode es PLATAFORMA_OpenCode-NEW, desde donde se realizan todas las operaciones de mantenimiento sobre las 9 apps. Las operaciones de propagación de código — copiar fixes entre apps — son una tarea habitual del mantenimiento del ecosistema y se realizan mediante comandos sed, cp o scripts Python.</w:t>
      </w:r>
    </w:p>
    <w:p>
      <w:pPr>
        <w:spacing w:before="40" w:after="120"/>
      </w:pPr>
      <w:r>
        <w:rPr>
          <w:rFonts w:ascii="Nunito Sans" w:hAnsi="Nunito Sans"/>
          <w:color w:val="4A4A5A"/>
          <w:sz w:val="21"/>
        </w:rPr>
        <w:t>Este informe documenta el incidente INC-2026-001 ocurrido el 01/10/2026 durante la corrección de vulnerabilidades innerHTML inseguros (operación MP-1), en el que se produjo una pérdida accidental de más de 608 líneas de código exclusivo de la aplicación ENS-RD311-2022. El documento cubre las causas identificadas, las correcciones aplicadas y las mejoras preventivas implementadas para evitar que se repita.</w:t>
      </w:r>
    </w:p>
    <w:tbl>
      <w:tblPr>
        <w:tblStyle w:val="TableGrid"/>
        <w:tblW w:type="auto" w:w="0"/>
        <w:tblLook w:firstColumn="1" w:firstRow="1" w:lastColumn="0" w:lastRow="0" w:noHBand="0" w:noVBand="1" w:val="04A0"/>
      </w:tblPr>
      <w:tblGrid>
        <w:gridCol w:w="9689"/>
      </w:tblGrid>
      <w:tr>
        <w:tc>
          <w:tcPr>
            <w:tcW w:type="dxa" w:w="9689"/>
            <w:shd w:val="clear" w:color="auto" w:fill="E8F4FA"/>
            <w:tcBorders>
              <w:left w:val="single" w:sz="48" w:color="1275A3"/>
              <w:top w:val="none"/>
              <w:right w:val="none"/>
              <w:bottom w:val="none"/>
              <w:insideH w:val="none"/>
              <w:insideV w:val="none"/>
            </w:tcBorders>
          </w:tcPr>
          <w:p>
            <w:r>
              <w:rPr>
                <w:rFonts w:ascii="Nunito Sans" w:hAnsi="Nunito Sans"/>
                <w:b/>
                <w:color w:val="1275A3"/>
                <w:sz w:val="20"/>
              </w:rPr>
              <w:t xml:space="preserve">Referencia: INC-2026-001  |  Clasificación: Pérdida de código en producción  |  Severidad: Alta — funcionalidad ENS completamente inoperativa  |  Estado final: Resuelto </w:t>
            </w:r>
            <w:r>
              <w:rPr>
                <w:rFonts w:ascii="Nunito Sans" w:hAnsi="Nunito Sans"/>
                <w:color w:val="4A4A5A"/>
                <w:sz w:val="20"/>
              </w:rPr>
            </w:r>
          </w:p>
        </w:tc>
      </w:tr>
    </w:tbl>
    <w:p/>
    <w:p>
      <w:r>
        <w:br w:type="page"/>
      </w:r>
    </w:p>
    <w:p>
      <w:pPr>
        <w:spacing w:before="320" w:after="120"/>
        <w:pBdr>
          <w:bottom w:val="single" w:sz="8" w:color="1275A3"/>
        </w:pBdr>
      </w:pPr>
      <w:r>
        <w:rPr>
          <w:rFonts w:ascii="Poppins" w:hAnsi="Poppins"/>
          <w:b/>
          <w:color w:val="1A1A2E"/>
          <w:sz w:val="32"/>
        </w:rPr>
        <w:t>2. Alcance</w:t>
      </w:r>
    </w:p>
    <w:p>
      <w:pPr>
        <w:spacing w:before="200" w:after="120"/>
      </w:pPr>
      <w:r>
        <w:rPr>
          <w:rFonts w:ascii="Poppins" w:hAnsi="Poppins"/>
          <w:b/>
          <w:color w:val="1275A3"/>
          <w:sz w:val="26"/>
        </w:rPr>
        <w:t>2.1 Incluido en el alcance</w:t>
      </w:r>
    </w:p>
    <w:p>
      <w:pPr>
        <w:pStyle w:val="ListBullet"/>
        <w:spacing w:after="60"/>
        <w:ind w:left="283"/>
      </w:pPr>
      <w:r>
        <w:rPr>
          <w:rFonts w:ascii="Nunito Sans" w:hAnsi="Nunito Sans"/>
          <w:color w:val="4A4A5A"/>
          <w:sz w:val="20"/>
        </w:rPr>
        <w:t>Propagación de archivos JavaScript entre las 9 apps ISO/ENS del ecosistema Plataforma_Seguimiento_Proyectos</w:t>
      </w:r>
    </w:p>
    <w:p>
      <w:pPr>
        <w:pStyle w:val="ListBullet"/>
        <w:spacing w:after="60"/>
        <w:ind w:left="283"/>
      </w:pPr>
      <w:r>
        <w:rPr>
          <w:rFonts w:ascii="Nunito Sans" w:hAnsi="Nunito Sans"/>
          <w:color w:val="4A4A5A"/>
          <w:sz w:val="20"/>
        </w:rPr>
        <w:t>Arquitectura de instrucciones OpenCode (AGENTS.md principal + específicos de cada app)</w:t>
      </w:r>
    </w:p>
    <w:p>
      <w:pPr>
        <w:pStyle w:val="ListBullet"/>
        <w:spacing w:after="60"/>
        <w:ind w:left="283"/>
      </w:pPr>
      <w:r>
        <w:rPr>
          <w:rFonts w:ascii="Nunito Sans" w:hAnsi="Nunito Sans"/>
          <w:color w:val="4A4A5A"/>
          <w:sz w:val="20"/>
        </w:rPr>
        <w:t>Workflow de correcciones masivas tipo MP (mantenimiento de plataforma)</w:t>
      </w:r>
    </w:p>
    <w:p>
      <w:pPr>
        <w:pStyle w:val="ListBullet"/>
        <w:spacing w:after="60"/>
        <w:ind w:left="283"/>
      </w:pPr>
      <w:r>
        <w:rPr>
          <w:rFonts w:ascii="Nunito Sans" w:hAnsi="Nunito Sans"/>
          <w:color w:val="4A4A5A"/>
          <w:sz w:val="20"/>
        </w:rPr>
        <w:t>Gestión del archivo PROPAGATION_RULES.md como fuente de verdad operativa</w:t>
      </w:r>
    </w:p>
    <w:p>
      <w:pPr>
        <w:pStyle w:val="ListBullet"/>
        <w:spacing w:after="60"/>
        <w:ind w:left="283"/>
      </w:pPr>
      <w:r>
        <w:rPr>
          <w:rFonts w:ascii="Nunito Sans" w:hAnsi="Nunito Sans"/>
          <w:color w:val="4A4A5A"/>
          <w:sz w:val="20"/>
        </w:rPr>
        <w:t>Archivos afectados: phase2-consulting.js, phase2-implementation.js, phase2-isms.js, tiquets.js, mapa-procesos.js, phase3-audit.js</w:t>
      </w:r>
    </w:p>
    <w:p>
      <w:pPr>
        <w:spacing w:before="200" w:after="120"/>
      </w:pPr>
      <w:r>
        <w:rPr>
          <w:rFonts w:ascii="Poppins" w:hAnsi="Poppins"/>
          <w:b/>
          <w:color w:val="1275A3"/>
          <w:sz w:val="26"/>
        </w:rPr>
        <w:t>2.2 Excluido del alcance</w:t>
      </w:r>
    </w:p>
    <w:p>
      <w:pPr>
        <w:pStyle w:val="ListBullet"/>
        <w:spacing w:after="60"/>
        <w:ind w:left="283"/>
      </w:pPr>
      <w:r>
        <w:rPr>
          <w:rFonts w:ascii="Nunito Sans" w:hAnsi="Nunito Sans"/>
          <w:color w:val="4A4A5A"/>
          <w:sz w:val="20"/>
        </w:rPr>
        <w:t>Proyectos independientes de CODANOR (OSSINT, legislacion_monitor-NEW, Planificacion_Diaria, etc.) — cada uno tiene su propio workspace y no comparte código con las 9 apps ISO/ENS</w:t>
      </w:r>
    </w:p>
    <w:p>
      <w:pPr>
        <w:pStyle w:val="ListBullet"/>
        <w:spacing w:after="60"/>
        <w:ind w:left="283"/>
      </w:pPr>
      <w:r>
        <w:rPr>
          <w:rFonts w:ascii="Nunito Sans" w:hAnsi="Nunito Sans"/>
          <w:color w:val="4A4A5A"/>
          <w:sz w:val="20"/>
        </w:rPr>
        <w:t>Servidor Flask server.py y base de datos plataforma.db — no participan en el mecanismo de propagación</w:t>
      </w:r>
    </w:p>
    <w:p>
      <w:pPr>
        <w:pStyle w:val="ListBullet"/>
        <w:spacing w:after="60"/>
        <w:ind w:left="283"/>
      </w:pPr>
      <w:r>
        <w:rPr>
          <w:rFonts w:ascii="Nunito Sans" w:hAnsi="Nunito Sans"/>
          <w:color w:val="4A4A5A"/>
          <w:sz w:val="20"/>
        </w:rPr>
        <w:t>Archivos de datos estáticos (ens-808-checklist.js, iso9001-clauses-detailed.js, etc.) — se editan directamente en cada app sin propagación</w:t>
      </w:r>
    </w:p>
    <w:p>
      <w:pPr>
        <w:pStyle w:val="ListBullet"/>
        <w:spacing w:after="60"/>
        <w:ind w:left="283"/>
      </w:pPr>
      <w:r>
        <w:rPr>
          <w:rFonts w:ascii="Nunito Sans" w:hAnsi="Nunito Sans"/>
          <w:color w:val="4A4A5A"/>
          <w:sz w:val="20"/>
        </w:rPr>
        <w:t>Módulos completamente independientes: wiki.js, store.js, app.js — tienen su propio ciclo de mantenimiento</w:t>
      </w:r>
    </w:p>
    <w:p/>
    <w:p>
      <w:pPr>
        <w:spacing w:before="320" w:after="120"/>
        <w:pBdr>
          <w:bottom w:val="single" w:sz="8" w:color="1275A3"/>
        </w:pBdr>
      </w:pPr>
      <w:r>
        <w:rPr>
          <w:rFonts w:ascii="Poppins" w:hAnsi="Poppins"/>
          <w:b/>
          <w:color w:val="1A1A2E"/>
          <w:sz w:val="32"/>
        </w:rPr>
        <w:t>3. Descripción del incidente</w:t>
      </w:r>
    </w:p>
    <w:p>
      <w:pPr>
        <w:spacing w:before="200" w:after="120"/>
      </w:pPr>
      <w:r>
        <w:rPr>
          <w:rFonts w:ascii="Poppins" w:hAnsi="Poppins"/>
          <w:b/>
          <w:color w:val="1275A3"/>
          <w:sz w:val="26"/>
        </w:rPr>
        <w:t>3.1 Incidente principal — pérdida de código ENS</w:t>
      </w:r>
    </w:p>
    <w:tbl>
      <w:tblPr>
        <w:tblStyle w:val="TableGrid"/>
        <w:tblW w:type="auto" w:w="0"/>
        <w:tblLook w:firstColumn="1" w:firstRow="1" w:lastColumn="0" w:lastRow="0" w:noHBand="0" w:noVBand="1" w:val="04A0"/>
      </w:tblPr>
      <w:tblGrid>
        <w:gridCol w:w="4844"/>
        <w:gridCol w:w="4844"/>
      </w:tblGrid>
      <w:tr>
        <w:tc>
          <w:tcPr>
            <w:tcW w:type="dxa" w:w="2551"/>
            <w:shd w:val="clear" w:color="auto" w:fill="1275A3"/>
          </w:tcPr>
          <w:p>
            <w:r/>
            <w:r>
              <w:rPr>
                <w:rFonts w:ascii="Poppins" w:hAnsi="Poppins"/>
                <w:b/>
                <w:color w:val="FFFFFF"/>
                <w:sz w:val="18"/>
              </w:rPr>
              <w:t>Campo</w:t>
            </w:r>
          </w:p>
        </w:tc>
        <w:tc>
          <w:tcPr>
            <w:tcW w:type="dxa" w:w="7087"/>
            <w:shd w:val="clear" w:color="auto" w:fill="1275A3"/>
          </w:tcPr>
          <w:p>
            <w:r/>
            <w:r>
              <w:rPr>
                <w:rFonts w:ascii="Poppins" w:hAnsi="Poppins"/>
                <w:b/>
                <w:color w:val="FFFFFF"/>
                <w:sz w:val="18"/>
              </w:rPr>
              <w:t>Valor</w:t>
            </w:r>
          </w:p>
        </w:tc>
      </w:tr>
      <w:tr>
        <w:tc>
          <w:tcPr>
            <w:tcW w:type="dxa" w:w="4844"/>
            <w:shd w:val="clear" w:color="auto" w:fill="FFFFFF"/>
          </w:tcPr>
          <w:p>
            <w:r/>
            <w:r>
              <w:rPr>
                <w:rFonts w:ascii="Nunito Sans" w:hAnsi="Nunito Sans"/>
                <w:b/>
                <w:color w:val="4A4A5A"/>
                <w:sz w:val="19"/>
              </w:rPr>
              <w:t>Fecha y hora</w:t>
            </w:r>
          </w:p>
        </w:tc>
        <w:tc>
          <w:tcPr>
            <w:tcW w:type="dxa" w:w="4844"/>
            <w:shd w:val="clear" w:color="auto" w:fill="FFFFFF"/>
          </w:tcPr>
          <w:p>
            <w:r/>
            <w:r>
              <w:rPr>
                <w:rFonts w:ascii="Nunito Sans" w:hAnsi="Nunito Sans"/>
                <w:b w:val="0"/>
                <w:color w:val="4A4A5A"/>
                <w:sz w:val="19"/>
              </w:rPr>
              <w:t>01/10/2026, ~10:30h</w:t>
            </w:r>
          </w:p>
        </w:tc>
      </w:tr>
      <w:tr>
        <w:tc>
          <w:tcPr>
            <w:tcW w:type="dxa" w:w="4844"/>
            <w:shd w:val="clear" w:color="auto" w:fill="F0F0F5"/>
          </w:tcPr>
          <w:p>
            <w:r/>
            <w:r>
              <w:rPr>
                <w:rFonts w:ascii="Nunito Sans" w:hAnsi="Nunito Sans"/>
                <w:b/>
                <w:color w:val="4A4A5A"/>
                <w:sz w:val="19"/>
              </w:rPr>
              <w:t>Operación en curso</w:t>
            </w:r>
          </w:p>
        </w:tc>
        <w:tc>
          <w:tcPr>
            <w:tcW w:type="dxa" w:w="4844"/>
            <w:shd w:val="clear" w:color="auto" w:fill="F0F0F5"/>
          </w:tcPr>
          <w:p>
            <w:r/>
            <w:r>
              <w:rPr>
                <w:rFonts w:ascii="Nunito Sans" w:hAnsi="Nunito Sans"/>
                <w:b w:val="0"/>
                <w:color w:val="4A4A5A"/>
                <w:sz w:val="19"/>
              </w:rPr>
              <w:t>Fix MP-1 — corrección de 5 vulnerabilidades innerHTML inseguros en los módulos JS de las 9 apps</w:t>
            </w:r>
          </w:p>
        </w:tc>
      </w:tr>
      <w:tr>
        <w:tc>
          <w:tcPr>
            <w:tcW w:type="dxa" w:w="4844"/>
            <w:shd w:val="clear" w:color="auto" w:fill="FFFFFF"/>
          </w:tcPr>
          <w:p>
            <w:r/>
            <w:r>
              <w:rPr>
                <w:rFonts w:ascii="Nunito Sans" w:hAnsi="Nunito Sans"/>
                <w:b/>
                <w:color w:val="4A4A5A"/>
                <w:sz w:val="19"/>
              </w:rPr>
              <w:t>Commit causante</w:t>
            </w:r>
          </w:p>
        </w:tc>
        <w:tc>
          <w:tcPr>
            <w:tcW w:type="dxa" w:w="4844"/>
            <w:shd w:val="clear" w:color="auto" w:fill="FFFFFF"/>
          </w:tcPr>
          <w:p>
            <w:r/>
            <w:r>
              <w:rPr>
                <w:rFonts w:ascii="Nunito Sans" w:hAnsi="Nunito Sans"/>
                <w:b w:val="0"/>
                <w:color w:val="4A4A5A"/>
                <w:sz w:val="19"/>
              </w:rPr>
              <w:t>22379b8 — "fix: corregir innerHTML inseguros — escapar d.version, nombres modelos Ollama, result.message × 9 apps (MP-1)"</w:t>
            </w:r>
          </w:p>
        </w:tc>
      </w:tr>
      <w:tr>
        <w:tc>
          <w:tcPr>
            <w:tcW w:type="dxa" w:w="4844"/>
            <w:shd w:val="clear" w:color="auto" w:fill="F0F0F5"/>
          </w:tcPr>
          <w:p>
            <w:r/>
            <w:r>
              <w:rPr>
                <w:rFonts w:ascii="Nunito Sans" w:hAnsi="Nunito Sans"/>
                <w:b/>
                <w:color w:val="4A4A5A"/>
                <w:sz w:val="19"/>
              </w:rPr>
              <w:t>Archivo destruido</w:t>
            </w:r>
          </w:p>
        </w:tc>
        <w:tc>
          <w:tcPr>
            <w:tcW w:type="dxa" w:w="4844"/>
            <w:shd w:val="clear" w:color="auto" w:fill="F0F0F5"/>
          </w:tcPr>
          <w:p>
            <w:r/>
            <w:r>
              <w:rPr>
                <w:rFonts w:ascii="Nunito Sans" w:hAnsi="Nunito Sans"/>
                <w:b w:val="0"/>
                <w:color w:val="4A4A5A"/>
                <w:sz w:val="19"/>
              </w:rPr>
              <w:t>ENS-RD311-2022/js/modules/phase2-consulting.js</w:t>
            </w:r>
          </w:p>
        </w:tc>
      </w:tr>
      <w:tr>
        <w:tc>
          <w:tcPr>
            <w:tcW w:type="dxa" w:w="4844"/>
            <w:shd w:val="clear" w:color="auto" w:fill="FFFFFF"/>
          </w:tcPr>
          <w:p>
            <w:r/>
            <w:r>
              <w:rPr>
                <w:rFonts w:ascii="Nunito Sans" w:hAnsi="Nunito Sans"/>
                <w:b/>
                <w:color w:val="4A4A5A"/>
                <w:sz w:val="19"/>
              </w:rPr>
              <w:t>Código perdido</w:t>
            </w:r>
          </w:p>
        </w:tc>
        <w:tc>
          <w:tcPr>
            <w:tcW w:type="dxa" w:w="4844"/>
            <w:shd w:val="clear" w:color="auto" w:fill="FFFFFF"/>
          </w:tcPr>
          <w:p>
            <w:r/>
            <w:r>
              <w:rPr>
                <w:rFonts w:ascii="Nunito Sans" w:hAnsi="Nunito Sans"/>
                <w:b w:val="0"/>
                <w:color w:val="4A4A5A"/>
                <w:sz w:val="19"/>
              </w:rPr>
              <w:t>+608 líneas exclusivas de ENS</w:t>
            </w:r>
          </w:p>
        </w:tc>
      </w:tr>
      <w:tr>
        <w:tc>
          <w:tcPr>
            <w:tcW w:type="dxa" w:w="4844"/>
            <w:shd w:val="clear" w:color="auto" w:fill="F0F0F5"/>
          </w:tcPr>
          <w:p>
            <w:r/>
            <w:r>
              <w:rPr>
                <w:rFonts w:ascii="Nunito Sans" w:hAnsi="Nunito Sans"/>
                <w:b/>
                <w:color w:val="4A4A5A"/>
                <w:sz w:val="19"/>
              </w:rPr>
              <w:t>Descubrimiento</w:t>
            </w:r>
          </w:p>
        </w:tc>
        <w:tc>
          <w:tcPr>
            <w:tcW w:type="dxa" w:w="4844"/>
            <w:shd w:val="clear" w:color="auto" w:fill="F0F0F5"/>
          </w:tcPr>
          <w:p>
            <w:r/>
            <w:r>
              <w:rPr>
                <w:rFonts w:ascii="Nunito Sans" w:hAnsi="Nunito Sans"/>
                <w:b w:val="0"/>
                <w:color w:val="4A4A5A"/>
                <w:sz w:val="19"/>
              </w:rPr>
              <w:t>Verificación manual en browser por el usuario</w:t>
            </w:r>
          </w:p>
        </w:tc>
      </w:tr>
    </w:tbl>
    <w:p/>
    <w:tbl>
      <w:tblPr>
        <w:tblStyle w:val="TableGrid"/>
        <w:tblW w:type="auto" w:w="0"/>
        <w:tblLook w:firstColumn="1" w:firstRow="1" w:lastColumn="0" w:lastRow="0" w:noHBand="0" w:noVBand="1" w:val="04A0"/>
      </w:tblPr>
      <w:tblGrid>
        <w:gridCol w:w="9689"/>
      </w:tblGrid>
      <w:tr>
        <w:tc>
          <w:tcPr>
            <w:tcW w:type="dxa" w:w="9689"/>
            <w:shd w:val="clear" w:color="auto" w:fill="FDF2F2"/>
            <w:tcBorders>
              <w:left w:val="single" w:sz="48" w:color="C0392B"/>
              <w:top w:val="none"/>
              <w:right w:val="none"/>
              <w:bottom w:val="none"/>
              <w:insideH w:val="none"/>
              <w:insideV w:val="none"/>
            </w:tcBorders>
          </w:tcPr>
          <w:p>
            <w:r>
              <w:rPr>
                <w:rFonts w:ascii="Nunito Sans" w:hAnsi="Nunito Sans"/>
                <w:b/>
                <w:color w:val="C0392B"/>
                <w:sz w:val="20"/>
              </w:rPr>
              <w:t>🚫 Funciones desaparecidas tras el commit 22379b8:</w:t>
              <w:br/>
              <w:t xml:space="preserve">  • _seg808Data(kind, itemId) — datos de Seguimiento CCN-STIC 808</w:t>
              <w:br/>
              <w:t xml:space="preserve">  • _evid808Data(kind, itemId) — datos de Evidencias CCN-STIC 808</w:t>
              <w:br/>
              <w:t xml:space="preserve">  • renderEvolucion() — pestaña Evolució con gráfico Chart.js</w:t>
              <w:br/>
              <w:t xml:space="preserve">  • takeSnapshot() — snapshot periódico de progreso ENS</w:t>
              <w:br/>
              <w:t xml:space="preserve">  • desglosarLineaCSV(kind, itemId, index) — gestión documental F2</w:t>
              <w:br/>
              <w:t xml:space="preserve">  • _visibleDocs(arr) — índices documentos propuestos </w:t>
            </w:r>
            <w:r>
              <w:rPr>
                <w:rFonts w:ascii="Nunito Sans" w:hAnsi="Nunito Sans"/>
                <w:color w:val="4A4A5A"/>
                <w:sz w:val="20"/>
              </w:rPr>
            </w:r>
          </w:p>
        </w:tc>
      </w:tr>
    </w:tbl>
    <w:p/>
    <w:p>
      <w:pPr>
        <w:spacing w:before="200" w:after="120"/>
      </w:pPr>
      <w:r>
        <w:rPr>
          <w:rFonts w:ascii="Poppins" w:hAnsi="Poppins"/>
          <w:b/>
          <w:color w:val="1275A3"/>
          <w:sz w:val="26"/>
        </w:rPr>
        <w:t>3.2 Incidentes relacionados activados por el mismo commit</w:t>
      </w:r>
    </w:p>
    <w:tbl>
      <w:tblPr>
        <w:tblStyle w:val="TableGrid"/>
        <w:tblW w:type="auto" w:w="0"/>
        <w:tblLook w:firstColumn="1" w:firstRow="1" w:lastColumn="0" w:lastRow="0" w:noHBand="0" w:noVBand="1" w:val="04A0"/>
      </w:tblPr>
      <w:tblGrid>
        <w:gridCol w:w="9689"/>
      </w:tblGrid>
      <w:tr>
        <w:tc>
          <w:tcPr>
            <w:tcW w:type="dxa" w:w="9689"/>
            <w:shd w:val="clear" w:color="auto" w:fill="FEF9E7"/>
            <w:tcBorders>
              <w:left w:val="single" w:sz="48" w:color="B7770D"/>
              <w:top w:val="none"/>
              <w:right w:val="none"/>
              <w:bottom w:val="none"/>
              <w:insideH w:val="none"/>
              <w:insideV w:val="none"/>
            </w:tcBorders>
          </w:tcPr>
          <w:p>
            <w:r>
              <w:rPr>
                <w:rFonts w:ascii="Nunito Sans" w:hAnsi="Nunito Sans"/>
                <w:b/>
                <w:color w:val="B7770D"/>
                <w:sz w:val="20"/>
              </w:rPr>
              <w:t xml:space="preserve">⚠️ Incidente A — ISO9001/ISO14001: renderNormaTab() usaba ISO27001_CLAUSES_DETAIL en lugar de las variables propias de cada app. Resultado: pestaña "Punts de Norma" con 0 controles. </w:t>
            </w:r>
            <w:r>
              <w:rPr>
                <w:rFonts w:ascii="Nunito Sans" w:hAnsi="Nunito Sans"/>
                <w:color w:val="4A4A5A"/>
                <w:sz w:val="20"/>
              </w:rPr>
            </w:r>
          </w:p>
        </w:tc>
      </w:tr>
    </w:tbl>
    <w:p/>
    <w:tbl>
      <w:tblPr>
        <w:tblStyle w:val="TableGrid"/>
        <w:tblW w:type="auto" w:w="0"/>
        <w:tblLook w:firstColumn="1" w:firstRow="1" w:lastColumn="0" w:lastRow="0" w:noHBand="0" w:noVBand="1" w:val="04A0"/>
      </w:tblPr>
      <w:tblGrid>
        <w:gridCol w:w="9689"/>
      </w:tblGrid>
      <w:tr>
        <w:tc>
          <w:tcPr>
            <w:tcW w:type="dxa" w:w="9689"/>
            <w:shd w:val="clear" w:color="auto" w:fill="FEF9E7"/>
            <w:tcBorders>
              <w:left w:val="single" w:sz="48" w:color="B7770D"/>
              <w:top w:val="none"/>
              <w:right w:val="none"/>
              <w:bottom w:val="none"/>
              <w:insideH w:val="none"/>
              <w:insideV w:val="none"/>
            </w:tcBorders>
          </w:tcPr>
          <w:p>
            <w:r>
              <w:rPr>
                <w:rFonts w:ascii="Nunito Sans" w:hAnsi="Nunito Sans"/>
                <w:b/>
                <w:color w:val="B7770D"/>
                <w:sz w:val="20"/>
              </w:rPr>
              <w:t xml:space="preserve">⚠️ Incidente B — ISO9001/ISO14001: documentosPropuestos vacíos tras la corrección de renderNormaTab(). Las plantillas de documentos propuestas no aparecían en el selector. </w:t>
            </w:r>
            <w:r>
              <w:rPr>
                <w:rFonts w:ascii="Nunito Sans" w:hAnsi="Nunito Sans"/>
                <w:color w:val="4A4A5A"/>
                <w:sz w:val="20"/>
              </w:rPr>
            </w:r>
          </w:p>
        </w:tc>
      </w:tr>
    </w:tbl>
    <w:p/>
    <w:p>
      <w:r>
        <w:br w:type="page"/>
      </w:r>
    </w:p>
    <w:p>
      <w:pPr>
        <w:spacing w:before="320" w:after="120"/>
        <w:pBdr>
          <w:bottom w:val="single" w:sz="8" w:color="1275A3"/>
        </w:pBdr>
      </w:pPr>
      <w:r>
        <w:rPr>
          <w:rFonts w:ascii="Poppins" w:hAnsi="Poppins"/>
          <w:b/>
          <w:color w:val="1A1A2E"/>
          <w:sz w:val="32"/>
        </w:rPr>
        <w:t>4. Análisis de causa raíz</w:t>
      </w:r>
    </w:p>
    <w:p>
      <w:pPr>
        <w:spacing w:before="40" w:after="120"/>
      </w:pPr>
      <w:r>
        <w:rPr>
          <w:rFonts w:ascii="Nunito Sans" w:hAnsi="Nunito Sans"/>
          <w:color w:val="4A4A5A"/>
          <w:sz w:val="21"/>
        </w:rPr>
        <w:t>Se identificaron tres vectores causales independientes que actuaron conjuntamente para permitir el incidente:</w:t>
      </w:r>
    </w:p>
    <w:p>
      <w:pPr>
        <w:spacing w:before="200" w:after="120"/>
      </w:pPr>
      <w:r>
        <w:rPr>
          <w:rFonts w:ascii="Poppins" w:hAnsi="Poppins"/>
          <w:b/>
          <w:color w:val="1275A3"/>
          <w:sz w:val="26"/>
        </w:rPr>
        <w:t>Vector 1 — Regla incompleta en AGENTS.md</w:t>
      </w:r>
    </w:p>
    <w:p>
      <w:pPr>
        <w:spacing w:before="40" w:after="120"/>
      </w:pPr>
      <w:r>
        <w:rPr>
          <w:rFonts w:ascii="Nunito Sans" w:hAnsi="Nunito Sans"/>
          <w:color w:val="4A4A5A"/>
          <w:sz w:val="21"/>
        </w:rPr>
        <w:t>La regla 7 del AGENTS.md principal indicaba: "al propagar phase2-consulting.js entre las 5 apps consulting, usar Python (no cp) para preservar las diferencias de appId". Esta regla era correcta para RGPD/ISO27701/ISO42001 pero INCOMPLETA porque no advertía que ENS tiene +608 líneas exclusivas que se destruyen con cualquier propagación completa — independientemente del método utilizado.</w:t>
      </w:r>
    </w:p>
    <w:p>
      <w:pPr>
        <w:spacing w:before="200" w:after="120"/>
      </w:pPr>
      <w:r>
        <w:rPr>
          <w:rFonts w:ascii="Poppins" w:hAnsi="Poppins"/>
          <w:b/>
          <w:color w:val="1275A3"/>
          <w:sz w:val="26"/>
        </w:rPr>
        <w:t>Vector 2 — Información crítica inaccesible</w:t>
      </w:r>
    </w:p>
    <w:p>
      <w:pPr>
        <w:spacing w:before="40" w:after="120"/>
      </w:pPr>
      <w:r>
        <w:rPr>
          <w:rFonts w:ascii="Nunito Sans" w:hAnsi="Nunito Sans"/>
          <w:color w:val="4A4A5A"/>
          <w:sz w:val="21"/>
        </w:rPr>
        <w:t>El AGENTS.md de ENS-RD311-2022 (334 líneas) contiene toda la información sobre el código exclusivo CCN-808, Evolució y Snapshots. Sin embargo, el workspace activo de OpenCode es PLATAFORMA_OpenCode-NEW. OpenCode solo carga el AGENTS.md del workspace activo — el agente nunca veía las advertencias críticas del AGENTS.md específico de ENS.</w:t>
      </w:r>
    </w:p>
    <w:p>
      <w:pPr>
        <w:spacing w:before="200" w:after="120"/>
      </w:pPr>
      <w:r>
        <w:rPr>
          <w:rFonts w:ascii="Poppins" w:hAnsi="Poppins"/>
          <w:b/>
          <w:color w:val="1275A3"/>
          <w:sz w:val="26"/>
        </w:rPr>
        <w:t>Vector 3 — Ausencia de verificación automática</w:t>
      </w:r>
    </w:p>
    <w:p>
      <w:pPr>
        <w:spacing w:before="40" w:after="120"/>
      </w:pPr>
      <w:r>
        <w:rPr>
          <w:rFonts w:ascii="Nunito Sans" w:hAnsi="Nunito Sans"/>
          <w:color w:val="4A4A5A"/>
          <w:sz w:val="21"/>
        </w:rPr>
        <w:t>No existía ningún mecanismo que verificara automáticamente que ENS conservaba su código exclusivo antes de hacer commit. El agente aplicó la propagación de buena fe siguiendo la regla incompleta del AGENTS.md principal, sin que ninguna herramienta alertara de la pérdida de las 608 líneas exclusivas.</w:t>
      </w:r>
    </w:p>
    <w:tbl>
      <w:tblPr>
        <w:tblStyle w:val="TableGrid"/>
        <w:tblW w:type="auto" w:w="0"/>
        <w:tblLook w:firstColumn="1" w:firstRow="1" w:lastColumn="0" w:lastRow="0" w:noHBand="0" w:noVBand="1" w:val="04A0"/>
      </w:tblPr>
      <w:tblGrid>
        <w:gridCol w:w="9689"/>
      </w:tblGrid>
      <w:tr>
        <w:tc>
          <w:tcPr>
            <w:tcW w:type="dxa" w:w="9689"/>
            <w:shd w:val="clear" w:color="auto" w:fill="E8F4FA"/>
            <w:tcBorders>
              <w:left w:val="single" w:sz="48" w:color="1275A3"/>
              <w:top w:val="none"/>
              <w:right w:val="none"/>
              <w:bottom w:val="none"/>
              <w:insideH w:val="none"/>
              <w:insideV w:val="none"/>
            </w:tcBorders>
          </w:tcPr>
          <w:p>
            <w:r>
              <w:rPr>
                <w:rFonts w:ascii="Nunito Sans" w:hAnsi="Nunito Sans"/>
                <w:b/>
                <w:color w:val="1275A3"/>
                <w:sz w:val="20"/>
              </w:rPr>
              <w:t xml:space="preserve">Conclusión: El incidente no fue causado por un error de juicio puntual sino por una deficiencia estructural en el sistema de instrucciones de OpenCode. Los tres vectores son independientes — cualquiera de ellos corregido individualmente hubiera sido suficiente para prevenir el incidente. </w:t>
            </w:r>
            <w:r>
              <w:rPr>
                <w:rFonts w:ascii="Nunito Sans" w:hAnsi="Nunito Sans"/>
                <w:color w:val="4A4A5A"/>
                <w:sz w:val="20"/>
              </w:rPr>
            </w:r>
          </w:p>
        </w:tc>
      </w:tr>
    </w:tbl>
    <w:p/>
    <w:p>
      <w:r>
        <w:br w:type="page"/>
      </w:r>
    </w:p>
    <w:p>
      <w:pPr>
        <w:spacing w:before="320" w:after="120"/>
        <w:pBdr>
          <w:bottom w:val="single" w:sz="8" w:color="1275A3"/>
        </w:pBdr>
      </w:pPr>
      <w:r>
        <w:rPr>
          <w:rFonts w:ascii="Poppins" w:hAnsi="Poppins"/>
          <w:b/>
          <w:color w:val="1A1A2E"/>
          <w:sz w:val="32"/>
        </w:rPr>
        <w:t>5. Mapa de divergencias entre las 9 apps</w:t>
      </w:r>
    </w:p>
    <w:p>
      <w:pPr>
        <w:spacing w:before="40" w:after="120"/>
      </w:pPr>
      <w:r>
        <w:rPr>
          <w:rFonts w:ascii="Nunito Sans" w:hAnsi="Nunito Sans"/>
          <w:color w:val="4A4A5A"/>
          <w:sz w:val="21"/>
        </w:rPr>
        <w:t>La tabla siguiente clasifica todos los archivos JS de propagación entre las 9 apps según su tipo. Esta clasificación es la fuente de verdad que debe consultarse antes de cualquier operación de propagación.</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984"/>
            <w:shd w:val="clear" w:color="auto" w:fill="1275A3"/>
          </w:tcPr>
          <w:p>
            <w:r/>
            <w:r>
              <w:rPr>
                <w:rFonts w:ascii="Poppins" w:hAnsi="Poppins"/>
                <w:b/>
                <w:color w:val="FFFFFF"/>
                <w:sz w:val="18"/>
              </w:rPr>
              <w:t>App</w:t>
            </w:r>
          </w:p>
        </w:tc>
        <w:tc>
          <w:tcPr>
            <w:tcW w:type="dxa" w:w="2551"/>
            <w:shd w:val="clear" w:color="auto" w:fill="1275A3"/>
          </w:tcPr>
          <w:p>
            <w:r/>
            <w:r>
              <w:rPr>
                <w:rFonts w:ascii="Poppins" w:hAnsi="Poppins"/>
                <w:b/>
                <w:color w:val="FFFFFF"/>
                <w:sz w:val="18"/>
              </w:rPr>
              <w:t>Archivo</w:t>
            </w:r>
          </w:p>
        </w:tc>
        <w:tc>
          <w:tcPr>
            <w:tcW w:type="dxa" w:w="1417"/>
            <w:shd w:val="clear" w:color="auto" w:fill="1275A3"/>
          </w:tcPr>
          <w:p>
            <w:r/>
            <w:r>
              <w:rPr>
                <w:rFonts w:ascii="Poppins" w:hAnsi="Poppins"/>
                <w:b/>
                <w:color w:val="FFFFFF"/>
                <w:sz w:val="18"/>
              </w:rPr>
              <w:t>Tipo</w:t>
            </w:r>
          </w:p>
        </w:tc>
        <w:tc>
          <w:tcPr>
            <w:tcW w:type="dxa" w:w="1417"/>
            <w:shd w:val="clear" w:color="auto" w:fill="1275A3"/>
          </w:tcPr>
          <w:p>
            <w:r/>
            <w:r>
              <w:rPr>
                <w:rFonts w:ascii="Poppins" w:hAnsi="Poppins"/>
                <w:b/>
                <w:color w:val="FFFFFF"/>
                <w:sz w:val="18"/>
              </w:rPr>
              <w:t>Líneas exclusivas</w:t>
            </w:r>
          </w:p>
        </w:tc>
        <w:tc>
          <w:tcPr>
            <w:tcW w:type="dxa" w:w="2551"/>
            <w:shd w:val="clear" w:color="auto" w:fill="1275A3"/>
          </w:tcPr>
          <w:p>
            <w:r/>
            <w:r>
              <w:rPr>
                <w:rFonts w:ascii="Poppins" w:hAnsi="Poppins"/>
                <w:b/>
                <w:color w:val="FFFFFF"/>
                <w:sz w:val="18"/>
              </w:rPr>
              <w:t>Variables clave</w:t>
            </w:r>
          </w:p>
        </w:tc>
        <w:tc>
          <w:tcPr>
            <w:tcW w:type="dxa" w:w="1701"/>
            <w:shd w:val="clear" w:color="auto" w:fill="1275A3"/>
          </w:tcPr>
          <w:p>
            <w:r/>
            <w:r>
              <w:rPr>
                <w:rFonts w:ascii="Poppins" w:hAnsi="Poppins"/>
                <w:b/>
                <w:color w:val="FFFFFF"/>
                <w:sz w:val="18"/>
              </w:rPr>
              <w:t>¿Propagable?</w:t>
            </w:r>
          </w:p>
        </w:tc>
      </w:tr>
      <w:tr>
        <w:tc>
          <w:tcPr>
            <w:tcW w:type="dxa" w:w="1615"/>
            <w:shd w:val="clear" w:color="auto" w:fill="FFFFFF"/>
          </w:tcPr>
          <w:p>
            <w:r/>
            <w:r>
              <w:rPr>
                <w:rFonts w:ascii="Nunito Sans" w:hAnsi="Nunito Sans"/>
                <w:b/>
                <w:color w:val="4A4A5A"/>
                <w:sz w:val="19"/>
              </w:rPr>
              <w:t>ISO27001-SGSI</w:t>
            </w:r>
          </w:p>
        </w:tc>
        <w:tc>
          <w:tcPr>
            <w:tcW w:type="dxa" w:w="1615"/>
            <w:shd w:val="clear" w:color="auto" w:fill="FFFFFF"/>
          </w:tcPr>
          <w:p>
            <w:r/>
            <w:r>
              <w:rPr>
                <w:rFonts w:ascii="JetBrains Mono" w:hAnsi="JetBrains Mono"/>
                <w:b w:val="0"/>
                <w:color w:val="1275A3"/>
                <w:sz w:val="18"/>
              </w:rPr>
              <w:t>phase2-consulting.js</w:t>
            </w:r>
          </w:p>
        </w:tc>
        <w:tc>
          <w:tcPr>
            <w:tcW w:type="dxa" w:w="1615"/>
            <w:shd w:val="clear" w:color="auto" w:fill="FFFFFF"/>
          </w:tcPr>
          <w:p>
            <w:r/>
            <w:r>
              <w:rPr>
                <w:rFonts w:ascii="Nunito Sans" w:hAnsi="Nunito Sans"/>
                <w:b w:val="0"/>
                <w:color w:val="4A4A5A"/>
                <w:sz w:val="19"/>
              </w:rPr>
              <w:t>BASE</w:t>
            </w:r>
          </w:p>
        </w:tc>
        <w:tc>
          <w:tcPr>
            <w:tcW w:type="dxa" w:w="1615"/>
            <w:shd w:val="clear" w:color="auto" w:fill="FFFFFF"/>
          </w:tcPr>
          <w:p>
            <w:r/>
            <w:r>
              <w:rPr>
                <w:rFonts w:ascii="Nunito Sans" w:hAnsi="Nunito Sans"/>
                <w:b w:val="0"/>
                <w:color w:val="4A4A5A"/>
                <w:sz w:val="19"/>
              </w:rPr>
              <w:t>—</w:t>
            </w:r>
          </w:p>
        </w:tc>
        <w:tc>
          <w:tcPr>
            <w:tcW w:type="dxa" w:w="1615"/>
            <w:shd w:val="clear" w:color="auto" w:fill="FFFFFF"/>
          </w:tcPr>
          <w:p>
            <w:r/>
            <w:r>
              <w:rPr>
                <w:rFonts w:ascii="Nunito Sans" w:hAnsi="Nunito Sans"/>
                <w:b w:val="0"/>
                <w:color w:val="4A4A5A"/>
                <w:sz w:val="19"/>
              </w:rPr>
              <w:t>ISO27001_CLAUSES_DETAIL, CLAUSE_GROUPS</w:t>
            </w:r>
          </w:p>
        </w:tc>
        <w:tc>
          <w:tcPr>
            <w:tcW w:type="dxa" w:w="1615"/>
            <w:shd w:val="clear" w:color="auto" w:fill="FFFFFF"/>
          </w:tcPr>
          <w:p>
            <w:r/>
            <w:r>
              <w:rPr>
                <w:rFonts w:ascii="Nunito Sans" w:hAnsi="Nunito Sans"/>
                <w:b w:val="0"/>
                <w:color w:val="4A4A5A"/>
                <w:sz w:val="19"/>
              </w:rPr>
              <w:t>Es el BASE</w:t>
            </w:r>
          </w:p>
        </w:tc>
      </w:tr>
      <w:tr>
        <w:tc>
          <w:tcPr>
            <w:tcW w:type="dxa" w:w="1615"/>
            <w:shd w:val="clear" w:color="auto" w:fill="F0F0F5"/>
          </w:tcPr>
          <w:p>
            <w:r/>
            <w:r>
              <w:rPr>
                <w:rFonts w:ascii="Nunito Sans" w:hAnsi="Nunito Sans"/>
                <w:b/>
                <w:color w:val="4A4A5A"/>
                <w:sz w:val="19"/>
              </w:rPr>
              <w:t>ENS-RD311-2022</w:t>
            </w:r>
          </w:p>
        </w:tc>
        <w:tc>
          <w:tcPr>
            <w:tcW w:type="dxa" w:w="1615"/>
            <w:shd w:val="clear" w:color="auto" w:fill="F0F0F5"/>
          </w:tcPr>
          <w:p>
            <w:r/>
            <w:r>
              <w:rPr>
                <w:rFonts w:ascii="JetBrains Mono" w:hAnsi="JetBrains Mono"/>
                <w:b w:val="0"/>
                <w:color w:val="1275A3"/>
                <w:sz w:val="18"/>
              </w:rPr>
              <w:t>phase2-consulting.js</w:t>
            </w:r>
          </w:p>
        </w:tc>
        <w:tc>
          <w:tcPr>
            <w:tcW w:type="dxa" w:w="1615"/>
            <w:shd w:val="clear" w:color="auto" w:fill="F0F0F5"/>
          </w:tcPr>
          <w:p>
            <w:r/>
            <w:r>
              <w:rPr>
                <w:rFonts w:ascii="Nunito Sans" w:hAnsi="Nunito Sans"/>
                <w:b w:val="0"/>
                <w:color w:val="4A4A5A"/>
                <w:sz w:val="19"/>
              </w:rPr>
              <w:t>DIVERGENTE ⚠️</w:t>
            </w:r>
          </w:p>
        </w:tc>
        <w:tc>
          <w:tcPr>
            <w:tcW w:type="dxa" w:w="1615"/>
            <w:shd w:val="clear" w:color="auto" w:fill="F0F0F5"/>
          </w:tcPr>
          <w:p>
            <w:r/>
            <w:r>
              <w:rPr>
                <w:rFonts w:ascii="Nunito Sans" w:hAnsi="Nunito Sans"/>
                <w:b w:val="0"/>
                <w:color w:val="4A4A5A"/>
                <w:sz w:val="19"/>
              </w:rPr>
              <w:t>+608</w:t>
            </w:r>
          </w:p>
        </w:tc>
        <w:tc>
          <w:tcPr>
            <w:tcW w:type="dxa" w:w="1615"/>
            <w:shd w:val="clear" w:color="auto" w:fill="F0F0F5"/>
          </w:tcPr>
          <w:p>
            <w:r/>
            <w:r>
              <w:rPr>
                <w:rFonts w:ascii="Nunito Sans" w:hAnsi="Nunito Sans"/>
                <w:b w:val="0"/>
                <w:color w:val="4A4A5A"/>
                <w:sz w:val="19"/>
              </w:rPr>
              <w:t>ENS_808_CHECKLIST</w:t>
            </w:r>
          </w:p>
        </w:tc>
        <w:tc>
          <w:tcPr>
            <w:tcW w:type="dxa" w:w="1615"/>
            <w:shd w:val="clear" w:color="auto" w:fill="F0F0F5"/>
          </w:tcPr>
          <w:p>
            <w:r/>
            <w:r>
              <w:rPr>
                <w:rFonts w:ascii="Nunito Sans" w:hAnsi="Nunito Sans"/>
                <w:b w:val="0"/>
                <w:color w:val="4A4A5A"/>
                <w:sz w:val="19"/>
              </w:rPr>
              <w:t>NUNCA — solo patch quirúrgico</w:t>
            </w:r>
          </w:p>
        </w:tc>
      </w:tr>
      <w:tr>
        <w:tc>
          <w:tcPr>
            <w:tcW w:type="dxa" w:w="1615"/>
            <w:shd w:val="clear" w:color="auto" w:fill="FFFFFF"/>
          </w:tcPr>
          <w:p>
            <w:r/>
            <w:r>
              <w:rPr>
                <w:rFonts w:ascii="Nunito Sans" w:hAnsi="Nunito Sans"/>
                <w:b/>
                <w:color w:val="4A4A5A"/>
                <w:sz w:val="19"/>
              </w:rPr>
              <w:t>RGPD-LOPD-GDD</w:t>
            </w:r>
          </w:p>
        </w:tc>
        <w:tc>
          <w:tcPr>
            <w:tcW w:type="dxa" w:w="1615"/>
            <w:shd w:val="clear" w:color="auto" w:fill="FFFFFF"/>
          </w:tcPr>
          <w:p>
            <w:r/>
            <w:r>
              <w:rPr>
                <w:rFonts w:ascii="JetBrains Mono" w:hAnsi="JetBrains Mono"/>
                <w:b w:val="0"/>
                <w:color w:val="1275A3"/>
                <w:sz w:val="18"/>
              </w:rPr>
              <w:t>phase2-consulting.js</w:t>
            </w:r>
          </w:p>
        </w:tc>
        <w:tc>
          <w:tcPr>
            <w:tcW w:type="dxa" w:w="1615"/>
            <w:shd w:val="clear" w:color="auto" w:fill="FFFFFF"/>
          </w:tcPr>
          <w:p>
            <w:r/>
            <w:r>
              <w:rPr>
                <w:rFonts w:ascii="Nunito Sans" w:hAnsi="Nunito Sans"/>
                <w:b w:val="0"/>
                <w:color w:val="4A4A5A"/>
                <w:sz w:val="19"/>
              </w:rPr>
              <w:t>CLON SEGURO</w:t>
            </w:r>
          </w:p>
        </w:tc>
        <w:tc>
          <w:tcPr>
            <w:tcW w:type="dxa" w:w="1615"/>
            <w:shd w:val="clear" w:color="auto" w:fill="FFFFFF"/>
          </w:tcPr>
          <w:p>
            <w:r/>
            <w:r>
              <w:rPr>
                <w:rFonts w:ascii="Nunito Sans" w:hAnsi="Nunito Sans"/>
                <w:b w:val="0"/>
                <w:color w:val="4A4A5A"/>
                <w:sz w:val="19"/>
              </w:rPr>
              <w:t>0</w:t>
            </w:r>
          </w:p>
        </w:tc>
        <w:tc>
          <w:tcPr>
            <w:tcW w:type="dxa" w:w="1615"/>
            <w:shd w:val="clear" w:color="auto" w:fill="FFFFFF"/>
          </w:tcPr>
          <w:p>
            <w:r/>
            <w:r>
              <w:rPr>
                <w:rFonts w:ascii="Nunito Sans" w:hAnsi="Nunito Sans"/>
                <w:b w:val="0"/>
                <w:color w:val="4A4A5A"/>
                <w:sz w:val="19"/>
              </w:rPr>
              <w:t>—</w:t>
            </w:r>
          </w:p>
        </w:tc>
        <w:tc>
          <w:tcPr>
            <w:tcW w:type="dxa" w:w="1615"/>
            <w:shd w:val="clear" w:color="auto" w:fill="FFFFFF"/>
          </w:tcPr>
          <w:p>
            <w:r/>
            <w:r>
              <w:rPr>
                <w:rFonts w:ascii="Nunito Sans" w:hAnsi="Nunito Sans"/>
                <w:b w:val="0"/>
                <w:color w:val="4A4A5A"/>
                <w:sz w:val="19"/>
              </w:rPr>
              <w:t>SÍ con sed</w:t>
            </w:r>
          </w:p>
        </w:tc>
      </w:tr>
      <w:tr>
        <w:tc>
          <w:tcPr>
            <w:tcW w:type="dxa" w:w="1615"/>
            <w:shd w:val="clear" w:color="auto" w:fill="F0F0F5"/>
          </w:tcPr>
          <w:p>
            <w:r/>
            <w:r>
              <w:rPr>
                <w:rFonts w:ascii="Nunito Sans" w:hAnsi="Nunito Sans"/>
                <w:b/>
                <w:color w:val="4A4A5A"/>
                <w:sz w:val="19"/>
              </w:rPr>
              <w:t>ISO27701-SGP</w:t>
            </w:r>
          </w:p>
        </w:tc>
        <w:tc>
          <w:tcPr>
            <w:tcW w:type="dxa" w:w="1615"/>
            <w:shd w:val="clear" w:color="auto" w:fill="F0F0F5"/>
          </w:tcPr>
          <w:p>
            <w:r/>
            <w:r>
              <w:rPr>
                <w:rFonts w:ascii="JetBrains Mono" w:hAnsi="JetBrains Mono"/>
                <w:b w:val="0"/>
                <w:color w:val="1275A3"/>
                <w:sz w:val="18"/>
              </w:rPr>
              <w:t>phase2-consulting.js</w:t>
            </w:r>
          </w:p>
        </w:tc>
        <w:tc>
          <w:tcPr>
            <w:tcW w:type="dxa" w:w="1615"/>
            <w:shd w:val="clear" w:color="auto" w:fill="F0F0F5"/>
          </w:tcPr>
          <w:p>
            <w:r/>
            <w:r>
              <w:rPr>
                <w:rFonts w:ascii="Nunito Sans" w:hAnsi="Nunito Sans"/>
                <w:b w:val="0"/>
                <w:color w:val="4A4A5A"/>
                <w:sz w:val="19"/>
              </w:rPr>
              <w:t>CLON SEGURO</w:t>
            </w:r>
          </w:p>
        </w:tc>
        <w:tc>
          <w:tcPr>
            <w:tcW w:type="dxa" w:w="1615"/>
            <w:shd w:val="clear" w:color="auto" w:fill="F0F0F5"/>
          </w:tcPr>
          <w:p>
            <w:r/>
            <w:r>
              <w:rPr>
                <w:rFonts w:ascii="Nunito Sans" w:hAnsi="Nunito Sans"/>
                <w:b w:val="0"/>
                <w:color w:val="4A4A5A"/>
                <w:sz w:val="19"/>
              </w:rPr>
              <w:t>0</w:t>
            </w:r>
          </w:p>
        </w:tc>
        <w:tc>
          <w:tcPr>
            <w:tcW w:type="dxa" w:w="1615"/>
            <w:shd w:val="clear" w:color="auto" w:fill="F0F0F5"/>
          </w:tcPr>
          <w:p>
            <w:r/>
            <w:r>
              <w:rPr>
                <w:rFonts w:ascii="Nunito Sans" w:hAnsi="Nunito Sans"/>
                <w:b w:val="0"/>
                <w:color w:val="4A4A5A"/>
                <w:sz w:val="19"/>
              </w:rPr>
              <w:t>organizationRole (datos)</w:t>
            </w:r>
          </w:p>
        </w:tc>
        <w:tc>
          <w:tcPr>
            <w:tcW w:type="dxa" w:w="1615"/>
            <w:shd w:val="clear" w:color="auto" w:fill="F0F0F5"/>
          </w:tcPr>
          <w:p>
            <w:r/>
            <w:r>
              <w:rPr>
                <w:rFonts w:ascii="Nunito Sans" w:hAnsi="Nunito Sans"/>
                <w:b w:val="0"/>
                <w:color w:val="4A4A5A"/>
                <w:sz w:val="19"/>
              </w:rPr>
              <w:t>SÍ con sed</w:t>
            </w:r>
          </w:p>
        </w:tc>
      </w:tr>
      <w:tr>
        <w:tc>
          <w:tcPr>
            <w:tcW w:type="dxa" w:w="1615"/>
            <w:shd w:val="clear" w:color="auto" w:fill="FFFFFF"/>
          </w:tcPr>
          <w:p>
            <w:r/>
            <w:r>
              <w:rPr>
                <w:rFonts w:ascii="Nunito Sans" w:hAnsi="Nunito Sans"/>
                <w:b/>
                <w:color w:val="4A4A5A"/>
                <w:sz w:val="19"/>
              </w:rPr>
              <w:t>ISO42001-SGIA</w:t>
            </w:r>
          </w:p>
        </w:tc>
        <w:tc>
          <w:tcPr>
            <w:tcW w:type="dxa" w:w="1615"/>
            <w:shd w:val="clear" w:color="auto" w:fill="FFFFFF"/>
          </w:tcPr>
          <w:p>
            <w:r/>
            <w:r>
              <w:rPr>
                <w:rFonts w:ascii="JetBrains Mono" w:hAnsi="JetBrains Mono"/>
                <w:b w:val="0"/>
                <w:color w:val="1275A3"/>
                <w:sz w:val="18"/>
              </w:rPr>
              <w:t>phase2-consulting.js</w:t>
            </w:r>
          </w:p>
        </w:tc>
        <w:tc>
          <w:tcPr>
            <w:tcW w:type="dxa" w:w="1615"/>
            <w:shd w:val="clear" w:color="auto" w:fill="FFFFFF"/>
          </w:tcPr>
          <w:p>
            <w:r/>
            <w:r>
              <w:rPr>
                <w:rFonts w:ascii="Nunito Sans" w:hAnsi="Nunito Sans"/>
                <w:b w:val="0"/>
                <w:color w:val="4A4A5A"/>
                <w:sz w:val="19"/>
              </w:rPr>
              <w:t>CLON SEGURO</w:t>
            </w:r>
          </w:p>
        </w:tc>
        <w:tc>
          <w:tcPr>
            <w:tcW w:type="dxa" w:w="1615"/>
            <w:shd w:val="clear" w:color="auto" w:fill="FFFFFF"/>
          </w:tcPr>
          <w:p>
            <w:r/>
            <w:r>
              <w:rPr>
                <w:rFonts w:ascii="Nunito Sans" w:hAnsi="Nunito Sans"/>
                <w:b w:val="0"/>
                <w:color w:val="4A4A5A"/>
                <w:sz w:val="19"/>
              </w:rPr>
              <w:t>0</w:t>
            </w:r>
          </w:p>
        </w:tc>
        <w:tc>
          <w:tcPr>
            <w:tcW w:type="dxa" w:w="1615"/>
            <w:shd w:val="clear" w:color="auto" w:fill="FFFFFF"/>
          </w:tcPr>
          <w:p>
            <w:r/>
            <w:r>
              <w:rPr>
                <w:rFonts w:ascii="Nunito Sans" w:hAnsi="Nunito Sans"/>
                <w:b w:val="0"/>
                <w:color w:val="4A4A5A"/>
                <w:sz w:val="19"/>
              </w:rPr>
              <w:t>AIIA module (archivo separado)</w:t>
            </w:r>
          </w:p>
        </w:tc>
        <w:tc>
          <w:tcPr>
            <w:tcW w:type="dxa" w:w="1615"/>
            <w:shd w:val="clear" w:color="auto" w:fill="FFFFFF"/>
          </w:tcPr>
          <w:p>
            <w:r/>
            <w:r>
              <w:rPr>
                <w:rFonts w:ascii="Nunito Sans" w:hAnsi="Nunito Sans"/>
                <w:b w:val="0"/>
                <w:color w:val="4A4A5A"/>
                <w:sz w:val="19"/>
              </w:rPr>
              <w:t>SÍ con sed</w:t>
            </w:r>
          </w:p>
        </w:tc>
      </w:tr>
      <w:tr>
        <w:tc>
          <w:tcPr>
            <w:tcW w:type="dxa" w:w="1615"/>
            <w:shd w:val="clear" w:color="auto" w:fill="F0F0F5"/>
          </w:tcPr>
          <w:p>
            <w:r/>
            <w:r>
              <w:rPr>
                <w:rFonts w:ascii="Nunito Sans" w:hAnsi="Nunito Sans"/>
                <w:b/>
                <w:color w:val="4A4A5A"/>
                <w:sz w:val="19"/>
              </w:rPr>
              <w:t>ISO9001-SGQ_2015</w:t>
            </w:r>
          </w:p>
        </w:tc>
        <w:tc>
          <w:tcPr>
            <w:tcW w:type="dxa" w:w="1615"/>
            <w:shd w:val="clear" w:color="auto" w:fill="F0F0F5"/>
          </w:tcPr>
          <w:p>
            <w:r/>
            <w:r>
              <w:rPr>
                <w:rFonts w:ascii="JetBrains Mono" w:hAnsi="JetBrains Mono"/>
                <w:b w:val="0"/>
                <w:color w:val="1275A3"/>
                <w:sz w:val="18"/>
              </w:rPr>
              <w:t>phase2-implementation.js</w:t>
            </w:r>
          </w:p>
        </w:tc>
        <w:tc>
          <w:tcPr>
            <w:tcW w:type="dxa" w:w="1615"/>
            <w:shd w:val="clear" w:color="auto" w:fill="F0F0F5"/>
          </w:tcPr>
          <w:p>
            <w:r/>
            <w:r>
              <w:rPr>
                <w:rFonts w:ascii="Nunito Sans" w:hAnsi="Nunito Sans"/>
                <w:b w:val="0"/>
                <w:color w:val="4A4A5A"/>
                <w:sz w:val="19"/>
              </w:rPr>
              <w:t>PROPIO</w:t>
            </w:r>
          </w:p>
        </w:tc>
        <w:tc>
          <w:tcPr>
            <w:tcW w:type="dxa" w:w="1615"/>
            <w:shd w:val="clear" w:color="auto" w:fill="F0F0F5"/>
          </w:tcPr>
          <w:p>
            <w:r/>
            <w:r>
              <w:rPr>
                <w:rFonts w:ascii="Nunito Sans" w:hAnsi="Nunito Sans"/>
                <w:b w:val="0"/>
                <w:color w:val="4A4A5A"/>
                <w:sz w:val="19"/>
              </w:rPr>
              <w:t>—</w:t>
            </w:r>
          </w:p>
        </w:tc>
        <w:tc>
          <w:tcPr>
            <w:tcW w:type="dxa" w:w="1615"/>
            <w:shd w:val="clear" w:color="auto" w:fill="F0F0F5"/>
          </w:tcPr>
          <w:p>
            <w:r/>
            <w:r>
              <w:rPr>
                <w:rFonts w:ascii="Nunito Sans" w:hAnsi="Nunito Sans"/>
                <w:b w:val="0"/>
                <w:color w:val="4A4A5A"/>
                <w:sz w:val="19"/>
              </w:rPr>
              <w:t>ACTIVITY_GROUPS, ISO9001_CLAUSES_DETAIL</w:t>
            </w:r>
          </w:p>
        </w:tc>
        <w:tc>
          <w:tcPr>
            <w:tcW w:type="dxa" w:w="1615"/>
            <w:shd w:val="clear" w:color="auto" w:fill="F0F0F5"/>
          </w:tcPr>
          <w:p>
            <w:r/>
            <w:r>
              <w:rPr>
                <w:rFonts w:ascii="Nunito Sans" w:hAnsi="Nunito Sans"/>
                <w:b w:val="0"/>
                <w:color w:val="4A4A5A"/>
                <w:sz w:val="19"/>
              </w:rPr>
              <w:t>NUNCA — archivo propio</w:t>
            </w:r>
          </w:p>
        </w:tc>
      </w:tr>
      <w:tr>
        <w:tc>
          <w:tcPr>
            <w:tcW w:type="dxa" w:w="1615"/>
            <w:shd w:val="clear" w:color="auto" w:fill="FFFFFF"/>
          </w:tcPr>
          <w:p>
            <w:r/>
            <w:r>
              <w:rPr>
                <w:rFonts w:ascii="Nunito Sans" w:hAnsi="Nunito Sans"/>
                <w:b/>
                <w:color w:val="4A4A5A"/>
                <w:sz w:val="19"/>
              </w:rPr>
              <w:t>ISO14001-SGMA_2015</w:t>
            </w:r>
          </w:p>
        </w:tc>
        <w:tc>
          <w:tcPr>
            <w:tcW w:type="dxa" w:w="1615"/>
            <w:shd w:val="clear" w:color="auto" w:fill="FFFFFF"/>
          </w:tcPr>
          <w:p>
            <w:r/>
            <w:r>
              <w:rPr>
                <w:rFonts w:ascii="JetBrains Mono" w:hAnsi="JetBrains Mono"/>
                <w:b w:val="0"/>
                <w:color w:val="1275A3"/>
                <w:sz w:val="18"/>
              </w:rPr>
              <w:t>phase2-implementation.js</w:t>
            </w:r>
          </w:p>
        </w:tc>
        <w:tc>
          <w:tcPr>
            <w:tcW w:type="dxa" w:w="1615"/>
            <w:shd w:val="clear" w:color="auto" w:fill="FFFFFF"/>
          </w:tcPr>
          <w:p>
            <w:r/>
            <w:r>
              <w:rPr>
                <w:rFonts w:ascii="Nunito Sans" w:hAnsi="Nunito Sans"/>
                <w:b w:val="0"/>
                <w:color w:val="4A4A5A"/>
                <w:sz w:val="19"/>
              </w:rPr>
              <w:t>PROPIO</w:t>
            </w:r>
          </w:p>
        </w:tc>
        <w:tc>
          <w:tcPr>
            <w:tcW w:type="dxa" w:w="1615"/>
            <w:shd w:val="clear" w:color="auto" w:fill="FFFFFF"/>
          </w:tcPr>
          <w:p>
            <w:r/>
            <w:r>
              <w:rPr>
                <w:rFonts w:ascii="Nunito Sans" w:hAnsi="Nunito Sans"/>
                <w:b w:val="0"/>
                <w:color w:val="4A4A5A"/>
                <w:sz w:val="19"/>
              </w:rPr>
              <w:t>—</w:t>
            </w:r>
          </w:p>
        </w:tc>
        <w:tc>
          <w:tcPr>
            <w:tcW w:type="dxa" w:w="1615"/>
            <w:shd w:val="clear" w:color="auto" w:fill="FFFFFF"/>
          </w:tcPr>
          <w:p>
            <w:r/>
            <w:r>
              <w:rPr>
                <w:rFonts w:ascii="Nunito Sans" w:hAnsi="Nunito Sans"/>
                <w:b w:val="0"/>
                <w:color w:val="4A4A5A"/>
                <w:sz w:val="19"/>
              </w:rPr>
              <w:t>CLAUSE_GROUPS, ISO14001_CLAUSES_DETAIL</w:t>
            </w:r>
          </w:p>
        </w:tc>
        <w:tc>
          <w:tcPr>
            <w:tcW w:type="dxa" w:w="1615"/>
            <w:shd w:val="clear" w:color="auto" w:fill="FFFFFF"/>
          </w:tcPr>
          <w:p>
            <w:r/>
            <w:r>
              <w:rPr>
                <w:rFonts w:ascii="Nunito Sans" w:hAnsi="Nunito Sans"/>
                <w:b w:val="0"/>
                <w:color w:val="4A4A5A"/>
                <w:sz w:val="19"/>
              </w:rPr>
              <w:t>NUNCA — archivo propio</w:t>
            </w:r>
          </w:p>
        </w:tc>
      </w:tr>
      <w:tr>
        <w:tc>
          <w:tcPr>
            <w:tcW w:type="dxa" w:w="1615"/>
            <w:shd w:val="clear" w:color="auto" w:fill="F0F0F5"/>
          </w:tcPr>
          <w:p>
            <w:r/>
            <w:r>
              <w:rPr>
                <w:rFonts w:ascii="Nunito Sans" w:hAnsi="Nunito Sans"/>
                <w:b/>
                <w:color w:val="4A4A5A"/>
                <w:sz w:val="19"/>
              </w:rPr>
              <w:t>ISO14001-SGMA_2026</w:t>
            </w:r>
          </w:p>
        </w:tc>
        <w:tc>
          <w:tcPr>
            <w:tcW w:type="dxa" w:w="1615"/>
            <w:shd w:val="clear" w:color="auto" w:fill="F0F0F5"/>
          </w:tcPr>
          <w:p>
            <w:r/>
            <w:r>
              <w:rPr>
                <w:rFonts w:ascii="JetBrains Mono" w:hAnsi="JetBrains Mono"/>
                <w:b w:val="0"/>
                <w:color w:val="1275A3"/>
                <w:sz w:val="18"/>
              </w:rPr>
              <w:t>phase2-implementation.js</w:t>
            </w:r>
          </w:p>
        </w:tc>
        <w:tc>
          <w:tcPr>
            <w:tcW w:type="dxa" w:w="1615"/>
            <w:shd w:val="clear" w:color="auto" w:fill="F0F0F5"/>
          </w:tcPr>
          <w:p>
            <w:r/>
            <w:r>
              <w:rPr>
                <w:rFonts w:ascii="Nunito Sans" w:hAnsi="Nunito Sans"/>
                <w:b w:val="0"/>
                <w:color w:val="4A4A5A"/>
                <w:sz w:val="19"/>
              </w:rPr>
              <w:t>PROPIO</w:t>
            </w:r>
          </w:p>
        </w:tc>
        <w:tc>
          <w:tcPr>
            <w:tcW w:type="dxa" w:w="1615"/>
            <w:shd w:val="clear" w:color="auto" w:fill="F0F0F5"/>
          </w:tcPr>
          <w:p>
            <w:r/>
            <w:r>
              <w:rPr>
                <w:rFonts w:ascii="Nunito Sans" w:hAnsi="Nunito Sans"/>
                <w:b w:val="0"/>
                <w:color w:val="4A4A5A"/>
                <w:sz w:val="19"/>
              </w:rPr>
              <w:t>—</w:t>
            </w:r>
          </w:p>
        </w:tc>
        <w:tc>
          <w:tcPr>
            <w:tcW w:type="dxa" w:w="1615"/>
            <w:shd w:val="clear" w:color="auto" w:fill="F0F0F5"/>
          </w:tcPr>
          <w:p>
            <w:r/>
            <w:r>
              <w:rPr>
                <w:rFonts w:ascii="Nunito Sans" w:hAnsi="Nunito Sans"/>
                <w:b w:val="0"/>
                <w:color w:val="4A4A5A"/>
                <w:sz w:val="19"/>
              </w:rPr>
              <w:t>CLAUSE_GROUPS, ISO14001_CLAUSES_DETAIL</w:t>
            </w:r>
          </w:p>
        </w:tc>
        <w:tc>
          <w:tcPr>
            <w:tcW w:type="dxa" w:w="1615"/>
            <w:shd w:val="clear" w:color="auto" w:fill="F0F0F5"/>
          </w:tcPr>
          <w:p>
            <w:r/>
            <w:r>
              <w:rPr>
                <w:rFonts w:ascii="Nunito Sans" w:hAnsi="Nunito Sans"/>
                <w:b w:val="0"/>
                <w:color w:val="4A4A5A"/>
                <w:sz w:val="19"/>
              </w:rPr>
              <w:t>NUNCA — archivo propio</w:t>
            </w:r>
          </w:p>
        </w:tc>
      </w:tr>
      <w:tr>
        <w:tc>
          <w:tcPr>
            <w:tcW w:type="dxa" w:w="1615"/>
            <w:shd w:val="clear" w:color="auto" w:fill="FFFFFF"/>
          </w:tcPr>
          <w:p>
            <w:r/>
            <w:r>
              <w:rPr>
                <w:rFonts w:ascii="Nunito Sans" w:hAnsi="Nunito Sans"/>
                <w:b/>
                <w:color w:val="4A4A5A"/>
                <w:sz w:val="19"/>
              </w:rPr>
              <w:t>TISAX</w:t>
            </w:r>
          </w:p>
        </w:tc>
        <w:tc>
          <w:tcPr>
            <w:tcW w:type="dxa" w:w="1615"/>
            <w:shd w:val="clear" w:color="auto" w:fill="FFFFFF"/>
          </w:tcPr>
          <w:p>
            <w:r/>
            <w:r>
              <w:rPr>
                <w:rFonts w:ascii="JetBrains Mono" w:hAnsi="JetBrains Mono"/>
                <w:b w:val="0"/>
                <w:color w:val="1275A3"/>
                <w:sz w:val="18"/>
              </w:rPr>
              <w:t>phase2-isms.js</w:t>
            </w:r>
          </w:p>
        </w:tc>
        <w:tc>
          <w:tcPr>
            <w:tcW w:type="dxa" w:w="1615"/>
            <w:shd w:val="clear" w:color="auto" w:fill="FFFFFF"/>
          </w:tcPr>
          <w:p>
            <w:r/>
            <w:r>
              <w:rPr>
                <w:rFonts w:ascii="Nunito Sans" w:hAnsi="Nunito Sans"/>
                <w:b w:val="0"/>
                <w:color w:val="4A4A5A"/>
                <w:sz w:val="19"/>
              </w:rPr>
              <w:t>PROPIO</w:t>
            </w:r>
          </w:p>
        </w:tc>
        <w:tc>
          <w:tcPr>
            <w:tcW w:type="dxa" w:w="1615"/>
            <w:shd w:val="clear" w:color="auto" w:fill="FFFFFF"/>
          </w:tcPr>
          <w:p>
            <w:r/>
            <w:r>
              <w:rPr>
                <w:rFonts w:ascii="Nunito Sans" w:hAnsi="Nunito Sans"/>
                <w:b w:val="0"/>
                <w:color w:val="4A4A5A"/>
                <w:sz w:val="19"/>
              </w:rPr>
              <w:t>—</w:t>
            </w:r>
          </w:p>
        </w:tc>
        <w:tc>
          <w:tcPr>
            <w:tcW w:type="dxa" w:w="1615"/>
            <w:shd w:val="clear" w:color="auto" w:fill="FFFFFF"/>
          </w:tcPr>
          <w:p>
            <w:r/>
            <w:r>
              <w:rPr>
                <w:rFonts w:ascii="Nunito Sans" w:hAnsi="Nunito Sans"/>
                <w:b w:val="0"/>
                <w:color w:val="4A4A5A"/>
                <w:sz w:val="19"/>
              </w:rPr>
              <w:t>ISA catalog, sin tabs, sin LLM</w:t>
            </w:r>
          </w:p>
        </w:tc>
        <w:tc>
          <w:tcPr>
            <w:tcW w:type="dxa" w:w="1615"/>
            <w:shd w:val="clear" w:color="auto" w:fill="FFFFFF"/>
          </w:tcPr>
          <w:p>
            <w:r/>
            <w:r>
              <w:rPr>
                <w:rFonts w:ascii="Nunito Sans" w:hAnsi="Nunito Sans"/>
                <w:b w:val="0"/>
                <w:color w:val="4A4A5A"/>
                <w:sz w:val="19"/>
              </w:rPr>
              <w:t>NUNCA — archivo único</w:t>
            </w:r>
          </w:p>
        </w:tc>
      </w:tr>
    </w:tbl>
    <w:p/>
    <w:p>
      <w:pPr>
        <w:spacing w:before="200" w:after="120"/>
      </w:pPr>
      <w:r>
        <w:rPr>
          <w:rFonts w:ascii="Poppins" w:hAnsi="Poppins"/>
          <w:b/>
          <w:color w:val="1275A3"/>
          <w:sz w:val="26"/>
        </w:rPr>
        <w:t>5.1 Archivos con propagación segura en todas las apps</w:t>
      </w:r>
    </w:p>
    <w:tbl>
      <w:tblPr>
        <w:tblStyle w:val="TableGrid"/>
        <w:tblW w:type="auto" w:w="0"/>
        <w:tblLook w:firstColumn="1" w:firstRow="1" w:lastColumn="0" w:lastRow="0" w:noHBand="0" w:noVBand="1" w:val="04A0"/>
      </w:tblPr>
      <w:tblGrid>
        <w:gridCol w:w="3230"/>
        <w:gridCol w:w="3230"/>
        <w:gridCol w:w="3230"/>
      </w:tblGrid>
      <w:tr>
        <w:tc>
          <w:tcPr>
            <w:tcW w:type="dxa" w:w="2835"/>
            <w:shd w:val="clear" w:color="auto" w:fill="1275A3"/>
          </w:tcPr>
          <w:p>
            <w:r/>
            <w:r>
              <w:rPr>
                <w:rFonts w:ascii="Poppins" w:hAnsi="Poppins"/>
                <w:b/>
                <w:color w:val="FFFFFF"/>
                <w:sz w:val="18"/>
              </w:rPr>
              <w:t>Archivo</w:t>
            </w:r>
          </w:p>
        </w:tc>
        <w:tc>
          <w:tcPr>
            <w:tcW w:type="dxa" w:w="2268"/>
            <w:shd w:val="clear" w:color="auto" w:fill="1275A3"/>
          </w:tcPr>
          <w:p>
            <w:r/>
            <w:r>
              <w:rPr>
                <w:rFonts w:ascii="Poppins" w:hAnsi="Poppins"/>
                <w:b/>
                <w:color w:val="FFFFFF"/>
                <w:sz w:val="18"/>
              </w:rPr>
              <w:t>Tipo</w:t>
            </w:r>
          </w:p>
        </w:tc>
        <w:tc>
          <w:tcPr>
            <w:tcW w:type="dxa" w:w="4535"/>
            <w:shd w:val="clear" w:color="auto" w:fill="1275A3"/>
          </w:tcPr>
          <w:p>
            <w:r/>
            <w:r>
              <w:rPr>
                <w:rFonts w:ascii="Poppins" w:hAnsi="Poppins"/>
                <w:b/>
                <w:color w:val="FFFFFF"/>
                <w:sz w:val="18"/>
              </w:rPr>
              <w:t>Método de propagación</w:t>
            </w:r>
          </w:p>
        </w:tc>
      </w:tr>
      <w:tr>
        <w:tc>
          <w:tcPr>
            <w:tcW w:type="dxa" w:w="3230"/>
            <w:shd w:val="clear" w:color="auto" w:fill="FFFFFF"/>
          </w:tcPr>
          <w:p>
            <w:r/>
            <w:r>
              <w:rPr>
                <w:rFonts w:ascii="JetBrains Mono" w:hAnsi="JetBrains Mono"/>
                <w:b w:val="0"/>
                <w:color w:val="1275A3"/>
                <w:sz w:val="18"/>
              </w:rPr>
              <w:t>tiquets.js</w:t>
            </w:r>
          </w:p>
        </w:tc>
        <w:tc>
          <w:tcPr>
            <w:tcW w:type="dxa" w:w="3230"/>
            <w:shd w:val="clear" w:color="auto" w:fill="FFFFFF"/>
          </w:tcPr>
          <w:p>
            <w:r/>
            <w:r>
              <w:rPr>
                <w:rFonts w:ascii="Nunito Sans" w:hAnsi="Nunito Sans"/>
                <w:b w:val="0"/>
                <w:color w:val="4A4A5A"/>
                <w:sz w:val="19"/>
              </w:rPr>
              <w:t>CLON SEGURO × 8</w:t>
            </w:r>
          </w:p>
        </w:tc>
        <w:tc>
          <w:tcPr>
            <w:tcW w:type="dxa" w:w="3230"/>
            <w:shd w:val="clear" w:color="auto" w:fill="FFFFFF"/>
          </w:tcPr>
          <w:p>
            <w:r/>
            <w:r>
              <w:rPr>
                <w:rFonts w:ascii="Nunito Sans" w:hAnsi="Nunito Sans"/>
                <w:b w:val="0"/>
                <w:color w:val="4A4A5A"/>
                <w:sz w:val="19"/>
              </w:rPr>
              <w:t>sed — solo cambia this.appId</w:t>
            </w:r>
          </w:p>
        </w:tc>
      </w:tr>
      <w:tr>
        <w:tc>
          <w:tcPr>
            <w:tcW w:type="dxa" w:w="3230"/>
            <w:shd w:val="clear" w:color="auto" w:fill="F0F0F5"/>
          </w:tcPr>
          <w:p>
            <w:r/>
            <w:r>
              <w:rPr>
                <w:rFonts w:ascii="JetBrains Mono" w:hAnsi="JetBrains Mono"/>
                <w:b w:val="0"/>
                <w:color w:val="1275A3"/>
                <w:sz w:val="18"/>
              </w:rPr>
              <w:t>mapa-procesos.js</w:t>
            </w:r>
          </w:p>
        </w:tc>
        <w:tc>
          <w:tcPr>
            <w:tcW w:type="dxa" w:w="3230"/>
            <w:shd w:val="clear" w:color="auto" w:fill="F0F0F5"/>
          </w:tcPr>
          <w:p>
            <w:r/>
            <w:r>
              <w:rPr>
                <w:rFonts w:ascii="Nunito Sans" w:hAnsi="Nunito Sans"/>
                <w:b w:val="0"/>
                <w:color w:val="4A4A5A"/>
                <w:sz w:val="19"/>
              </w:rPr>
              <w:t>CLON SEGURO × 8</w:t>
            </w:r>
          </w:p>
        </w:tc>
        <w:tc>
          <w:tcPr>
            <w:tcW w:type="dxa" w:w="3230"/>
            <w:shd w:val="clear" w:color="auto" w:fill="F0F0F5"/>
          </w:tcPr>
          <w:p>
            <w:r/>
            <w:r>
              <w:rPr>
                <w:rFonts w:ascii="Nunito Sans" w:hAnsi="Nunito Sans"/>
                <w:b w:val="0"/>
                <w:color w:val="4A4A5A"/>
                <w:sz w:val="19"/>
              </w:rPr>
              <w:t>sed — solo cambia appId:</w:t>
            </w:r>
          </w:p>
        </w:tc>
      </w:tr>
      <w:tr>
        <w:tc>
          <w:tcPr>
            <w:tcW w:type="dxa" w:w="3230"/>
            <w:shd w:val="clear" w:color="auto" w:fill="FFFFFF"/>
          </w:tcPr>
          <w:p>
            <w:r/>
            <w:r>
              <w:rPr>
                <w:rFonts w:ascii="JetBrains Mono" w:hAnsi="JetBrains Mono"/>
                <w:b w:val="0"/>
                <w:color w:val="1275A3"/>
                <w:sz w:val="18"/>
              </w:rPr>
              <w:t>phase3-audit.js</w:t>
            </w:r>
          </w:p>
        </w:tc>
        <w:tc>
          <w:tcPr>
            <w:tcW w:type="dxa" w:w="3230"/>
            <w:shd w:val="clear" w:color="auto" w:fill="FFFFFF"/>
          </w:tcPr>
          <w:p>
            <w:r/>
            <w:r>
              <w:rPr>
                <w:rFonts w:ascii="Nunito Sans" w:hAnsi="Nunito Sans"/>
                <w:b w:val="0"/>
                <w:color w:val="4A4A5A"/>
                <w:sz w:val="19"/>
              </w:rPr>
              <w:t>CLON SEGURO × 8</w:t>
            </w:r>
          </w:p>
        </w:tc>
        <w:tc>
          <w:tcPr>
            <w:tcW w:type="dxa" w:w="3230"/>
            <w:shd w:val="clear" w:color="auto" w:fill="FFFFFF"/>
          </w:tcPr>
          <w:p>
            <w:r/>
            <w:r>
              <w:rPr>
                <w:rFonts w:ascii="Nunito Sans" w:hAnsi="Nunito Sans"/>
                <w:b w:val="0"/>
                <w:color w:val="4A4A5A"/>
                <w:sz w:val="19"/>
              </w:rPr>
              <w:t>cp directo — idéntico en todas las apps</w:t>
            </w:r>
          </w:p>
        </w:tc>
      </w:tr>
    </w:tbl>
    <w:p/>
    <w:p>
      <w:r>
        <w:br w:type="page"/>
      </w:r>
    </w:p>
    <w:p>
      <w:pPr>
        <w:spacing w:before="320" w:after="120"/>
        <w:pBdr>
          <w:bottom w:val="single" w:sz="8" w:color="1275A3"/>
        </w:pBdr>
      </w:pPr>
      <w:r>
        <w:rPr>
          <w:rFonts w:ascii="Poppins" w:hAnsi="Poppins"/>
          <w:b/>
          <w:color w:val="1A1A2E"/>
          <w:sz w:val="32"/>
        </w:rPr>
        <w:t>6. Correcciones aplicadas</w:t>
      </w:r>
    </w:p>
    <w:p>
      <w:pPr>
        <w:spacing w:before="200" w:after="120"/>
      </w:pPr>
      <w:r>
        <w:rPr>
          <w:rFonts w:ascii="Poppins" w:hAnsi="Poppins"/>
          <w:b/>
          <w:color w:val="1275A3"/>
          <w:sz w:val="26"/>
        </w:rPr>
        <w:t>6.1 Commits correctores</w:t>
      </w:r>
    </w:p>
    <w:tbl>
      <w:tblPr>
        <w:tblStyle w:val="TableGrid"/>
        <w:tblW w:type="auto" w:w="0"/>
        <w:tblLook w:firstColumn="1" w:firstRow="1" w:lastColumn="0" w:lastRow="0" w:noHBand="0" w:noVBand="1" w:val="04A0"/>
      </w:tblPr>
      <w:tblGrid>
        <w:gridCol w:w="2422"/>
        <w:gridCol w:w="2422"/>
        <w:gridCol w:w="2422"/>
        <w:gridCol w:w="2422"/>
      </w:tblGrid>
      <w:tr>
        <w:tc>
          <w:tcPr>
            <w:tcW w:type="dxa" w:w="1134"/>
            <w:shd w:val="clear" w:color="auto" w:fill="1275A3"/>
          </w:tcPr>
          <w:p>
            <w:r/>
            <w:r>
              <w:rPr>
                <w:rFonts w:ascii="Poppins" w:hAnsi="Poppins"/>
                <w:b/>
                <w:color w:val="FFFFFF"/>
                <w:sz w:val="18"/>
              </w:rPr>
              <w:t>Commit</w:t>
            </w:r>
          </w:p>
        </w:tc>
        <w:tc>
          <w:tcPr>
            <w:tcW w:type="dxa" w:w="4252"/>
            <w:shd w:val="clear" w:color="auto" w:fill="1275A3"/>
          </w:tcPr>
          <w:p>
            <w:r/>
            <w:r>
              <w:rPr>
                <w:rFonts w:ascii="Poppins" w:hAnsi="Poppins"/>
                <w:b/>
                <w:color w:val="FFFFFF"/>
                <w:sz w:val="18"/>
              </w:rPr>
              <w:t>Descripción</w:t>
            </w:r>
          </w:p>
        </w:tc>
        <w:tc>
          <w:tcPr>
            <w:tcW w:type="dxa" w:w="2551"/>
            <w:shd w:val="clear" w:color="auto" w:fill="1275A3"/>
          </w:tcPr>
          <w:p>
            <w:r/>
            <w:r>
              <w:rPr>
                <w:rFonts w:ascii="Poppins" w:hAnsi="Poppins"/>
                <w:b/>
                <w:color w:val="FFFFFF"/>
                <w:sz w:val="18"/>
              </w:rPr>
              <w:t>Archivos afectados</w:t>
            </w:r>
          </w:p>
        </w:tc>
        <w:tc>
          <w:tcPr>
            <w:tcW w:type="dxa" w:w="1701"/>
            <w:shd w:val="clear" w:color="auto" w:fill="1275A3"/>
          </w:tcPr>
          <w:p>
            <w:r/>
            <w:r>
              <w:rPr>
                <w:rFonts w:ascii="Poppins" w:hAnsi="Poppins"/>
                <w:b/>
                <w:color w:val="FFFFFF"/>
                <w:sz w:val="18"/>
              </w:rPr>
              <w:t>Impacto</w:t>
            </w:r>
          </w:p>
        </w:tc>
      </w:tr>
      <w:tr>
        <w:tc>
          <w:tcPr>
            <w:tcW w:type="dxa" w:w="2422"/>
            <w:shd w:val="clear" w:color="auto" w:fill="FFFFFF"/>
          </w:tcPr>
          <w:p>
            <w:r/>
            <w:r>
              <w:rPr>
                <w:rFonts w:ascii="JetBrains Mono" w:hAnsi="JetBrains Mono"/>
                <w:b w:val="0"/>
                <w:color w:val="1275A3"/>
                <w:sz w:val="18"/>
              </w:rPr>
              <w:t>9fea92b</w:t>
            </w:r>
          </w:p>
        </w:tc>
        <w:tc>
          <w:tcPr>
            <w:tcW w:type="dxa" w:w="2422"/>
            <w:shd w:val="clear" w:color="auto" w:fill="FFFFFF"/>
          </w:tcPr>
          <w:p>
            <w:r/>
            <w:r>
              <w:rPr>
                <w:rFonts w:ascii="Nunito Sans" w:hAnsi="Nunito Sans"/>
                <w:b w:val="0"/>
                <w:color w:val="4A4A5A"/>
                <w:sz w:val="19"/>
              </w:rPr>
              <w:t>fix(ENS): restaurar mejoras defc5ef (CCN-808 + Evolució + Snapshots) perdidas + reaplicar fixes innerHTML MP-1</w:t>
            </w:r>
          </w:p>
        </w:tc>
        <w:tc>
          <w:tcPr>
            <w:tcW w:type="dxa" w:w="2422"/>
            <w:shd w:val="clear" w:color="auto" w:fill="FFFFFF"/>
          </w:tcPr>
          <w:p>
            <w:r/>
            <w:r>
              <w:rPr>
                <w:rFonts w:ascii="Nunito Sans" w:hAnsi="Nunito Sans"/>
                <w:b w:val="0"/>
                <w:color w:val="4A4A5A"/>
                <w:sz w:val="19"/>
              </w:rPr>
              <w:t>ENS-RD311-2022/js/modules/phase2-consulting.js</w:t>
            </w:r>
          </w:p>
        </w:tc>
        <w:tc>
          <w:tcPr>
            <w:tcW w:type="dxa" w:w="2422"/>
            <w:shd w:val="clear" w:color="auto" w:fill="FFFFFF"/>
          </w:tcPr>
          <w:p>
            <w:r/>
            <w:r>
              <w:rPr>
                <w:rFonts w:ascii="Nunito Sans" w:hAnsi="Nunito Sans"/>
                <w:b w:val="0"/>
                <w:color w:val="4A4A5A"/>
                <w:sz w:val="19"/>
              </w:rPr>
              <w:t>+610 líneas restauradas</w:t>
            </w:r>
          </w:p>
        </w:tc>
      </w:tr>
      <w:tr>
        <w:tc>
          <w:tcPr>
            <w:tcW w:type="dxa" w:w="2422"/>
            <w:shd w:val="clear" w:color="auto" w:fill="F0F0F5"/>
          </w:tcPr>
          <w:p>
            <w:r/>
            <w:r>
              <w:rPr>
                <w:rFonts w:ascii="JetBrains Mono" w:hAnsi="JetBrains Mono"/>
                <w:b w:val="0"/>
                <w:color w:val="1275A3"/>
                <w:sz w:val="18"/>
              </w:rPr>
              <w:t>85ba45a</w:t>
            </w:r>
          </w:p>
        </w:tc>
        <w:tc>
          <w:tcPr>
            <w:tcW w:type="dxa" w:w="2422"/>
            <w:shd w:val="clear" w:color="auto" w:fill="F0F0F5"/>
          </w:tcPr>
          <w:p>
            <w:r/>
            <w:r>
              <w:rPr>
                <w:rFonts w:ascii="Nunito Sans" w:hAnsi="Nunito Sans"/>
                <w:b w:val="0"/>
                <w:color w:val="4A4A5A"/>
                <w:sz w:val="19"/>
              </w:rPr>
              <w:t>fix: restaurar variables correctas en renderNormaTab — ISO9001→ACTIVITY_GROUPS, ISO14001→CLAUSE_GROUPS</w:t>
            </w:r>
          </w:p>
        </w:tc>
        <w:tc>
          <w:tcPr>
            <w:tcW w:type="dxa" w:w="2422"/>
            <w:shd w:val="clear" w:color="auto" w:fill="F0F0F5"/>
          </w:tcPr>
          <w:p>
            <w:r/>
            <w:r>
              <w:rPr>
                <w:rFonts w:ascii="Nunito Sans" w:hAnsi="Nunito Sans"/>
                <w:b w:val="0"/>
                <w:color w:val="4A4A5A"/>
                <w:sz w:val="19"/>
              </w:rPr>
              <w:t>6 archivos (ISO9001, ISO14001-2015, ISO14001-2026)</w:t>
            </w:r>
          </w:p>
        </w:tc>
        <w:tc>
          <w:tcPr>
            <w:tcW w:type="dxa" w:w="2422"/>
            <w:shd w:val="clear" w:color="auto" w:fill="F0F0F5"/>
          </w:tcPr>
          <w:p>
            <w:r/>
            <w:r>
              <w:rPr>
                <w:rFonts w:ascii="Nunito Sans" w:hAnsi="Nunito Sans"/>
                <w:b w:val="0"/>
                <w:color w:val="4A4A5A"/>
                <w:sz w:val="19"/>
              </w:rPr>
              <w:t>"Punts de Norma" operativo</w:t>
            </w:r>
          </w:p>
        </w:tc>
      </w:tr>
      <w:tr>
        <w:tc>
          <w:tcPr>
            <w:tcW w:type="dxa" w:w="2422"/>
            <w:shd w:val="clear" w:color="auto" w:fill="FFFFFF"/>
          </w:tcPr>
          <w:p>
            <w:r/>
            <w:r>
              <w:rPr>
                <w:rFonts w:ascii="JetBrains Mono" w:hAnsi="JetBrains Mono"/>
                <w:b w:val="0"/>
                <w:color w:val="1275A3"/>
                <w:sz w:val="18"/>
              </w:rPr>
              <w:t>fe6e71b</w:t>
            </w:r>
          </w:p>
        </w:tc>
        <w:tc>
          <w:tcPr>
            <w:tcW w:type="dxa" w:w="2422"/>
            <w:shd w:val="clear" w:color="auto" w:fill="FFFFFF"/>
          </w:tcPr>
          <w:p>
            <w:r/>
            <w:r>
              <w:rPr>
                <w:rFonts w:ascii="Nunito Sans" w:hAnsi="Nunito Sans"/>
                <w:b w:val="0"/>
                <w:color w:val="4A4A5A"/>
                <w:sz w:val="19"/>
              </w:rPr>
              <w:t>fix: migración suave documentosPropuestos vacíos en ISO9001/ISO14001 — recupera plantillas propuestas</w:t>
            </w:r>
          </w:p>
        </w:tc>
        <w:tc>
          <w:tcPr>
            <w:tcW w:type="dxa" w:w="2422"/>
            <w:shd w:val="clear" w:color="auto" w:fill="FFFFFF"/>
          </w:tcPr>
          <w:p>
            <w:r/>
            <w:r>
              <w:rPr>
                <w:rFonts w:ascii="Nunito Sans" w:hAnsi="Nunito Sans"/>
                <w:b w:val="0"/>
                <w:color w:val="4A4A5A"/>
                <w:sz w:val="19"/>
              </w:rPr>
              <w:t>6 archivos (ISO9001, ISO14001-2015, ISO14001-2026)</w:t>
            </w:r>
          </w:p>
        </w:tc>
        <w:tc>
          <w:tcPr>
            <w:tcW w:type="dxa" w:w="2422"/>
            <w:shd w:val="clear" w:color="auto" w:fill="FFFFFF"/>
          </w:tcPr>
          <w:p>
            <w:r/>
            <w:r>
              <w:rPr>
                <w:rFonts w:ascii="Nunito Sans" w:hAnsi="Nunito Sans"/>
                <w:b w:val="0"/>
                <w:color w:val="4A4A5A"/>
                <w:sz w:val="19"/>
              </w:rPr>
              <w:t>Plantillas propuestas restauradas</w:t>
            </w:r>
          </w:p>
        </w:tc>
      </w:tr>
    </w:tbl>
    <w:p/>
    <w:p>
      <w:pPr>
        <w:spacing w:before="200" w:after="120"/>
      </w:pPr>
      <w:r>
        <w:rPr>
          <w:rFonts w:ascii="Poppins" w:hAnsi="Poppins"/>
          <w:b/>
          <w:color w:val="1275A3"/>
          <w:sz w:val="26"/>
        </w:rPr>
        <w:t>6.2 Procedimiento de restauración ENS</w:t>
      </w:r>
    </w:p>
    <w:p>
      <w:pPr>
        <w:spacing w:before="80" w:after="40"/>
      </w:pPr>
      <w:r>
        <w:rPr>
          <w:rFonts w:ascii="Poppins" w:hAnsi="Poppins"/>
          <w:b/>
          <w:color w:val="1275A3"/>
          <w:sz w:val="20"/>
        </w:rPr>
        <w:t xml:space="preserve">PASO 1: </w:t>
      </w:r>
      <w:r>
        <w:rPr>
          <w:rFonts w:ascii="Nunito Sans" w:hAnsi="Nunito Sans"/>
          <w:color w:val="4A4A5A"/>
          <w:sz w:val="20"/>
        </w:rPr>
        <w:t>Recuperar el archivo previo al incidente desde el commit defc5ef:</w:t>
      </w:r>
    </w:p>
    <w:tbl>
      <w:tblPr>
        <w:tblStyle w:val="TableGrid"/>
        <w:tblW w:type="auto" w:w="0"/>
        <w:tblLook w:firstColumn="1" w:firstRow="1" w:lastColumn="0" w:lastRow="0" w:noHBand="0" w:noVBand="1" w:val="04A0"/>
      </w:tblPr>
      <w:tblGrid>
        <w:gridCol w:w="9689"/>
      </w:tblGrid>
      <w:tr>
        <w:tc>
          <w:tcPr>
            <w:tcW w:type="dxa" w:w="9689"/>
            <w:shd w:val="clear" w:color="auto" w:fill="2B2B3B"/>
          </w:tcPr>
          <w:p>
            <w:pPr>
              <w:spacing w:before="80" w:after="80"/>
            </w:pPr>
            <w:r>
              <w:rPr>
                <w:rFonts w:ascii="JetBrains Mono" w:hAnsi="JetBrains Mono"/>
                <w:color w:val="CDD6F4"/>
                <w:sz w:val="17"/>
              </w:rPr>
              <w:t>git checkout defc5ef -- ENS-RD311-2022/js/modules/phase2-consulting.js</w:t>
            </w:r>
          </w:p>
        </w:tc>
      </w:tr>
    </w:tbl>
    <w:p/>
    <w:p>
      <w:pPr>
        <w:spacing w:before="80" w:after="40"/>
      </w:pPr>
      <w:r>
        <w:rPr>
          <w:rFonts w:ascii="Poppins" w:hAnsi="Poppins"/>
          <w:b/>
          <w:color w:val="1275A3"/>
          <w:sz w:val="20"/>
        </w:rPr>
        <w:t xml:space="preserve">PASO 2: </w:t>
      </w:r>
      <w:r>
        <w:rPr>
          <w:rFonts w:ascii="Nunito Sans" w:hAnsi="Nunito Sans"/>
          <w:color w:val="4A4A5A"/>
          <w:sz w:val="20"/>
        </w:rPr>
        <w:t>Aplicar patch quirúrgico Python para los 4 fixes del commit 22379b8 válidos:</w:t>
      </w:r>
    </w:p>
    <w:tbl>
      <w:tblPr>
        <w:tblStyle w:val="TableGrid"/>
        <w:tblW w:type="auto" w:w="0"/>
        <w:tblLook w:firstColumn="1" w:firstRow="1" w:lastColumn="0" w:lastRow="0" w:noHBand="0" w:noVBand="1" w:val="04A0"/>
      </w:tblPr>
      <w:tblGrid>
        <w:gridCol w:w="9689"/>
      </w:tblGrid>
      <w:tr>
        <w:tc>
          <w:tcPr>
            <w:tcW w:type="dxa" w:w="9689"/>
            <w:shd w:val="clear" w:color="auto" w:fill="2B2B3B"/>
          </w:tcPr>
          <w:p>
            <w:pPr>
              <w:spacing w:before="80" w:after="80"/>
            </w:pPr>
            <w:r>
              <w:rPr>
                <w:rFonts w:ascii="JetBrains Mono" w:hAnsi="JetBrains Mono"/>
                <w:color w:val="CDD6F4"/>
                <w:sz w:val="17"/>
              </w:rPr>
              <w:t>src = src.replace(OLD_VERSION_SNIPPET, NEW_VERSION_SNIPPET)</w:t>
              <w:br/>
              <w:t>src = src.replace(OLD_OLLAMA_SNIPPET, NEW_OLLAMA_SNIPPET)</w:t>
              <w:br/>
              <w:t>src = src.replace(OLD_RESULT_SNIPPET, NEW_RESULT_SNIPPET)</w:t>
              <w:br/>
              <w:t>src = src.replace(OLD_ERROR_SNIPPET, NEW_ERROR_SNIPPET)</w:t>
            </w:r>
          </w:p>
        </w:tc>
      </w:tr>
    </w:tbl>
    <w:p/>
    <w:p>
      <w:pPr>
        <w:spacing w:before="80" w:after="40"/>
      </w:pPr>
      <w:r>
        <w:rPr>
          <w:rFonts w:ascii="Poppins" w:hAnsi="Poppins"/>
          <w:b/>
          <w:color w:val="1275A3"/>
          <w:sz w:val="20"/>
        </w:rPr>
        <w:t xml:space="preserve">PASO 3: </w:t>
      </w:r>
      <w:r>
        <w:rPr>
          <w:rFonts w:ascii="Nunito Sans" w:hAnsi="Nunito Sans"/>
          <w:color w:val="4A4A5A"/>
          <w:sz w:val="20"/>
        </w:rPr>
        <w:t>Bump de versión en ENS-RD311-2022/index.html: 20260928c → 20260930b</w:t>
      </w:r>
    </w:p>
    <w:p>
      <w:pPr>
        <w:spacing w:before="80" w:after="40"/>
      </w:pPr>
      <w:r>
        <w:rPr>
          <w:rFonts w:ascii="Poppins" w:hAnsi="Poppins"/>
          <w:b/>
          <w:color w:val="1275A3"/>
          <w:sz w:val="20"/>
        </w:rPr>
        <w:t xml:space="preserve">PASO 4: </w:t>
      </w:r>
      <w:r>
        <w:rPr>
          <w:rFonts w:ascii="Nunito Sans" w:hAnsi="Nunito Sans"/>
          <w:color w:val="4A4A5A"/>
          <w:sz w:val="20"/>
        </w:rPr>
        <w:t>Verificación de integridad ENS:</w:t>
      </w:r>
    </w:p>
    <w:tbl>
      <w:tblPr>
        <w:tblStyle w:val="TableGrid"/>
        <w:tblW w:type="auto" w:w="0"/>
        <w:tblLook w:firstColumn="1" w:firstRow="1" w:lastColumn="0" w:lastRow="0" w:noHBand="0" w:noVBand="1" w:val="04A0"/>
      </w:tblPr>
      <w:tblGrid>
        <w:gridCol w:w="9689"/>
      </w:tblGrid>
      <w:tr>
        <w:tc>
          <w:tcPr>
            <w:tcW w:type="dxa" w:w="9689"/>
            <w:shd w:val="clear" w:color="auto" w:fill="2B2B3B"/>
          </w:tcPr>
          <w:p>
            <w:pPr>
              <w:spacing w:before="80" w:after="80"/>
            </w:pPr>
            <w:r>
              <w:rPr>
                <w:rFonts w:ascii="JetBrains Mono" w:hAnsi="JetBrains Mono"/>
                <w:color w:val="CDD6F4"/>
                <w:sz w:val="17"/>
              </w:rPr>
              <w:t>grep -c "_seg808Data\|renderEvolucion\|takeSnapshot\|desglosarLineaCSV" \</w:t>
              <w:br/>
              <w:t xml:space="preserve">  ENS-RD311-2022/js/modules/phase2-consulting.js</w:t>
              <w:br/>
              <w:t># Resultado esperado: 4</w:t>
            </w:r>
          </w:p>
        </w:tc>
      </w:tr>
    </w:tbl>
    <w:p/>
    <w:tbl>
      <w:tblPr>
        <w:tblStyle w:val="TableGrid"/>
        <w:tblW w:type="auto" w:w="0"/>
        <w:tblLook w:firstColumn="1" w:firstRow="1" w:lastColumn="0" w:lastRow="0" w:noHBand="0" w:noVBand="1" w:val="04A0"/>
      </w:tblPr>
      <w:tblGrid>
        <w:gridCol w:w="9689"/>
      </w:tblGrid>
      <w:tr>
        <w:tc>
          <w:tcPr>
            <w:tcW w:type="dxa" w:w="9689"/>
            <w:shd w:val="clear" w:color="auto" w:fill="F0FAF4"/>
            <w:tcBorders>
              <w:left w:val="single" w:sz="48" w:color="1A7A4A"/>
              <w:top w:val="none"/>
              <w:right w:val="none"/>
              <w:bottom w:val="none"/>
              <w:insideH w:val="none"/>
              <w:insideV w:val="none"/>
            </w:tcBorders>
          </w:tcPr>
          <w:p>
            <w:r>
              <w:rPr>
                <w:rFonts w:ascii="Nunito Sans" w:hAnsi="Nunito Sans"/>
                <w:b/>
                <w:color w:val="1A7A4A"/>
                <w:sz w:val="20"/>
              </w:rPr>
              <w:t xml:space="preserve">✅ Estado final: Las 3 apps afectadas (ENS, ISO9001, ISO14001) han recuperado toda su funcionalidad. El ecosistema está operativo al 100%. </w:t>
            </w:r>
            <w:r>
              <w:rPr>
                <w:rFonts w:ascii="Nunito Sans" w:hAnsi="Nunito Sans"/>
                <w:color w:val="4A4A5A"/>
                <w:sz w:val="20"/>
              </w:rPr>
            </w:r>
          </w:p>
        </w:tc>
      </w:tr>
    </w:tbl>
    <w:p/>
    <w:p>
      <w:r>
        <w:br w:type="page"/>
      </w:r>
    </w:p>
    <w:p>
      <w:pPr>
        <w:spacing w:before="320" w:after="120"/>
        <w:pBdr>
          <w:bottom w:val="single" w:sz="8" w:color="1275A3"/>
        </w:pBdr>
      </w:pPr>
      <w:r>
        <w:rPr>
          <w:rFonts w:ascii="Poppins" w:hAnsi="Poppins"/>
          <w:b/>
          <w:color w:val="1A1A2E"/>
          <w:sz w:val="32"/>
        </w:rPr>
        <w:t>7. Mejoras preventivas implementadas</w:t>
      </w:r>
    </w:p>
    <w:p>
      <w:pPr>
        <w:spacing w:before="40" w:after="120"/>
      </w:pPr>
      <w:r>
        <w:rPr>
          <w:rFonts w:ascii="Nunito Sans" w:hAnsi="Nunito Sans"/>
          <w:color w:val="4A4A5A"/>
          <w:sz w:val="21"/>
        </w:rPr>
        <w:t>Se implementaron 4 mejoras estructurales para eliminar los tres vectores causales identificados:</w:t>
      </w:r>
    </w:p>
    <w:p>
      <w:pPr>
        <w:spacing w:before="200" w:after="120"/>
      </w:pPr>
      <w:r>
        <w:rPr>
          <w:rFonts w:ascii="Poppins" w:hAnsi="Poppins"/>
          <w:b/>
          <w:color w:val="1275A3"/>
          <w:sz w:val="26"/>
        </w:rPr>
        <w:t>Mejora 1 — PROPAGATION_RULES.md (nuevo archivo, 233 líneas)</w:t>
      </w:r>
    </w:p>
    <w:p>
      <w:pPr>
        <w:spacing w:before="40" w:after="120"/>
      </w:pPr>
      <w:r>
        <w:rPr>
          <w:rFonts w:ascii="Nunito Sans" w:hAnsi="Nunito Sans"/>
          <w:color w:val="4A4A5A"/>
          <w:sz w:val="21"/>
        </w:rPr>
        <w:t>Se creó un archivo dedicado PROPAGATION_RULES.md en el workspace PLATAFORMA_OpenCode-NEW con la clasificación completa BASE/CLON SEGURO/DIVERGENTE/PROPIO de todos los archivos JS entre las 9 apps. Incluye tablas de clasificación, workflow paso a paso para 5 casos, script de verificación ENS (umbral ≥580 líneas exclusivas) y lista de funciones exclusivas que nunca deben perderse. Cargado automáticamente por OpenCode como segunda instrucción.</w:t>
      </w:r>
    </w:p>
    <w:p>
      <w:pPr>
        <w:spacing w:before="200" w:after="120"/>
      </w:pPr>
      <w:r>
        <w:rPr>
          <w:rFonts w:ascii="Poppins" w:hAnsi="Poppins"/>
          <w:b/>
          <w:color w:val="1275A3"/>
          <w:sz w:val="26"/>
        </w:rPr>
        <w:t>Mejora 2 — opencode.json actualizado</w:t>
      </w:r>
    </w:p>
    <w:p>
      <w:pPr>
        <w:spacing w:before="40" w:after="120"/>
      </w:pPr>
      <w:r>
        <w:rPr>
          <w:rFonts w:ascii="Nunito Sans" w:hAnsi="Nunito Sans"/>
          <w:color w:val="4A4A5A"/>
          <w:sz w:val="21"/>
        </w:rPr>
        <w:t>Se actualizó el campo "instructions" para cargar ambos archivos al inicio de cada sesión: ["AGENTS.md", "PROPAGATION_RULES.md"]. De este modo OpenCode tiene acceso a la clasificación completa antes de ejecutar cualquier operación de propagación.</w:t>
      </w:r>
    </w:p>
    <w:p>
      <w:pPr>
        <w:spacing w:before="200" w:after="120"/>
      </w:pPr>
      <w:r>
        <w:rPr>
          <w:rFonts w:ascii="Poppins" w:hAnsi="Poppins"/>
          <w:b/>
          <w:color w:val="1275A3"/>
          <w:sz w:val="26"/>
        </w:rPr>
        <w:t>Mejora 3 — AGENTS.md principal limpiado</w:t>
      </w:r>
    </w:p>
    <w:p>
      <w:pPr>
        <w:spacing w:before="40" w:after="120"/>
      </w:pPr>
      <w:r>
        <w:rPr>
          <w:rFonts w:ascii="Nunito Sans" w:hAnsi="Nunito Sans"/>
          <w:color w:val="4A4A5A"/>
          <w:sz w:val="21"/>
        </w:rPr>
        <w:t>Se detectó y eliminó el contenido duplicado del AGENTS.md principal (el archivo contenía dos copias íntegras del mismo texto). Reducido de 1129 a 641 líneas. Las reglas de propagación incompletas fueron reemplazadas por referencias explícitas a PROPAGATION_RULES.md.</w:t>
      </w:r>
    </w:p>
    <w:p>
      <w:pPr>
        <w:spacing w:before="200" w:after="120"/>
      </w:pPr>
      <w:r>
        <w:rPr>
          <w:rFonts w:ascii="Poppins" w:hAnsi="Poppins"/>
          <w:b/>
          <w:color w:val="1275A3"/>
          <w:sz w:val="26"/>
        </w:rPr>
        <w:t>Mejora 4 — Hub raíz ~/Proyectos/AGENTS.md actualizado</w:t>
      </w:r>
    </w:p>
    <w:p>
      <w:pPr>
        <w:spacing w:before="40" w:after="120"/>
      </w:pPr>
      <w:r>
        <w:rPr>
          <w:rFonts w:ascii="Nunito Sans" w:hAnsi="Nunito Sans"/>
          <w:color w:val="4A4A5A"/>
          <w:sz w:val="21"/>
        </w:rPr>
        <w:t>Rutas corregidas (PLATAFORMA_OpenCode → PLATAFORMA_OpenCode-NEW, etc.), nueva sección "Arquitectura de instrucciones OpenCode" con jerarquía completa de AGENTS.md por workspace, tabla de servidores Flask activos y estado real de AGENTS.md por proyecto.</w:t>
      </w:r>
    </w:p>
    <w:tbl>
      <w:tblPr>
        <w:tblStyle w:val="TableGrid"/>
        <w:tblW w:type="auto" w:w="0"/>
        <w:tblLook w:firstColumn="1" w:firstRow="1" w:lastColumn="0" w:lastRow="0" w:noHBand="0" w:noVBand="1" w:val="04A0"/>
      </w:tblPr>
      <w:tblGrid>
        <w:gridCol w:w="9689"/>
      </w:tblGrid>
      <w:tr>
        <w:tc>
          <w:tcPr>
            <w:tcW w:type="dxa" w:w="9689"/>
            <w:shd w:val="clear" w:color="auto" w:fill="F0FAF4"/>
            <w:tcBorders>
              <w:left w:val="single" w:sz="48" w:color="1A7A4A"/>
              <w:top w:val="none"/>
              <w:right w:val="none"/>
              <w:bottom w:val="none"/>
              <w:insideH w:val="none"/>
              <w:insideV w:val="none"/>
            </w:tcBorders>
          </w:tcPr>
          <w:p>
            <w:r>
              <w:rPr>
                <w:rFonts w:ascii="Nunito Sans" w:hAnsi="Nunito Sans"/>
                <w:b/>
                <w:color w:val="1A7A4A"/>
                <w:sz w:val="20"/>
              </w:rPr>
              <w:t xml:space="preserve">✅ Vectores corregidos: Los tres vectores causales han sido eliminados mediante estas 4 mejoras. OpenCode ahora carga PROPAGATION_RULES.md en cada sesión y tiene acceso a la clasificación completa de tipos desde el workspace activo. </w:t>
            </w:r>
            <w:r>
              <w:rPr>
                <w:rFonts w:ascii="Nunito Sans" w:hAnsi="Nunito Sans"/>
                <w:color w:val="4A4A5A"/>
                <w:sz w:val="20"/>
              </w:rPr>
            </w:r>
          </w:p>
        </w:tc>
      </w:tr>
    </w:tbl>
    <w:p/>
    <w:p>
      <w:r>
        <w:br w:type="page"/>
      </w:r>
    </w:p>
    <w:p>
      <w:pPr>
        <w:spacing w:before="320" w:after="120"/>
        <w:pBdr>
          <w:bottom w:val="single" w:sz="8" w:color="1275A3"/>
        </w:pBdr>
      </w:pPr>
      <w:r>
        <w:rPr>
          <w:rFonts w:ascii="Poppins" w:hAnsi="Poppins"/>
          <w:b/>
          <w:color w:val="1A1A2E"/>
          <w:sz w:val="32"/>
        </w:rPr>
        <w:t>8. Workflow de propagación seguro (definitivo)</w:t>
      </w:r>
    </w:p>
    <w:tbl>
      <w:tblPr>
        <w:tblStyle w:val="TableGrid"/>
        <w:tblW w:type="auto" w:w="0"/>
        <w:tblLook w:firstColumn="1" w:firstRow="1" w:lastColumn="0" w:lastRow="0" w:noHBand="0" w:noVBand="1" w:val="04A0"/>
      </w:tblPr>
      <w:tblGrid>
        <w:gridCol w:w="9689"/>
      </w:tblGrid>
      <w:tr>
        <w:tc>
          <w:tcPr>
            <w:tcW w:type="dxa" w:w="9689"/>
            <w:shd w:val="clear" w:color="auto" w:fill="FEF9E7"/>
            <w:tcBorders>
              <w:left w:val="single" w:sz="48" w:color="B7770D"/>
              <w:top w:val="none"/>
              <w:right w:val="none"/>
              <w:bottom w:val="none"/>
              <w:insideH w:val="none"/>
              <w:insideV w:val="none"/>
            </w:tcBorders>
          </w:tcPr>
          <w:p>
            <w:r>
              <w:rPr>
                <w:rFonts w:ascii="Nunito Sans" w:hAnsi="Nunito Sans"/>
                <w:b/>
                <w:color w:val="B7770D"/>
                <w:sz w:val="20"/>
              </w:rPr>
              <w:t xml:space="preserve">⚠️ Regla fundamental: Antes de propagar cualquier archivo JS entre apps, identificar su TIPO en PROPAGATION_RULES.md. Nunca asumir que todas las apps son iguales. </w:t>
            </w:r>
            <w:r>
              <w:rPr>
                <w:rFonts w:ascii="Nunito Sans" w:hAnsi="Nunito Sans"/>
                <w:color w:val="4A4A5A"/>
                <w:sz w:val="20"/>
              </w:rPr>
            </w:r>
          </w:p>
        </w:tc>
      </w:tr>
    </w:tbl>
    <w:p/>
    <w:p>
      <w:pPr>
        <w:spacing w:before="200" w:after="120"/>
      </w:pPr>
      <w:r>
        <w:rPr>
          <w:rFonts w:ascii="Poppins" w:hAnsi="Poppins"/>
          <w:b/>
          <w:color w:val="1275A3"/>
          <w:sz w:val="26"/>
        </w:rPr>
        <w:t>Caso 1 — Fix en phase2-consulting.js</w:t>
      </w:r>
    </w:p>
    <w:p>
      <w:pPr>
        <w:pStyle w:val="ListBullet"/>
        <w:spacing w:after="60"/>
        <w:ind w:left="283"/>
      </w:pPr>
      <w:r>
        <w:rPr>
          <w:rFonts w:ascii="Nunito Sans" w:hAnsi="Nunito Sans"/>
          <w:color w:val="4A4A5A"/>
          <w:sz w:val="20"/>
        </w:rPr>
        <w:t>PASO 1: Editar ISO27001-SGSI/js/modules/phase2-consulting.js (archivo BASE)</w:t>
      </w:r>
    </w:p>
    <w:p>
      <w:pPr>
        <w:pStyle w:val="ListBullet"/>
        <w:spacing w:after="60"/>
        <w:ind w:left="283"/>
      </w:pPr>
      <w:r>
        <w:rPr>
          <w:rFonts w:ascii="Nunito Sans" w:hAnsi="Nunito Sans"/>
          <w:color w:val="4A4A5A"/>
          <w:sz w:val="20"/>
        </w:rPr>
        <w:t>PASO 2: Propagar a RGPD/ISO27701/ISO42001 con sed — son CLONES SEGUROS (solo appId)</w:t>
      </w:r>
    </w:p>
    <w:p>
      <w:pPr>
        <w:pStyle w:val="ListBullet"/>
        <w:spacing w:after="60"/>
        <w:ind w:left="283"/>
      </w:pPr>
      <w:r>
        <w:rPr>
          <w:rFonts w:ascii="Nunito Sans" w:hAnsi="Nunito Sans"/>
          <w:color w:val="4A4A5A"/>
          <w:sz w:val="20"/>
        </w:rPr>
        <w:t>PASO 3: ENS → patch quirúrgico Python SOLAMENTE — nunca cp, nunca sed completo</w:t>
      </w:r>
    </w:p>
    <w:p>
      <w:pPr>
        <w:pStyle w:val="ListBullet"/>
        <w:spacing w:after="60"/>
        <w:ind w:left="283"/>
      </w:pPr>
      <w:r>
        <w:rPr>
          <w:rFonts w:ascii="Nunito Sans" w:hAnsi="Nunito Sans"/>
          <w:color w:val="4A4A5A"/>
          <w:sz w:val="20"/>
        </w:rPr>
        <w:t>PASO 4: Ejecutar script de verificación de integridad ENS (≥580 líneas)</w:t>
      </w:r>
    </w:p>
    <w:p>
      <w:pPr>
        <w:pStyle w:val="ListBullet"/>
        <w:spacing w:after="60"/>
        <w:ind w:left="283"/>
      </w:pPr>
      <w:r>
        <w:rPr>
          <w:rFonts w:ascii="Nunito Sans" w:hAnsi="Nunito Sans"/>
          <w:color w:val="4A4A5A"/>
          <w:sz w:val="20"/>
        </w:rPr>
        <w:t>PASO 5: Bump versión en los 5 index.html de apps consulting</w:t>
      </w:r>
    </w:p>
    <w:p>
      <w:pPr>
        <w:spacing w:before="200" w:after="120"/>
      </w:pPr>
      <w:r>
        <w:rPr>
          <w:rFonts w:ascii="Poppins" w:hAnsi="Poppins"/>
          <w:b/>
          <w:color w:val="1275A3"/>
          <w:sz w:val="26"/>
        </w:rPr>
        <w:t>Caso 2 — Fix en tiquets.js o mapa-procesos.js</w:t>
      </w:r>
    </w:p>
    <w:p>
      <w:pPr>
        <w:pStyle w:val="ListBullet"/>
        <w:spacing w:after="60"/>
        <w:ind w:left="283"/>
      </w:pPr>
      <w:r>
        <w:rPr>
          <w:rFonts w:ascii="Nunito Sans" w:hAnsi="Nunito Sans"/>
          <w:color w:val="4A4A5A"/>
          <w:sz w:val="20"/>
        </w:rPr>
        <w:t>PASO 1: Editar ISO27001-SGSI (BASE)</w:t>
      </w:r>
    </w:p>
    <w:p>
      <w:pPr>
        <w:pStyle w:val="ListBullet"/>
        <w:spacing w:after="60"/>
        <w:ind w:left="283"/>
      </w:pPr>
      <w:r>
        <w:rPr>
          <w:rFonts w:ascii="Nunito Sans" w:hAnsi="Nunito Sans"/>
          <w:color w:val="4A4A5A"/>
          <w:sz w:val="20"/>
        </w:rPr>
        <w:t>PASO 2: Propagar a las 8 apps con sed — todas son CLONES SEGUROS</w:t>
      </w:r>
    </w:p>
    <w:p>
      <w:pPr>
        <w:pStyle w:val="ListBullet"/>
        <w:spacing w:after="60"/>
        <w:ind w:left="283"/>
      </w:pPr>
      <w:r>
        <w:rPr>
          <w:rFonts w:ascii="Nunito Sans" w:hAnsi="Nunito Sans"/>
          <w:color w:val="4A4A5A"/>
          <w:sz w:val="20"/>
        </w:rPr>
        <w:t>PASO 3: Bump versión en los 9 index.html</w:t>
      </w:r>
    </w:p>
    <w:p>
      <w:pPr>
        <w:spacing w:before="200" w:after="120"/>
      </w:pPr>
      <w:r>
        <w:rPr>
          <w:rFonts w:ascii="Poppins" w:hAnsi="Poppins"/>
          <w:b/>
          <w:color w:val="1275A3"/>
          <w:sz w:val="26"/>
        </w:rPr>
        <w:t>Caso 3 — Fix en phase2-implementation.js</w:t>
      </w:r>
    </w:p>
    <w:p>
      <w:pPr>
        <w:pStyle w:val="ListBullet"/>
        <w:spacing w:after="60"/>
        <w:ind w:left="283"/>
      </w:pPr>
      <w:r>
        <w:rPr>
          <w:rFonts w:ascii="Nunito Sans" w:hAnsi="Nunito Sans"/>
          <w:color w:val="4A4A5A"/>
          <w:sz w:val="20"/>
        </w:rPr>
        <w:t>PASO 1: Identificar qué apps específicas requieren el fix</w:t>
      </w:r>
    </w:p>
    <w:p>
      <w:pPr>
        <w:pStyle w:val="ListBullet"/>
        <w:spacing w:after="60"/>
        <w:ind w:left="283"/>
      </w:pPr>
      <w:r>
        <w:rPr>
          <w:rFonts w:ascii="Nunito Sans" w:hAnsi="Nunito Sans"/>
          <w:color w:val="4A4A5A"/>
          <w:sz w:val="20"/>
        </w:rPr>
        <w:t>PASO 2: Editar cada app por separado (ISO9001, ISO14001-2015, ISO14001-2026) — TIPO D PROPIO</w:t>
      </w:r>
    </w:p>
    <w:p>
      <w:pPr>
        <w:pStyle w:val="ListBullet"/>
        <w:spacing w:after="60"/>
        <w:ind w:left="283"/>
      </w:pPr>
      <w:r>
        <w:rPr>
          <w:rFonts w:ascii="Nunito Sans" w:hAnsi="Nunito Sans"/>
          <w:color w:val="4A4A5A"/>
          <w:sz w:val="20"/>
        </w:rPr>
        <w:t>PASO 3: Bump versión en los index.html de las apps afectadas</w:t>
      </w:r>
    </w:p>
    <w:p>
      <w:pPr>
        <w:spacing w:before="200" w:after="120"/>
      </w:pPr>
      <w:r>
        <w:rPr>
          <w:rFonts w:ascii="Poppins" w:hAnsi="Poppins"/>
          <w:b/>
          <w:color w:val="1275A3"/>
          <w:sz w:val="26"/>
        </w:rPr>
        <w:t>Caso 4 — Fix en phase3-audit.js</w:t>
      </w:r>
    </w:p>
    <w:p>
      <w:pPr>
        <w:pStyle w:val="ListBullet"/>
        <w:spacing w:after="60"/>
        <w:ind w:left="283"/>
      </w:pPr>
      <w:r>
        <w:rPr>
          <w:rFonts w:ascii="Nunito Sans" w:hAnsi="Nunito Sans"/>
          <w:color w:val="4A4A5A"/>
          <w:sz w:val="20"/>
        </w:rPr>
        <w:t>PASO 1: Editar ISO27001-SGSI/js/modules/phase3-audit.js (BASE)</w:t>
      </w:r>
    </w:p>
    <w:p>
      <w:pPr>
        <w:pStyle w:val="ListBullet"/>
        <w:spacing w:after="60"/>
        <w:ind w:left="283"/>
      </w:pPr>
      <w:r>
        <w:rPr>
          <w:rFonts w:ascii="Nunito Sans" w:hAnsi="Nunito Sans"/>
          <w:color w:val="4A4A5A"/>
          <w:sz w:val="20"/>
        </w:rPr>
        <w:t>PASO 2: Copiar con cp a las 8 apps restantes — idéntico en todas</w:t>
      </w:r>
    </w:p>
    <w:p>
      <w:pPr>
        <w:pStyle w:val="ListBullet"/>
        <w:spacing w:after="60"/>
        <w:ind w:left="283"/>
      </w:pPr>
      <w:r>
        <w:rPr>
          <w:rFonts w:ascii="Nunito Sans" w:hAnsi="Nunito Sans"/>
          <w:color w:val="4A4A5A"/>
          <w:sz w:val="20"/>
        </w:rPr>
        <w:t>PASO 3: Bump versión en los 9 index.html</w:t>
      </w:r>
    </w:p>
    <w:p>
      <w:pPr>
        <w:spacing w:before="200" w:after="120"/>
      </w:pPr>
      <w:r>
        <w:rPr>
          <w:rFonts w:ascii="Poppins" w:hAnsi="Poppins"/>
          <w:b/>
          <w:color w:val="1275A3"/>
          <w:sz w:val="26"/>
        </w:rPr>
        <w:t>Caso 5 — Fix en phase2-isms.js</w:t>
      </w:r>
    </w:p>
    <w:p>
      <w:pPr>
        <w:pStyle w:val="ListBullet"/>
        <w:spacing w:after="60"/>
        <w:ind w:left="283"/>
      </w:pPr>
      <w:r>
        <w:rPr>
          <w:rFonts w:ascii="Nunito Sans" w:hAnsi="Nunito Sans"/>
          <w:color w:val="4A4A5A"/>
          <w:sz w:val="20"/>
        </w:rPr>
        <w:t>PASO 1: Editar TISAX/js/modules/phase2-isms.js directamente — TIPO D PROPIO</w:t>
      </w:r>
    </w:p>
    <w:p>
      <w:pPr>
        <w:pStyle w:val="ListBullet"/>
        <w:spacing w:after="60"/>
        <w:ind w:left="283"/>
      </w:pPr>
      <w:r>
        <w:rPr>
          <w:rFonts w:ascii="Nunito Sans" w:hAnsi="Nunito Sans"/>
          <w:color w:val="4A4A5A"/>
          <w:sz w:val="20"/>
        </w:rPr>
        <w:t>PASO 2: Bump versión en TISAX/index.html</w:t>
      </w:r>
    </w:p>
    <w:p>
      <w:pPr>
        <w:spacing w:before="200" w:after="120"/>
      </w:pPr>
      <w:r>
        <w:rPr>
          <w:rFonts w:ascii="Poppins" w:hAnsi="Poppins"/>
          <w:b/>
          <w:color w:val="1275A3"/>
          <w:sz w:val="26"/>
        </w:rPr>
        <w:t>Script de verificación ENS (obligatorio antes de cualquier commit)</w:t>
      </w:r>
    </w:p>
    <w:tbl>
      <w:tblPr>
        <w:tblStyle w:val="TableGrid"/>
        <w:tblW w:type="auto" w:w="0"/>
        <w:tblLook w:firstColumn="1" w:firstRow="1" w:lastColumn="0" w:lastRow="0" w:noHBand="0" w:noVBand="1" w:val="04A0"/>
      </w:tblPr>
      <w:tblGrid>
        <w:gridCol w:w="9689"/>
      </w:tblGrid>
      <w:tr>
        <w:tc>
          <w:tcPr>
            <w:tcW w:type="dxa" w:w="9689"/>
            <w:shd w:val="clear" w:color="auto" w:fill="2B2B3B"/>
          </w:tcPr>
          <w:p>
            <w:pPr>
              <w:spacing w:before="80" w:after="80"/>
            </w:pPr>
            <w:r>
              <w:rPr>
                <w:rFonts w:ascii="JetBrains Mono" w:hAnsi="JetBrains Mono"/>
                <w:color w:val="CDD6F4"/>
                <w:sz w:val="17"/>
              </w:rPr>
              <w:t># Verificación de integridad ENS</w:t>
              <w:br/>
              <w:t>python3 -c "</w:t>
              <w:br/>
              <w:t>import subprocess, sys</w:t>
              <w:br/>
              <w:t>BASE = 'Plataforma_Seguimiento_Proyectos'</w:t>
              <w:br/>
              <w:t>r = subprocess.run([</w:t>
              <w:br/>
              <w:t xml:space="preserve">    'diff',</w:t>
              <w:br/>
              <w:t xml:space="preserve">    f'{BASE}/ISO27001-SGSI/js/modules/phase2-consulting.js',</w:t>
              <w:br/>
              <w:t xml:space="preserve">    f'{BASE}/ENS-RD311-2022/js/modules/phase2-consulting.js'</w:t>
              <w:br/>
              <w:t>], capture_output=True, text=True)</w:t>
              <w:br/>
              <w:t>lines = r.stdout.count('\n&gt;')</w:t>
              <w:br/>
              <w:t>if lines &lt; 580:</w:t>
              <w:br/>
              <w:t xml:space="preserve">    print(f'ERROR: ENS ha perdido codigo exclusivo ({lines} lineas, minimo 580)')</w:t>
              <w:br/>
              <w:t xml:space="preserve">    sys.exit(1)</w:t>
              <w:br/>
              <w:t>print(f'OK — ENS tiene {lines} lineas exclusivas (minimo 580)')</w:t>
              <w:br/>
              <w:t>"</w:t>
            </w:r>
          </w:p>
        </w:tc>
      </w:tr>
    </w:tbl>
    <w:p/>
    <w:p/>
    <w:p>
      <w:r>
        <w:br w:type="page"/>
      </w:r>
    </w:p>
    <w:p>
      <w:pPr>
        <w:spacing w:before="320" w:after="120"/>
        <w:pBdr>
          <w:bottom w:val="single" w:sz="8" w:color="1275A3"/>
        </w:pBdr>
      </w:pPr>
      <w:r>
        <w:rPr>
          <w:rFonts w:ascii="Poppins" w:hAnsi="Poppins"/>
          <w:b/>
          <w:color w:val="1A1A2E"/>
          <w:sz w:val="32"/>
        </w:rPr>
        <w:t>9. Lecciones aprendidas y recomendaciones</w:t>
      </w:r>
    </w:p>
    <w:p>
      <w:pPr>
        <w:spacing w:before="200" w:after="120"/>
      </w:pPr>
      <w:r>
        <w:rPr>
          <w:rFonts w:ascii="Poppins" w:hAnsi="Poppins"/>
          <w:b/>
          <w:color w:val="1275A3"/>
          <w:sz w:val="26"/>
        </w:rPr>
        <w:t>9.1 Lecciones aprendidas</w:t>
      </w:r>
    </w:p>
    <w:p>
      <w:pPr>
        <w:spacing w:before="200" w:after="120"/>
      </w:pPr>
      <w:r>
        <w:rPr>
          <w:rFonts w:ascii="Poppins" w:hAnsi="Poppins"/>
          <w:b/>
          <w:color w:val="1275A3"/>
          <w:sz w:val="22"/>
        </w:rPr>
        <w:t>Lección 1 — Jerarquía de instrucciones</w:t>
      </w:r>
    </w:p>
    <w:p>
      <w:pPr>
        <w:spacing w:before="40" w:after="120"/>
      </w:pPr>
      <w:r>
        <w:rPr>
          <w:rFonts w:ascii="Nunito Sans" w:hAnsi="Nunito Sans"/>
          <w:color w:val="4A4A5A"/>
          <w:sz w:val="21"/>
        </w:rPr>
        <w:t>La arquitectura de múltiples AGENTS.md (común + específicos) es correcta conceptualmente, pero requiere un mecanismo explícito para que las reglas operativas críticas sean accesibles desde el workspace principal. No es suficiente con documentar las reglas en el AGENTS.md específico de la app afectada — deben estar en el contexto activo del agente.</w:t>
      </w:r>
    </w:p>
    <w:p>
      <w:pPr>
        <w:spacing w:before="200" w:after="120"/>
      </w:pPr>
      <w:r>
        <w:rPr>
          <w:rFonts w:ascii="Poppins" w:hAnsi="Poppins"/>
          <w:b/>
          <w:color w:val="1275A3"/>
          <w:sz w:val="22"/>
        </w:rPr>
        <w:t>Lección 2 — Alto riesgo de propagaciones masivas</w:t>
      </w:r>
    </w:p>
    <w:p>
      <w:pPr>
        <w:spacing w:before="40" w:after="120"/>
      </w:pPr>
      <w:r>
        <w:rPr>
          <w:rFonts w:ascii="Nunito Sans" w:hAnsi="Nunito Sans"/>
          <w:color w:val="4A4A5A"/>
          <w:sz w:val="21"/>
        </w:rPr>
        <w:t>Las operaciones de propagación masiva (sed/cp sobre múltiples archivos) son de alto riesgo. Requieren verificación post-operación, no solo pre-operación. Una regla correcta pero incompleta puede ser más peligrosa que no tener regla, porque genera falsa seguridad.</w:t>
      </w:r>
    </w:p>
    <w:p>
      <w:pPr>
        <w:spacing w:before="200" w:after="120"/>
      </w:pPr>
      <w:r>
        <w:rPr>
          <w:rFonts w:ascii="Poppins" w:hAnsi="Poppins"/>
          <w:b/>
          <w:color w:val="1275A3"/>
          <w:sz w:val="22"/>
        </w:rPr>
        <w:t>Lección 3 — Clasificación de tipos como mecanismo robusto</w:t>
      </w:r>
    </w:p>
    <w:p>
      <w:pPr>
        <w:spacing w:before="40" w:after="120"/>
      </w:pPr>
      <w:r>
        <w:rPr>
          <w:rFonts w:ascii="Nunito Sans" w:hAnsi="Nunito Sans"/>
          <w:color w:val="4A4A5A"/>
          <w:sz w:val="21"/>
        </w:rPr>
        <w:t>Un archivo de clasificación explícita de tipos (BASE/CLON/DIVERGENTE/PROPIO) es significativamente más robusto que reglas textuales dispersas. La clasificación obliga a razonar sobre el tipo antes de actuar, mientras que las reglas textuales son susceptibles de interpretaciones parciales.</w:t>
      </w:r>
    </w:p>
    <w:p>
      <w:pPr>
        <w:spacing w:before="200" w:after="120"/>
      </w:pPr>
      <w:r>
        <w:rPr>
          <w:rFonts w:ascii="Poppins" w:hAnsi="Poppins"/>
          <w:b/>
          <w:color w:val="1275A3"/>
          <w:sz w:val="26"/>
        </w:rPr>
        <w:t>9.2 Recomendaciones para el futuro</w:t>
      </w:r>
    </w:p>
    <w:p>
      <w:pPr>
        <w:pStyle w:val="ListBullet"/>
        <w:spacing w:after="60"/>
        <w:ind w:left="283"/>
      </w:pPr>
      <w:r>
        <w:rPr>
          <w:rFonts w:ascii="Nunito Sans" w:hAnsi="Nunito Sans"/>
          <w:color w:val="4A4A5A"/>
          <w:sz w:val="20"/>
        </w:rPr>
        <w:t>Actualizar PROPAGATION_RULES.md cada vez que se añade código exclusivo a ENS u otra app — el umbral de 580 líneas puede crecer.</w:t>
      </w:r>
    </w:p>
    <w:p>
      <w:pPr>
        <w:pStyle w:val="ListBullet"/>
        <w:spacing w:after="60"/>
        <w:ind w:left="283"/>
      </w:pPr>
      <w:r>
        <w:rPr>
          <w:rFonts w:ascii="Nunito Sans" w:hAnsi="Nunito Sans"/>
          <w:color w:val="4A4A5A"/>
          <w:sz w:val="20"/>
        </w:rPr>
        <w:t>Ejecutar el script de verificación ENS antes de cualquier commit que toque phase2-consulting.js en cualquiera de las 5 apps consulting.</w:t>
      </w:r>
    </w:p>
    <w:p>
      <w:pPr>
        <w:pStyle w:val="ListBullet"/>
        <w:spacing w:after="60"/>
        <w:ind w:left="283"/>
      </w:pPr>
      <w:r>
        <w:rPr>
          <w:rFonts w:ascii="Nunito Sans" w:hAnsi="Nunito Sans"/>
          <w:color w:val="4A4A5A"/>
          <w:sz w:val="20"/>
        </w:rPr>
        <w:t>Considerar la extracción del código exclusivo de ENS a phase2-ens-extensions.js si supera las 1000 líneas.</w:t>
      </w:r>
    </w:p>
    <w:p>
      <w:pPr>
        <w:pStyle w:val="ListBullet"/>
        <w:spacing w:after="60"/>
        <w:ind w:left="283"/>
      </w:pPr>
      <w:r>
        <w:rPr>
          <w:rFonts w:ascii="Nunito Sans" w:hAnsi="Nunito Sans"/>
          <w:color w:val="4A4A5A"/>
          <w:sz w:val="20"/>
        </w:rPr>
        <w:t>Añadir referencias cruzadas a PROPAGATION_RULES.md en los AGENTS.md específicos de cada app.</w:t>
      </w:r>
    </w:p>
    <w:p>
      <w:pPr>
        <w:pStyle w:val="ListBullet"/>
        <w:spacing w:after="60"/>
        <w:ind w:left="283"/>
      </w:pPr>
      <w:r>
        <w:rPr>
          <w:rFonts w:ascii="Nunito Sans" w:hAnsi="Nunito Sans"/>
          <w:color w:val="4A4A5A"/>
          <w:sz w:val="20"/>
        </w:rPr>
        <w:t>Documentar las funciones exclusivas de ENS en los comentarios del propio archivo JS con un bloque de encabezado que las liste y advierta sobre la prohibición de sobreescritura.</w:t>
      </w:r>
    </w:p>
    <w:p/>
    <w:p>
      <w:r>
        <w:br w:type="page"/>
      </w:r>
    </w:p>
    <w:p>
      <w:pPr>
        <w:spacing w:before="320" w:after="120"/>
        <w:pBdr>
          <w:bottom w:val="single" w:sz="8" w:color="1275A3"/>
        </w:pBdr>
      </w:pPr>
      <w:r>
        <w:rPr>
          <w:rFonts w:ascii="Poppins" w:hAnsi="Poppins"/>
          <w:b/>
          <w:color w:val="1A1A2E"/>
          <w:sz w:val="32"/>
        </w:rPr>
        <w:t>10. Glosario</w:t>
      </w:r>
    </w:p>
    <w:tbl>
      <w:tblPr>
        <w:tblStyle w:val="TableGrid"/>
        <w:tblW w:type="auto" w:w="0"/>
        <w:tblLook w:firstColumn="1" w:firstRow="1" w:lastColumn="0" w:lastRow="0" w:noHBand="0" w:noVBand="1" w:val="04A0"/>
      </w:tblPr>
      <w:tblGrid>
        <w:gridCol w:w="4844"/>
        <w:gridCol w:w="4844"/>
      </w:tblGrid>
      <w:tr>
        <w:tc>
          <w:tcPr>
            <w:tcW w:type="dxa" w:w="2268"/>
            <w:shd w:val="clear" w:color="auto" w:fill="1275A3"/>
          </w:tcPr>
          <w:p>
            <w:r/>
            <w:r>
              <w:rPr>
                <w:rFonts w:ascii="Poppins" w:hAnsi="Poppins"/>
                <w:b/>
                <w:color w:val="FFFFFF"/>
                <w:sz w:val="18"/>
              </w:rPr>
              <w:t>Término</w:t>
            </w:r>
          </w:p>
        </w:tc>
        <w:tc>
          <w:tcPr>
            <w:tcW w:type="dxa" w:w="7370"/>
            <w:shd w:val="clear" w:color="auto" w:fill="1275A3"/>
          </w:tcPr>
          <w:p>
            <w:r/>
            <w:r>
              <w:rPr>
                <w:rFonts w:ascii="Poppins" w:hAnsi="Poppins"/>
                <w:b/>
                <w:color w:val="FFFFFF"/>
                <w:sz w:val="18"/>
              </w:rPr>
              <w:t>Definición</w:t>
            </w:r>
          </w:p>
        </w:tc>
      </w:tr>
      <w:tr>
        <w:tc>
          <w:tcPr>
            <w:tcW w:type="dxa" w:w="4844"/>
            <w:shd w:val="clear" w:color="auto" w:fill="FFFFFF"/>
          </w:tcPr>
          <w:p>
            <w:r/>
            <w:r>
              <w:rPr>
                <w:rFonts w:ascii="JetBrains Mono" w:hAnsi="JetBrains Mono"/>
                <w:b w:val="0"/>
                <w:color w:val="1275A3"/>
                <w:sz w:val="18"/>
              </w:rPr>
              <w:t>BASE</w:t>
            </w:r>
          </w:p>
        </w:tc>
        <w:tc>
          <w:tcPr>
            <w:tcW w:type="dxa" w:w="4844"/>
            <w:shd w:val="clear" w:color="auto" w:fill="FFFFFF"/>
          </w:tcPr>
          <w:p>
            <w:r/>
            <w:r>
              <w:rPr>
                <w:rFonts w:ascii="Nunito Sans" w:hAnsi="Nunito Sans"/>
                <w:b w:val="0"/>
                <w:color w:val="4A4A5A"/>
                <w:sz w:val="19"/>
              </w:rPr>
              <w:t>Archivo master que se edita directamente y se propaga a los CLONES mediante sed o cp. Ejemplo: ISO27001-SGSI/js/modules/phase2-consulting.js</w:t>
            </w:r>
          </w:p>
        </w:tc>
      </w:tr>
      <w:tr>
        <w:tc>
          <w:tcPr>
            <w:tcW w:type="dxa" w:w="4844"/>
            <w:shd w:val="clear" w:color="auto" w:fill="F0F0F5"/>
          </w:tcPr>
          <w:p>
            <w:r/>
            <w:r>
              <w:rPr>
                <w:rFonts w:ascii="JetBrains Mono" w:hAnsi="JetBrains Mono"/>
                <w:b w:val="0"/>
                <w:color w:val="1275A3"/>
                <w:sz w:val="18"/>
              </w:rPr>
              <w:t>CLON SEGURO</w:t>
            </w:r>
          </w:p>
        </w:tc>
        <w:tc>
          <w:tcPr>
            <w:tcW w:type="dxa" w:w="4844"/>
            <w:shd w:val="clear" w:color="auto" w:fill="F0F0F5"/>
          </w:tcPr>
          <w:p>
            <w:r/>
            <w:r>
              <w:rPr>
                <w:rFonts w:ascii="Nunito Sans" w:hAnsi="Nunito Sans"/>
                <w:b w:val="0"/>
                <w:color w:val="4A4A5A"/>
                <w:sz w:val="19"/>
              </w:rPr>
              <w:t>Idéntico al BASE excepto el appId. La propagación con sed es segura. Ejemplo: RGPD, ISO27701, ISO42001 para phase2-consulting.js</w:t>
            </w:r>
          </w:p>
        </w:tc>
      </w:tr>
      <w:tr>
        <w:tc>
          <w:tcPr>
            <w:tcW w:type="dxa" w:w="4844"/>
            <w:shd w:val="clear" w:color="auto" w:fill="FFFFFF"/>
          </w:tcPr>
          <w:p>
            <w:r/>
            <w:r>
              <w:rPr>
                <w:rFonts w:ascii="JetBrains Mono" w:hAnsi="JetBrains Mono"/>
                <w:b w:val="0"/>
                <w:color w:val="1275A3"/>
                <w:sz w:val="18"/>
              </w:rPr>
              <w:t>DIVERGENTE</w:t>
            </w:r>
          </w:p>
        </w:tc>
        <w:tc>
          <w:tcPr>
            <w:tcW w:type="dxa" w:w="4844"/>
            <w:shd w:val="clear" w:color="auto" w:fill="FFFFFF"/>
          </w:tcPr>
          <w:p>
            <w:r/>
            <w:r>
              <w:rPr>
                <w:rFonts w:ascii="Nunito Sans" w:hAnsi="Nunito Sans"/>
                <w:b w:val="0"/>
                <w:color w:val="4A4A5A"/>
                <w:sz w:val="19"/>
              </w:rPr>
              <w:t>Comparte la base pero tiene código exclusivo añadido. Nunca propagar completo desde BASE — usar exclusivamente patch quirúrgico Python. Ejemplo: ENS-RD311-2022</w:t>
            </w:r>
          </w:p>
        </w:tc>
      </w:tr>
      <w:tr>
        <w:tc>
          <w:tcPr>
            <w:tcW w:type="dxa" w:w="4844"/>
            <w:shd w:val="clear" w:color="auto" w:fill="F0F0F5"/>
          </w:tcPr>
          <w:p>
            <w:r/>
            <w:r>
              <w:rPr>
                <w:rFonts w:ascii="JetBrains Mono" w:hAnsi="JetBrains Mono"/>
                <w:b w:val="0"/>
                <w:color w:val="1275A3"/>
                <w:sz w:val="18"/>
              </w:rPr>
              <w:t>PROPIO</w:t>
            </w:r>
          </w:p>
        </w:tc>
        <w:tc>
          <w:tcPr>
            <w:tcW w:type="dxa" w:w="4844"/>
            <w:shd w:val="clear" w:color="auto" w:fill="F0F0F5"/>
          </w:tcPr>
          <w:p>
            <w:r/>
            <w:r>
              <w:rPr>
                <w:rFonts w:ascii="Nunito Sans" w:hAnsi="Nunito Sans"/>
                <w:b w:val="0"/>
                <w:color w:val="4A4A5A"/>
                <w:sz w:val="19"/>
              </w:rPr>
              <w:t>Archivo sin equivalente funcional en otra app. Se edita directamente, nunca se copia entre apps. Ejemplo: phase2-implementation.js en ISO9001/ISO14001</w:t>
            </w:r>
          </w:p>
        </w:tc>
      </w:tr>
      <w:tr>
        <w:tc>
          <w:tcPr>
            <w:tcW w:type="dxa" w:w="4844"/>
            <w:shd w:val="clear" w:color="auto" w:fill="FFFFFF"/>
          </w:tcPr>
          <w:p>
            <w:r/>
            <w:r>
              <w:rPr>
                <w:rFonts w:ascii="JetBrains Mono" w:hAnsi="JetBrains Mono"/>
                <w:b w:val="0"/>
                <w:color w:val="1275A3"/>
                <w:sz w:val="18"/>
              </w:rPr>
              <w:t>Patch quirúrgico</w:t>
            </w:r>
          </w:p>
        </w:tc>
        <w:tc>
          <w:tcPr>
            <w:tcW w:type="dxa" w:w="4844"/>
            <w:shd w:val="clear" w:color="auto" w:fill="FFFFFF"/>
          </w:tcPr>
          <w:p>
            <w:r/>
            <w:r>
              <w:rPr>
                <w:rFonts w:ascii="Nunito Sans" w:hAnsi="Nunito Sans"/>
                <w:b w:val="0"/>
                <w:color w:val="4A4A5A"/>
                <w:sz w:val="19"/>
              </w:rPr>
              <w:t>Modificación puntual de líneas específicas mediante Python str.replace() sobre el archivo completo, sin sobreescribir el archivo entero ni usar sed de sustitución completa.</w:t>
            </w:r>
          </w:p>
        </w:tc>
      </w:tr>
      <w:tr>
        <w:tc>
          <w:tcPr>
            <w:tcW w:type="dxa" w:w="4844"/>
            <w:shd w:val="clear" w:color="auto" w:fill="F0F0F5"/>
          </w:tcPr>
          <w:p>
            <w:r/>
            <w:r>
              <w:rPr>
                <w:rFonts w:ascii="JetBrains Mono" w:hAnsi="JetBrains Mono"/>
                <w:b w:val="0"/>
                <w:color w:val="1275A3"/>
                <w:sz w:val="18"/>
              </w:rPr>
              <w:t>PROPAGATION_RULES.md</w:t>
            </w:r>
          </w:p>
        </w:tc>
        <w:tc>
          <w:tcPr>
            <w:tcW w:type="dxa" w:w="4844"/>
            <w:shd w:val="clear" w:color="auto" w:fill="F0F0F5"/>
          </w:tcPr>
          <w:p>
            <w:r/>
            <w:r>
              <w:rPr>
                <w:rFonts w:ascii="Nunito Sans" w:hAnsi="Nunito Sans"/>
                <w:b w:val="0"/>
                <w:color w:val="4A4A5A"/>
                <w:sz w:val="19"/>
              </w:rPr>
              <w:t>Archivo de instrucciones operativas para propagación entre apps, cargado automáticamente por OpenCode como segunda instrucción junto con AGENTS.md.</w:t>
            </w:r>
          </w:p>
        </w:tc>
      </w:tr>
      <w:tr>
        <w:tc>
          <w:tcPr>
            <w:tcW w:type="dxa" w:w="4844"/>
            <w:shd w:val="clear" w:color="auto" w:fill="FFFFFF"/>
          </w:tcPr>
          <w:p>
            <w:r/>
            <w:r>
              <w:rPr>
                <w:rFonts w:ascii="JetBrains Mono" w:hAnsi="JetBrains Mono"/>
                <w:b w:val="0"/>
                <w:color w:val="1275A3"/>
                <w:sz w:val="18"/>
              </w:rPr>
              <w:t>appId</w:t>
            </w:r>
          </w:p>
        </w:tc>
        <w:tc>
          <w:tcPr>
            <w:tcW w:type="dxa" w:w="4844"/>
            <w:shd w:val="clear" w:color="auto" w:fill="FFFFFF"/>
          </w:tcPr>
          <w:p>
            <w:r/>
            <w:r>
              <w:rPr>
                <w:rFonts w:ascii="Nunito Sans" w:hAnsi="Nunito Sans"/>
                <w:b w:val="0"/>
                <w:color w:val="4A4A5A"/>
                <w:sz w:val="19"/>
              </w:rPr>
              <w:t>Identificador único de aplicación (iso27001, ens, rgpd, iso27701, iso42001, iso9001, iso14001, iso14001-2026, tisax) que diferencia los CLONES del BASE.</w:t>
            </w:r>
          </w:p>
        </w:tc>
      </w:tr>
      <w:tr>
        <w:tc>
          <w:tcPr>
            <w:tcW w:type="dxa" w:w="4844"/>
            <w:shd w:val="clear" w:color="auto" w:fill="F0F0F5"/>
          </w:tcPr>
          <w:p>
            <w:r/>
            <w:r>
              <w:rPr>
                <w:rFonts w:ascii="JetBrains Mono" w:hAnsi="JetBrains Mono"/>
                <w:b w:val="0"/>
                <w:color w:val="1275A3"/>
                <w:sz w:val="18"/>
              </w:rPr>
              <w:t>CCN-STIC 808</w:t>
            </w:r>
          </w:p>
        </w:tc>
        <w:tc>
          <w:tcPr>
            <w:tcW w:type="dxa" w:w="4844"/>
            <w:shd w:val="clear" w:color="auto" w:fill="F0F0F5"/>
          </w:tcPr>
          <w:p>
            <w:r/>
            <w:r>
              <w:rPr>
                <w:rFonts w:ascii="Nunito Sans" w:hAnsi="Nunito Sans"/>
                <w:b w:val="0"/>
                <w:color w:val="4A4A5A"/>
                <w:sz w:val="19"/>
              </w:rPr>
              <w:t>Guía del Centro Criptológico Nacional para la verificación del cumplimiento del Esquema Nacional de Seguridad (ENS). Implementada exclusivamente en ENS-RD311-2022.</w:t>
            </w:r>
          </w:p>
        </w:tc>
      </w:tr>
      <w:tr>
        <w:tc>
          <w:tcPr>
            <w:tcW w:type="dxa" w:w="4844"/>
            <w:shd w:val="clear" w:color="auto" w:fill="FFFFFF"/>
          </w:tcPr>
          <w:p>
            <w:r/>
            <w:r>
              <w:rPr>
                <w:rFonts w:ascii="JetBrains Mono" w:hAnsi="JetBrains Mono"/>
                <w:b w:val="0"/>
                <w:color w:val="1275A3"/>
                <w:sz w:val="18"/>
              </w:rPr>
              <w:t>Evolució</w:t>
            </w:r>
          </w:p>
        </w:tc>
        <w:tc>
          <w:tcPr>
            <w:tcW w:type="dxa" w:w="4844"/>
            <w:shd w:val="clear" w:color="auto" w:fill="FFFFFF"/>
          </w:tcPr>
          <w:p>
            <w:r/>
            <w:r>
              <w:rPr>
                <w:rFonts w:ascii="Nunito Sans" w:hAnsi="Nunito Sans"/>
                <w:b w:val="0"/>
                <w:color w:val="4A4A5A"/>
                <w:sz w:val="19"/>
              </w:rPr>
              <w:t>Pestaña exclusiva de ENS-RD311-2022 con gráfico Chart.js de tendencia de progreso a lo largo de snapshots periódicos.</w:t>
            </w:r>
          </w:p>
        </w:tc>
      </w:tr>
      <w:tr>
        <w:tc>
          <w:tcPr>
            <w:tcW w:type="dxa" w:w="4844"/>
            <w:shd w:val="clear" w:color="auto" w:fill="F0F0F5"/>
          </w:tcPr>
          <w:p>
            <w:r/>
            <w:r>
              <w:rPr>
                <w:rFonts w:ascii="JetBrains Mono" w:hAnsi="JetBrains Mono"/>
                <w:b w:val="0"/>
                <w:color w:val="1275A3"/>
                <w:sz w:val="18"/>
              </w:rPr>
              <w:t>Snapshot</w:t>
            </w:r>
          </w:p>
        </w:tc>
        <w:tc>
          <w:tcPr>
            <w:tcW w:type="dxa" w:w="4844"/>
            <w:shd w:val="clear" w:color="auto" w:fill="F0F0F5"/>
          </w:tcPr>
          <w:p>
            <w:r/>
            <w:r>
              <w:rPr>
                <w:rFonts w:ascii="Nunito Sans" w:hAnsi="Nunito Sans"/>
                <w:b w:val="0"/>
                <w:color w:val="4A4A5A"/>
                <w:sz w:val="19"/>
              </w:rPr>
              <w:t>Captura periódica del estado de cumplimiento ENS almacenada para alimentar el gráfico de tendencia de la pestaña Evolució.</w:t>
            </w:r>
          </w:p>
        </w:tc>
      </w:tr>
      <w:tr>
        <w:tc>
          <w:tcPr>
            <w:tcW w:type="dxa" w:w="4844"/>
            <w:shd w:val="clear" w:color="auto" w:fill="FFFFFF"/>
          </w:tcPr>
          <w:p>
            <w:r/>
            <w:r>
              <w:rPr>
                <w:rFonts w:ascii="JetBrains Mono" w:hAnsi="JetBrains Mono"/>
                <w:b w:val="0"/>
                <w:color w:val="1275A3"/>
                <w:sz w:val="18"/>
              </w:rPr>
              <w:t>MP-1</w:t>
            </w:r>
          </w:p>
        </w:tc>
        <w:tc>
          <w:tcPr>
            <w:tcW w:type="dxa" w:w="4844"/>
            <w:shd w:val="clear" w:color="auto" w:fill="FFFFFF"/>
          </w:tcPr>
          <w:p>
            <w:r/>
            <w:r>
              <w:rPr>
                <w:rFonts w:ascii="Nunito Sans" w:hAnsi="Nunito Sans"/>
                <w:b w:val="0"/>
                <w:color w:val="4A4A5A"/>
                <w:sz w:val="19"/>
              </w:rPr>
              <w:t>Operación de mantenimiento de plataforma número 1: corrección de 5 vulnerabilidades innerHTML inseguros en los módulos JS de las 9 apps ISO/ENS. Commit 22379b8.</w:t>
            </w:r>
          </w:p>
        </w:tc>
      </w:tr>
      <w:tr>
        <w:tc>
          <w:tcPr>
            <w:tcW w:type="dxa" w:w="4844"/>
            <w:shd w:val="clear" w:color="auto" w:fill="F0F0F5"/>
          </w:tcPr>
          <w:p>
            <w:r/>
            <w:r>
              <w:rPr>
                <w:rFonts w:ascii="JetBrains Mono" w:hAnsi="JetBrains Mono"/>
                <w:b w:val="0"/>
                <w:color w:val="1275A3"/>
                <w:sz w:val="18"/>
              </w:rPr>
              <w:t>INC-2026-001</w:t>
            </w:r>
          </w:p>
        </w:tc>
        <w:tc>
          <w:tcPr>
            <w:tcW w:type="dxa" w:w="4844"/>
            <w:shd w:val="clear" w:color="auto" w:fill="F0F0F5"/>
          </w:tcPr>
          <w:p>
            <w:r/>
            <w:r>
              <w:rPr>
                <w:rFonts w:ascii="Nunito Sans" w:hAnsi="Nunito Sans"/>
                <w:b w:val="0"/>
                <w:color w:val="4A4A5A"/>
                <w:sz w:val="19"/>
              </w:rPr>
              <w:t>Referencia oficial de este incidente en el registro CODANOR. Primer incidente documentado de pérdida de código en el ecosistema de 9 apps ISO/ENS.</w:t>
            </w:r>
          </w:p>
        </w:tc>
      </w:tr>
    </w:tbl>
    <w:p/>
    <w:sectPr w:rsidR="00FC693F" w:rsidRPr="0006063C" w:rsidSect="00034616">
      <w:headerReference w:type="default" r:id="rId9"/>
      <w:footerReference w:type="default" r:id="rId10"/>
      <w:pgSz w:w="12240" w:h="15840"/>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unito Sans" w:hAnsi="Nunito Sans"/>
        <w:color w:val="6B6B7B"/>
        <w:sz w:val="16"/>
      </w:rPr>
      <w:t xml:space="preserve">CODANOR — Jafa, S.L.  |  CONFIDENCIAL — Uso exclusivo CODANOR  |  Página </w:t>
    </w:r>
    <w:r>
      <w:rPr>
        <w:rFonts w:ascii="Nunito Sans" w:hAnsi="Nunito Sans"/>
        <w:color w:val="6B6B7B"/>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color="1275A3"/>
      </w:pBdr>
    </w:pPr>
    <w:r>
      <w:drawing>
        <wp:inline xmlns:a="http://schemas.openxmlformats.org/drawingml/2006/main" xmlns:pic="http://schemas.openxmlformats.org/drawingml/2006/picture">
          <wp:extent cx="1073292" cy="216000"/>
          <wp:docPr id="1" name="Picture 1"/>
          <wp:cNvGraphicFramePr>
            <a:graphicFrameLocks noChangeAspect="1"/>
          </wp:cNvGraphicFramePr>
          <a:graphic>
            <a:graphicData uri="http://schemas.openxmlformats.org/drawingml/2006/picture">
              <pic:pic>
                <pic:nvPicPr>
                  <pic:cNvPr id="0" name="logo-codanor.png"/>
                  <pic:cNvPicPr/>
                </pic:nvPicPr>
                <pic:blipFill>
                  <a:blip r:embed="rId1"/>
                  <a:stretch>
                    <a:fillRect/>
                  </a:stretch>
                </pic:blipFill>
                <pic:spPr>
                  <a:xfrm>
                    <a:off x="0" y="0"/>
                    <a:ext cx="1073292" cy="216000"/>
                  </a:xfrm>
                  <a:prstGeom prst="rect"/>
                </pic:spPr>
              </pic:pic>
            </a:graphicData>
          </a:graphic>
        </wp:inline>
      </w:drawing>
    </w:r>
    <w:r>
      <w:t xml:space="preserve">  </w:t>
    </w:r>
    <w:r>
      <w:rPr>
        <w:rFonts w:ascii="Nunito Sans" w:hAnsi="Nunito Sans"/>
        <w:b/>
        <w:color w:val="6B6B7B"/>
        <w:sz w:val="18"/>
      </w:rPr>
      <w:t>Informe de Incidente — Sistema de Propagación entre Apps CODANOR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unito Sans" w:hAnsi="Nuni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