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40"/>
        <w:jc w:val="center"/>
      </w:pPr>
      <w:r>
        <w:rPr>
          <w:b/>
          <w:color w:val="172554"/>
          <w:sz w:val="50"/>
        </w:rPr>
        <w:t>园区综合能源项目投资收益测算与辅助决策系统</w:t>
      </w:r>
    </w:p>
    <w:p>
      <w:pPr>
        <w:jc w:val="center"/>
      </w:pPr>
      <w:r>
        <w:rPr>
          <w:b/>
          <w:color w:val="2E5BFF"/>
          <w:sz w:val="40"/>
        </w:rPr>
        <w:t>V2.14 用户操作说明书</w:t>
      </w:r>
    </w:p>
    <w:p>
      <w:pPr>
        <w:jc w:val="center"/>
      </w:pPr>
      <w:r>
        <w:rPr>
          <w:color w:val="64748B"/>
          <w:sz w:val="24"/>
        </w:rPr>
        <w:t>从匿名项目录入、综合能源测算到报告导出的完整操作指南</w:t>
      </w:r>
    </w:p>
    <w:p/>
    <w:p/>
    <w:p/>
    <w:p/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400"/>
        <w:gridCol w:w="6960"/>
      </w:tblGrid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t>软件简称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零碳项目辅助决策系统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t>版本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V2.14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t>编制日期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2026年8月2日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t>权利人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待权利人确认</w:t>
            </w:r>
          </w:p>
        </w:tc>
      </w:tr>
    </w:tbl>
    <w:p>
      <w:r>
        <w:br w:type="page"/>
      </w:r>
    </w:p>
    <w:p>
      <w:pPr>
        <w:pStyle w:val="Heading1"/>
      </w:pPr>
      <w:r>
        <w:t>1. 使用前说明</w:t>
      </w:r>
    </w:p>
    <w:p>
      <w:pPr>
        <w:pStyle w:val="ListBullet"/>
        <w:spacing w:after="80" w:line="300" w:lineRule="auto"/>
        <w:ind w:left="540" w:hanging="271"/>
      </w:pPr>
      <w:r>
        <w:t>本手册仅覆盖 V2.14 正式功能范围。</w:t>
      </w:r>
    </w:p>
    <w:p>
      <w:pPr>
        <w:pStyle w:val="ListBullet"/>
        <w:spacing w:after="80" w:line="300" w:lineRule="auto"/>
        <w:ind w:left="540" w:hanging="271"/>
      </w:pPr>
      <w:r>
        <w:t>演示项目统一为广东工业园标准项目（匿名）。</w:t>
      </w:r>
    </w:p>
    <w:p>
      <w:pPr>
        <w:pStyle w:val="ListBullet"/>
        <w:spacing w:after="80" w:line="300" w:lineRule="auto"/>
        <w:ind w:left="540" w:hanging="271"/>
      </w:pPr>
      <w:r>
        <w:t>金额默认以万元表示，电量常以 kWh 或万 kWh 表示，功率为 kW，容量为 kWh。</w:t>
      </w:r>
    </w:p>
    <w:p>
      <w:r>
        <w:br w:type="page"/>
      </w:r>
    </w:p>
    <w:p>
      <w:pPr>
        <w:pStyle w:val="Heading1"/>
      </w:pPr>
      <w:r>
        <w:t>2. 目录与推荐路径</w:t>
      </w:r>
    </w:p>
    <w:p>
      <w:pPr>
        <w:pStyle w:val="ListBullet"/>
        <w:spacing w:after="80" w:line="300" w:lineRule="auto"/>
        <w:ind w:left="540" w:hanging="271"/>
      </w:pPr>
      <w:r>
        <w:t>第 1 步：新建或打开项目。</w:t>
      </w:r>
    </w:p>
    <w:p>
      <w:pPr>
        <w:pStyle w:val="ListBullet"/>
        <w:spacing w:after="80" w:line="300" w:lineRule="auto"/>
        <w:ind w:left="540" w:hanging="271"/>
      </w:pPr>
      <w:r>
        <w:t>第 2 步：录入项目、建筑、设备、电费与电价。</w:t>
      </w:r>
    </w:p>
    <w:p>
      <w:pPr>
        <w:pStyle w:val="ListBullet"/>
        <w:spacing w:after="80" w:line="300" w:lineRule="auto"/>
        <w:ind w:left="540" w:hanging="271"/>
      </w:pPr>
      <w:r>
        <w:t>第 3 步：依次完成光伏、储能和其他稳定改造测算。</w:t>
      </w:r>
    </w:p>
    <w:p>
      <w:pPr>
        <w:pStyle w:val="ListBullet"/>
        <w:spacing w:after="80" w:line="300" w:lineRule="auto"/>
        <w:ind w:left="540" w:hanging="271"/>
      </w:pPr>
      <w:r>
        <w:t>第 4 步：在收益分析复核组合结果。</w:t>
      </w:r>
    </w:p>
    <w:p>
      <w:pPr>
        <w:pStyle w:val="ListBullet"/>
        <w:spacing w:after="80" w:line="300" w:lineRule="auto"/>
        <w:ind w:left="540" w:hanging="271"/>
      </w:pPr>
      <w:r>
        <w:t>第 5 步：进入报告中心导出 Excel 或 PDF。</w:t>
      </w:r>
    </w:p>
    <w:p>
      <w:r>
        <w:br w:type="page"/>
      </w:r>
    </w:p>
    <w:p>
      <w:pPr>
        <w:pStyle w:val="Heading1"/>
      </w:pPr>
      <w:r>
        <w:t>3. 项目汇总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项目汇总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7"/>
        </w:rPr>
        <w:t>图 3  项目汇总（广东工业园标准项目（匿名））</w:t>
      </w:r>
    </w:p>
    <w:p>
      <w:pPr>
        <w:pStyle w:val="ListBullet"/>
        <w:spacing w:after="80" w:line="300" w:lineRule="auto"/>
        <w:ind w:left="540" w:hanging="271"/>
      </w:pPr>
      <w:r>
        <w:t>确认当前项目组合和关键指标。</w:t>
      </w:r>
    </w:p>
    <w:p>
      <w:pPr>
        <w:pStyle w:val="ListBullet"/>
        <w:spacing w:after="80" w:line="300" w:lineRule="auto"/>
        <w:ind w:left="540" w:hanging="271"/>
      </w:pPr>
      <w:r>
        <w:t>从最近项目进入已有测算，或转到项目信息录入创建项目。</w:t>
      </w:r>
    </w:p>
    <w:p>
      <w:pPr>
        <w:pStyle w:val="ListBullet"/>
        <w:spacing w:after="80" w:line="300" w:lineRule="auto"/>
        <w:ind w:left="540" w:hanging="271"/>
      </w:pPr>
      <w:r>
        <w:t>仪表盘数据是摘要，不替代各模块的参数复核。</w:t>
      </w:r>
    </w:p>
    <w:p>
      <w:r>
        <w:br w:type="page"/>
      </w:r>
    </w:p>
    <w:p>
      <w:pPr>
        <w:pStyle w:val="Heading1"/>
      </w:pPr>
      <w:r>
        <w:t>4. 项目信息录入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项目信息录入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7"/>
        </w:rPr>
        <w:t>图 4  项目信息录入（广东工业园标准项目（匿名））</w:t>
      </w:r>
    </w:p>
    <w:p>
      <w:pPr>
        <w:pStyle w:val="ListBullet"/>
        <w:spacing w:after="80" w:line="300" w:lineRule="auto"/>
        <w:ind w:left="540" w:hanging="271"/>
      </w:pPr>
      <w:r>
        <w:t>填写项目名称、类型、省市和建筑基础信息。</w:t>
      </w:r>
    </w:p>
    <w:p>
      <w:pPr>
        <w:pStyle w:val="ListBullet"/>
        <w:spacing w:after="80" w:line="300" w:lineRule="auto"/>
        <w:ind w:left="540" w:hanging="271"/>
      </w:pPr>
      <w:r>
        <w:t>申报演示不得录入真实客户联系人、账号或精确地址。</w:t>
      </w:r>
    </w:p>
    <w:p>
      <w:pPr>
        <w:pStyle w:val="ListBullet"/>
        <w:spacing w:after="80" w:line="300" w:lineRule="auto"/>
        <w:ind w:left="540" w:hanging="271"/>
      </w:pPr>
      <w:r>
        <w:t>点击保存后再进入电价或改造模块。</w:t>
      </w:r>
    </w:p>
    <w:p>
      <w:r>
        <w:br w:type="page"/>
      </w:r>
    </w:p>
    <w:p>
      <w:pPr>
        <w:pStyle w:val="Heading1"/>
      </w:pPr>
      <w:r>
        <w:t>5. 建筑与设备边界</w:t>
      </w:r>
    </w:p>
    <w:p>
      <w:pPr>
        <w:pStyle w:val="ListBullet"/>
        <w:spacing w:after="80" w:line="300" w:lineRule="auto"/>
        <w:ind w:left="540" w:hanging="271"/>
      </w:pPr>
      <w:r>
        <w:t>建筑面积用于照明、空调等快速估算。</w:t>
      </w:r>
    </w:p>
    <w:p>
      <w:pPr>
        <w:pStyle w:val="ListBullet"/>
        <w:spacing w:after="80" w:line="300" w:lineRule="auto"/>
        <w:ind w:left="540" w:hanging="271"/>
      </w:pPr>
      <w:r>
        <w:t>可利用屋顶面积约束光伏装机上限。</w:t>
      </w:r>
    </w:p>
    <w:p>
      <w:pPr>
        <w:pStyle w:val="ListBullet"/>
        <w:spacing w:after="80" w:line="300" w:lineRule="auto"/>
        <w:ind w:left="540" w:hanging="271"/>
      </w:pPr>
      <w:r>
        <w:t>变压器容量与负荷曲线约束储能功率和充电桩规模。</w:t>
      </w:r>
    </w:p>
    <w:p>
      <w:pPr>
        <w:pStyle w:val="ListBullet"/>
        <w:spacing w:after="80" w:line="300" w:lineRule="auto"/>
        <w:ind w:left="540" w:hanging="271"/>
      </w:pPr>
      <w:r>
        <w:t>正式投资前用图纸、台账与实测负荷替换默认估算。</w:t>
      </w:r>
    </w:p>
    <w:p>
      <w:r>
        <w:br w:type="page"/>
      </w:r>
    </w:p>
    <w:p>
      <w:pPr>
        <w:pStyle w:val="Heading1"/>
      </w:pPr>
      <w:r>
        <w:t>6. 电费账单录入</w:t>
      </w:r>
    </w:p>
    <w:p>
      <w:pPr>
        <w:pStyle w:val="ListBullet"/>
        <w:spacing w:after="80" w:line="300" w:lineRule="auto"/>
        <w:ind w:left="540" w:hanging="271"/>
      </w:pPr>
      <w:r>
        <w:t>按月录入电量、电费、需量和基本电费信息。</w:t>
      </w:r>
    </w:p>
    <w:p>
      <w:pPr>
        <w:pStyle w:val="ListBullet"/>
        <w:spacing w:after="80" w:line="300" w:lineRule="auto"/>
        <w:ind w:left="540" w:hanging="271"/>
      </w:pPr>
      <w:r>
        <w:t>检查 12 个月合计与原始账单是否一致。</w:t>
      </w:r>
    </w:p>
    <w:p>
      <w:pPr>
        <w:pStyle w:val="ListBullet"/>
        <w:spacing w:after="80" w:line="300" w:lineRule="auto"/>
        <w:ind w:left="540" w:hanging="271"/>
      </w:pPr>
      <w:r>
        <w:t>缺少分时电量时，系统可用项目类型典型曲线估算，但报告会提示复核。</w:t>
      </w:r>
    </w:p>
    <w:p>
      <w:r>
        <w:br w:type="page"/>
      </w:r>
    </w:p>
    <w:p>
      <w:pPr>
        <w:pStyle w:val="Heading1"/>
      </w:pPr>
      <w:r>
        <w:t>7. 电价模型配置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电价模型配置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7"/>
        </w:rPr>
        <w:t>图 7  电价模型配置（广东工业园标准项目（匿名））</w:t>
      </w:r>
    </w:p>
    <w:p>
      <w:pPr>
        <w:pStyle w:val="ListBullet"/>
        <w:spacing w:after="80" w:line="300" w:lineRule="auto"/>
        <w:ind w:left="540" w:hanging="271"/>
      </w:pPr>
      <w:r>
        <w:t>选择内置模板或手动设置尖峰、峰、平、谷电价。</w:t>
      </w:r>
    </w:p>
    <w:p>
      <w:pPr>
        <w:pStyle w:val="ListBullet"/>
        <w:spacing w:after="80" w:line="300" w:lineRule="auto"/>
        <w:ind w:left="540" w:hanging="271"/>
      </w:pPr>
      <w:r>
        <w:t>确认每个时段覆盖完整且不重叠。</w:t>
      </w:r>
    </w:p>
    <w:p>
      <w:pPr>
        <w:pStyle w:val="ListBullet"/>
        <w:spacing w:after="80" w:line="300" w:lineRule="auto"/>
        <w:ind w:left="540" w:hanging="271"/>
      </w:pPr>
      <w:r>
        <w:t>储能套利对峰谷价差敏感，务必核对项目实际执行电价。</w:t>
      </w:r>
    </w:p>
    <w:p>
      <w:r>
        <w:br w:type="page"/>
      </w:r>
    </w:p>
    <w:p>
      <w:pPr>
        <w:pStyle w:val="Heading1"/>
      </w:pPr>
      <w:r>
        <w:t>8. 售电服务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售电服务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7"/>
        </w:rPr>
        <w:t>图 8  售电服务（广东工业园标准项目（匿名））</w:t>
      </w:r>
    </w:p>
    <w:p>
      <w:pPr>
        <w:pStyle w:val="ListBullet"/>
        <w:spacing w:after="80" w:line="300" w:lineRule="auto"/>
        <w:ind w:left="540" w:hanging="271"/>
      </w:pPr>
      <w:r>
        <w:t>录入年售电量、购售电价差和服务成本。</w:t>
      </w:r>
    </w:p>
    <w:p>
      <w:pPr>
        <w:pStyle w:val="ListBullet"/>
        <w:spacing w:after="80" w:line="300" w:lineRule="auto"/>
        <w:ind w:left="540" w:hanging="271"/>
      </w:pPr>
      <w:r>
        <w:t>仅在已有真实合同或明确报价时启用。</w:t>
      </w:r>
    </w:p>
    <w:p>
      <w:pPr>
        <w:pStyle w:val="ListBullet"/>
        <w:spacing w:after="80" w:line="300" w:lineRule="auto"/>
        <w:ind w:left="540" w:hanging="271"/>
      </w:pPr>
      <w:r>
        <w:t>收益分析会将启用模块计入组合现金流。</w:t>
      </w:r>
    </w:p>
    <w:p>
      <w:r>
        <w:br w:type="page"/>
      </w:r>
    </w:p>
    <w:p>
      <w:pPr>
        <w:pStyle w:val="Heading1"/>
      </w:pPr>
      <w:r>
        <w:t>9. 智能照明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智能照明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7"/>
        </w:rPr>
        <w:t>图 9  智能照明（广东工业园标准项目（匿名））</w:t>
      </w:r>
    </w:p>
    <w:p>
      <w:pPr>
        <w:pStyle w:val="ListBullet"/>
        <w:spacing w:after="80" w:line="300" w:lineRule="auto"/>
        <w:ind w:left="540" w:hanging="271"/>
      </w:pPr>
      <w:r>
        <w:t>录入原灯具、新灯具、数量和运行小时。</w:t>
      </w:r>
    </w:p>
    <w:p>
      <w:pPr>
        <w:pStyle w:val="ListBullet"/>
        <w:spacing w:after="80" w:line="300" w:lineRule="auto"/>
        <w:ind w:left="540" w:hanging="271"/>
      </w:pPr>
      <w:r>
        <w:t>核对功率单位 W 与数量，避免把总功率误填为单灯功率。</w:t>
      </w:r>
    </w:p>
    <w:p>
      <w:pPr>
        <w:pStyle w:val="ListBullet"/>
        <w:spacing w:after="80" w:line="300" w:lineRule="auto"/>
        <w:ind w:left="540" w:hanging="271"/>
      </w:pPr>
      <w:r>
        <w:t>系统输出节电量、年节省和投资回收指标。</w:t>
      </w:r>
    </w:p>
    <w:p>
      <w:r>
        <w:br w:type="page"/>
      </w:r>
    </w:p>
    <w:p>
      <w:pPr>
        <w:pStyle w:val="Heading1"/>
      </w:pPr>
      <w:r>
        <w:t>10. 热水系统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热水系统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7"/>
        </w:rPr>
        <w:t>图 10  热水系统（广东工业园标准项目（匿名））</w:t>
      </w:r>
    </w:p>
    <w:p>
      <w:pPr>
        <w:pStyle w:val="ListBullet"/>
        <w:spacing w:after="80" w:line="300" w:lineRule="auto"/>
        <w:ind w:left="540" w:hanging="271"/>
      </w:pPr>
      <w:r>
        <w:t>选择当前热源与改造方案。</w:t>
      </w:r>
    </w:p>
    <w:p>
      <w:pPr>
        <w:pStyle w:val="ListBullet"/>
        <w:spacing w:after="80" w:line="300" w:lineRule="auto"/>
        <w:ind w:left="540" w:hanging="271"/>
      </w:pPr>
      <w:r>
        <w:t>录入热水量、温升、设备效率、能源单价和运维。</w:t>
      </w:r>
    </w:p>
    <w:p>
      <w:pPr>
        <w:pStyle w:val="ListBullet"/>
        <w:spacing w:after="80" w:line="300" w:lineRule="auto"/>
        <w:ind w:left="540" w:hanging="271"/>
      </w:pPr>
      <w:r>
        <w:t>在缺少计量时将结果标注为快速估算。</w:t>
      </w:r>
    </w:p>
    <w:p>
      <w:r>
        <w:br w:type="page"/>
      </w:r>
    </w:p>
    <w:p>
      <w:pPr>
        <w:pStyle w:val="Heading1"/>
      </w:pPr>
      <w:r>
        <w:t>11. 暖通空调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暖通空调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7"/>
        </w:rPr>
        <w:t>图 11  暖通空调（广东工业园标准项目（匿名））</w:t>
      </w:r>
    </w:p>
    <w:p>
      <w:pPr>
        <w:pStyle w:val="ListBullet"/>
        <w:spacing w:after="80" w:line="300" w:lineRule="auto"/>
        <w:ind w:left="540" w:hanging="271"/>
      </w:pPr>
      <w:r>
        <w:t>录入服务面积、运行时长、原系统和新系统 COP。</w:t>
      </w:r>
    </w:p>
    <w:p>
      <w:pPr>
        <w:pStyle w:val="ListBullet"/>
        <w:spacing w:after="80" w:line="300" w:lineRule="auto"/>
        <w:ind w:left="540" w:hanging="271"/>
      </w:pPr>
      <w:r>
        <w:t>节电率需与能效检测、设备报价或同类案例互相验证。</w:t>
      </w:r>
    </w:p>
    <w:p>
      <w:pPr>
        <w:pStyle w:val="ListBullet"/>
        <w:spacing w:after="80" w:line="300" w:lineRule="auto"/>
        <w:ind w:left="540" w:hanging="271"/>
      </w:pPr>
      <w:r>
        <w:t>投资与收益口径必须包含施工及必要配套。</w:t>
      </w:r>
    </w:p>
    <w:p>
      <w:r>
        <w:br w:type="page"/>
      </w:r>
    </w:p>
    <w:p>
      <w:pPr>
        <w:pStyle w:val="Heading1"/>
      </w:pPr>
      <w:r>
        <w:t>12. 分布式光伏—工程配置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分布式光伏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7"/>
        </w:rPr>
        <w:t>图 12  分布式光伏—工程配置（广东工业园标准项目（匿名））</w:t>
      </w:r>
    </w:p>
    <w:p>
      <w:pPr>
        <w:pStyle w:val="ListBullet"/>
        <w:spacing w:after="80" w:line="300" w:lineRule="auto"/>
        <w:ind w:left="540" w:hanging="271"/>
      </w:pPr>
      <w:r>
        <w:t>设置可利用面积、单位面积装机、组件与并网方式。</w:t>
      </w:r>
    </w:p>
    <w:p>
      <w:pPr>
        <w:pStyle w:val="ListBullet"/>
        <w:spacing w:after="80" w:line="300" w:lineRule="auto"/>
        <w:ind w:left="540" w:hanging="271"/>
      </w:pPr>
      <w:r>
        <w:t>确认装机容量不超过屋顶和接入约束。</w:t>
      </w:r>
    </w:p>
    <w:p>
      <w:pPr>
        <w:pStyle w:val="ListBullet"/>
        <w:spacing w:after="80" w:line="300" w:lineRule="auto"/>
        <w:ind w:left="540" w:hanging="271"/>
      </w:pPr>
      <w:r>
        <w:t>日照与系统效率决定发电量，消纳率决定自用收益。</w:t>
      </w:r>
    </w:p>
    <w:p>
      <w:r>
        <w:br w:type="page"/>
      </w:r>
    </w:p>
    <w:p>
      <w:pPr>
        <w:pStyle w:val="Heading1"/>
      </w:pPr>
      <w:r>
        <w:t>13. 分布式光伏—EPC 模式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光伏EPC模式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7"/>
        </w:rPr>
        <w:t>图 13  分布式光伏—EPC 模式（广东工业园标准项目（匿名））</w:t>
      </w:r>
    </w:p>
    <w:p>
      <w:pPr>
        <w:pStyle w:val="ListBullet"/>
        <w:spacing w:after="80" w:line="300" w:lineRule="auto"/>
        <w:ind w:left="540" w:hanging="271"/>
      </w:pPr>
      <w:r>
        <w:t>EPC 模式下初始投资由业主承担。</w:t>
      </w:r>
    </w:p>
    <w:p>
      <w:pPr>
        <w:pStyle w:val="ListBullet"/>
        <w:spacing w:after="80" w:line="300" w:lineRule="auto"/>
        <w:ind w:left="540" w:hanging="271"/>
      </w:pPr>
      <w:r>
        <w:t>核对单位造价、运维费、衰减、上网电价和自用电价。</w:t>
      </w:r>
    </w:p>
    <w:p>
      <w:pPr>
        <w:pStyle w:val="ListBullet"/>
        <w:spacing w:after="80" w:line="300" w:lineRule="auto"/>
        <w:ind w:left="540" w:hanging="271"/>
      </w:pPr>
      <w:r>
        <w:t>查看首年发电、首年净收益、IRR、NPV 和动态回收期。</w:t>
      </w:r>
    </w:p>
    <w:p>
      <w:r>
        <w:br w:type="page"/>
      </w:r>
    </w:p>
    <w:p>
      <w:pPr>
        <w:pStyle w:val="Heading1"/>
      </w:pPr>
      <w:r>
        <w:t>14. 分布式光伏—EMC 边界</w:t>
      </w:r>
    </w:p>
    <w:p>
      <w:pPr>
        <w:pStyle w:val="ListBullet"/>
        <w:spacing w:after="80" w:line="300" w:lineRule="auto"/>
        <w:ind w:left="540" w:hanging="271"/>
      </w:pPr>
      <w:r>
        <w:t>EMC 模式必须明确投资方、节能收益分成和合同年限。</w:t>
      </w:r>
    </w:p>
    <w:p>
      <w:pPr>
        <w:pStyle w:val="ListBullet"/>
        <w:spacing w:after="80" w:line="300" w:lineRule="auto"/>
        <w:ind w:left="540" w:hanging="271"/>
      </w:pPr>
      <w:r>
        <w:t>系统账与参与方账分开：内部结算在系统合并现金流中抵消。</w:t>
      </w:r>
    </w:p>
    <w:p>
      <w:pPr>
        <w:pStyle w:val="ListBullet"/>
        <w:spacing w:after="80" w:line="300" w:lineRule="auto"/>
        <w:ind w:left="540" w:hanging="271"/>
      </w:pPr>
      <w:r>
        <w:t>未签合同前，分成比例仅为测算假设。</w:t>
      </w:r>
    </w:p>
    <w:p>
      <w:r>
        <w:br w:type="page"/>
      </w:r>
    </w:p>
    <w:p>
      <w:pPr>
        <w:pStyle w:val="Heading1"/>
      </w:pPr>
      <w:r>
        <w:t>15. 储能系统—容量配置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储能系统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7"/>
        </w:rPr>
        <w:t>图 15  储能系统—容量配置（广东工业园标准项目（匿名））</w:t>
      </w:r>
    </w:p>
    <w:p>
      <w:pPr>
        <w:pStyle w:val="ListBullet"/>
        <w:spacing w:after="80" w:line="300" w:lineRule="auto"/>
        <w:ind w:left="540" w:hanging="271"/>
      </w:pPr>
      <w:r>
        <w:t>录入额定功率、容量、DOD、RTE、循环和单位成本。</w:t>
      </w:r>
    </w:p>
    <w:p>
      <w:pPr>
        <w:pStyle w:val="ListBullet"/>
        <w:spacing w:after="80" w:line="300" w:lineRule="auto"/>
        <w:ind w:left="540" w:hanging="271"/>
      </w:pPr>
      <w:r>
        <w:t>建议容量需要 15 分钟负荷、消防、场地和并网条件复核。</w:t>
      </w:r>
    </w:p>
    <w:p>
      <w:pPr>
        <w:pStyle w:val="ListBullet"/>
        <w:spacing w:after="80" w:line="300" w:lineRule="auto"/>
        <w:ind w:left="540" w:hanging="271"/>
      </w:pPr>
      <w:r>
        <w:t>V2.14 使用基准分时/余电策略，不宣称真实 AI 自动调度。</w:t>
      </w:r>
    </w:p>
    <w:p>
      <w:r>
        <w:br w:type="page"/>
      </w:r>
    </w:p>
    <w:p>
      <w:pPr>
        <w:pStyle w:val="Heading1"/>
      </w:pPr>
      <w:r>
        <w:t>16. 储能系统—运行策略</w:t>
      </w:r>
    </w:p>
    <w:p>
      <w:pPr>
        <w:pStyle w:val="ListBullet"/>
        <w:spacing w:after="80" w:line="300" w:lineRule="auto"/>
        <w:ind w:left="540" w:hanging="271"/>
      </w:pPr>
      <w:r>
        <w:t>峰谷套利：谷段充电、峰段放电，并受 SOC 与功率限制。</w:t>
      </w:r>
    </w:p>
    <w:p>
      <w:pPr>
        <w:pStyle w:val="ListBullet"/>
        <w:spacing w:after="80" w:line="300" w:lineRule="auto"/>
        <w:ind w:left="540" w:hanging="271"/>
      </w:pPr>
      <w:r>
        <w:t>光伏余电：仅吸收当期无法自用的光伏电量，后续供负荷使用。</w:t>
      </w:r>
    </w:p>
    <w:p>
      <w:pPr>
        <w:pStyle w:val="ListBullet"/>
        <w:spacing w:after="80" w:line="300" w:lineRule="auto"/>
        <w:ind w:left="540" w:hanging="271"/>
      </w:pPr>
      <w:r>
        <w:t>检查年循环次数、有效容量衰减、更换支出和期末残值。</w:t>
      </w:r>
    </w:p>
    <w:p>
      <w:r>
        <w:br w:type="page"/>
      </w:r>
    </w:p>
    <w:p>
      <w:pPr>
        <w:pStyle w:val="Heading1"/>
      </w:pPr>
      <w:r>
        <w:t>17. 光储协同</w:t>
      </w:r>
    </w:p>
    <w:p>
      <w:pPr>
        <w:pStyle w:val="ListBullet"/>
        <w:spacing w:after="80" w:line="300" w:lineRule="auto"/>
        <w:ind w:left="540" w:hanging="271"/>
      </w:pPr>
      <w:r>
        <w:t>先运行光伏，再启用储能并选择光伏余电策略。</w:t>
      </w:r>
    </w:p>
    <w:p>
      <w:pPr>
        <w:pStyle w:val="ListBullet"/>
        <w:spacing w:after="80" w:line="300" w:lineRule="auto"/>
        <w:ind w:left="540" w:hanging="271"/>
      </w:pPr>
      <w:r>
        <w:t>比较无储能与有储能场景，确认协同增量只出现一次。</w:t>
      </w:r>
    </w:p>
    <w:p>
      <w:pPr>
        <w:pStyle w:val="ListBullet"/>
        <w:spacing w:after="80" w:line="300" w:lineRule="auto"/>
        <w:ind w:left="540" w:hanging="271"/>
      </w:pPr>
      <w:r>
        <w:t>若储能独立套利收益为零，应查看报告中的协同增量而非强行分摊。</w:t>
      </w:r>
    </w:p>
    <w:p>
      <w:r>
        <w:br w:type="page"/>
      </w:r>
    </w:p>
    <w:p>
      <w:pPr>
        <w:pStyle w:val="Heading1"/>
      </w:pPr>
      <w:r>
        <w:t>18. 充电桩设施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充电桩设施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7"/>
        </w:rPr>
        <w:t>图 18  充电桩设施（广东工业园标准项目（匿名））</w:t>
      </w:r>
    </w:p>
    <w:p>
      <w:pPr>
        <w:pStyle w:val="ListBullet"/>
        <w:spacing w:after="80" w:line="300" w:lineRule="auto"/>
        <w:ind w:left="540" w:hanging="271"/>
      </w:pPr>
      <w:r>
        <w:t>录入桩数量、功率、利用率、服务费和电力成本。</w:t>
      </w:r>
    </w:p>
    <w:p>
      <w:pPr>
        <w:pStyle w:val="ListBullet"/>
        <w:spacing w:after="80" w:line="300" w:lineRule="auto"/>
        <w:ind w:left="540" w:hanging="271"/>
      </w:pPr>
      <w:r>
        <w:t>检查变压器余量以及同时率。</w:t>
      </w:r>
    </w:p>
    <w:p>
      <w:pPr>
        <w:pStyle w:val="ListBullet"/>
        <w:spacing w:after="80" w:line="300" w:lineRule="auto"/>
        <w:ind w:left="540" w:hanging="271"/>
      </w:pPr>
      <w:r>
        <w:t>收益对利用率高度敏感，应采用审慎情景。</w:t>
      </w:r>
    </w:p>
    <w:p>
      <w:r>
        <w:br w:type="page"/>
      </w:r>
    </w:p>
    <w:p>
      <w:pPr>
        <w:pStyle w:val="Heading1"/>
      </w:pPr>
      <w:r>
        <w:t>19. 收益分析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收益分析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7"/>
        </w:rPr>
        <w:t>图 19  收益分析（广东工业园标准项目（匿名））</w:t>
      </w:r>
    </w:p>
    <w:p>
      <w:pPr>
        <w:pStyle w:val="ListBullet"/>
        <w:spacing w:after="80" w:line="300" w:lineRule="auto"/>
        <w:ind w:left="540" w:hanging="271"/>
      </w:pPr>
      <w:r>
        <w:t>复核已分析子系统数量、总投资、NPV、IRR 和回收期。</w:t>
      </w:r>
    </w:p>
    <w:p>
      <w:pPr>
        <w:pStyle w:val="ListBullet"/>
        <w:spacing w:after="80" w:line="300" w:lineRule="auto"/>
        <w:ind w:left="540" w:hanging="271"/>
      </w:pPr>
      <w:r>
        <w:t>投资组合矩阵用于比较，不代表自动投资承诺。</w:t>
      </w:r>
    </w:p>
    <w:p>
      <w:pPr>
        <w:pStyle w:val="ListBullet"/>
        <w:spacing w:after="80" w:line="300" w:lineRule="auto"/>
        <w:ind w:left="540" w:hanging="271"/>
      </w:pPr>
      <w:r>
        <w:t>V2.14 不显示 AI、碳交易或实时 VPP 收益。</w:t>
      </w:r>
    </w:p>
    <w:p>
      <w:r>
        <w:br w:type="page"/>
      </w:r>
    </w:p>
    <w:p>
      <w:pPr>
        <w:pStyle w:val="Heading1"/>
      </w:pPr>
      <w:r>
        <w:t>20. 方案对比</w:t>
      </w:r>
    </w:p>
    <w:p>
      <w:pPr>
        <w:pStyle w:val="ListBullet"/>
        <w:spacing w:after="80" w:line="300" w:lineRule="auto"/>
        <w:ind w:left="540" w:hanging="271"/>
      </w:pPr>
      <w:r>
        <w:t>保持项目边界一致，只改变需要比较的方案参数。</w:t>
      </w:r>
    </w:p>
    <w:p>
      <w:pPr>
        <w:pStyle w:val="ListBullet"/>
        <w:spacing w:after="80" w:line="300" w:lineRule="auto"/>
        <w:ind w:left="540" w:hanging="271"/>
      </w:pPr>
      <w:r>
        <w:t>优先比较投资、首年收益、NPV、IRR、回收期与风险。</w:t>
      </w:r>
    </w:p>
    <w:p>
      <w:pPr>
        <w:pStyle w:val="ListBullet"/>
        <w:spacing w:after="80" w:line="300" w:lineRule="auto"/>
        <w:ind w:left="540" w:hanging="271"/>
      </w:pPr>
      <w:r>
        <w:t>保存基准方案后再建立备选方案，避免输入混用。</w:t>
      </w:r>
    </w:p>
    <w:p>
      <w:r>
        <w:br w:type="page"/>
      </w:r>
    </w:p>
    <w:p>
      <w:pPr>
        <w:pStyle w:val="Heading1"/>
      </w:pPr>
      <w:r>
        <w:t>21. 敏感性分析</w:t>
      </w:r>
    </w:p>
    <w:p>
      <w:pPr>
        <w:pStyle w:val="ListBullet"/>
        <w:spacing w:after="80" w:line="300" w:lineRule="auto"/>
        <w:ind w:left="540" w:hanging="271"/>
      </w:pPr>
      <w:r>
        <w:t>建议至少测试造价±15%、电价变化、消纳率和效率变化。</w:t>
      </w:r>
    </w:p>
    <w:p>
      <w:pPr>
        <w:pStyle w:val="ListBullet"/>
        <w:spacing w:after="80" w:line="300" w:lineRule="auto"/>
        <w:ind w:left="540" w:hanging="271"/>
      </w:pPr>
      <w:r>
        <w:t>每次只改变一个变量可观察单因素影响；组合情景需明确假设。</w:t>
      </w:r>
    </w:p>
    <w:p>
      <w:pPr>
        <w:pStyle w:val="ListBullet"/>
        <w:spacing w:after="80" w:line="300" w:lineRule="auto"/>
        <w:ind w:left="540" w:hanging="271"/>
      </w:pPr>
      <w:r>
        <w:t>关注下行情景下 NPV 是否仍为正以及回收期是否超过设备寿命。</w:t>
      </w:r>
    </w:p>
    <w:p>
      <w:r>
        <w:br w:type="page"/>
      </w:r>
    </w:p>
    <w:p>
      <w:pPr>
        <w:pStyle w:val="Heading1"/>
      </w:pPr>
      <w:r>
        <w:t>22. 报告中心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报告中心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7"/>
        </w:rPr>
        <w:t>图 22  报告中心（广东工业园标准项目（匿名））</w:t>
      </w:r>
    </w:p>
    <w:p>
      <w:pPr>
        <w:pStyle w:val="ListBullet"/>
        <w:spacing w:after="80" w:line="300" w:lineRule="auto"/>
        <w:ind w:left="540" w:hanging="271"/>
      </w:pPr>
      <w:r>
        <w:t>勾选需要汇报的正式模块。</w:t>
      </w:r>
    </w:p>
    <w:p>
      <w:pPr>
        <w:pStyle w:val="ListBullet"/>
        <w:spacing w:after="80" w:line="300" w:lineRule="auto"/>
        <w:ind w:left="540" w:hanging="271"/>
      </w:pPr>
      <w:r>
        <w:t>选择精简版或完整版，并确认导出内容。</w:t>
      </w:r>
    </w:p>
    <w:p>
      <w:pPr>
        <w:pStyle w:val="ListBullet"/>
        <w:spacing w:after="80" w:line="300" w:lineRule="auto"/>
        <w:ind w:left="540" w:hanging="271"/>
      </w:pPr>
      <w:r>
        <w:t>若页面提示使用估算数据，应在报告交付前替换为实测输入。</w:t>
      </w:r>
    </w:p>
    <w:p>
      <w:r>
        <w:br w:type="page"/>
      </w:r>
    </w:p>
    <w:p>
      <w:pPr>
        <w:pStyle w:val="Heading1"/>
      </w:pPr>
      <w:r>
        <w:t>23. 光伏独立汇报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光伏独立汇报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7"/>
        </w:rPr>
        <w:t>图 23  光伏独立汇报（广东工业园标准项目（匿名））</w:t>
      </w:r>
    </w:p>
    <w:p>
      <w:pPr>
        <w:pStyle w:val="ListBullet"/>
        <w:spacing w:after="80" w:line="300" w:lineRule="auto"/>
        <w:ind w:left="540" w:hanging="271"/>
      </w:pPr>
      <w:r>
        <w:t>用于单独呈现光伏工程和财务结果。</w:t>
      </w:r>
    </w:p>
    <w:p>
      <w:pPr>
        <w:pStyle w:val="ListBullet"/>
        <w:spacing w:after="80" w:line="300" w:lineRule="auto"/>
        <w:ind w:left="540" w:hanging="271"/>
      </w:pPr>
      <w:r>
        <w:t>复核项目名、容量、发电量、投资模式和风险提示。</w:t>
      </w:r>
    </w:p>
    <w:p>
      <w:pPr>
        <w:pStyle w:val="ListBullet"/>
        <w:spacing w:after="80" w:line="300" w:lineRule="auto"/>
        <w:ind w:left="540" w:hanging="271"/>
      </w:pPr>
      <w:r>
        <w:t>导出前确认所有数值与光伏页面一致。</w:t>
      </w:r>
    </w:p>
    <w:p>
      <w:r>
        <w:br w:type="page"/>
      </w:r>
    </w:p>
    <w:p>
      <w:pPr>
        <w:pStyle w:val="Heading1"/>
      </w:pPr>
      <w:r>
        <w:t>24. 光储联合汇报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光储联合汇报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7"/>
        </w:rPr>
        <w:t>图 24  光储联合汇报（广东工业园标准项目（匿名））</w:t>
      </w:r>
    </w:p>
    <w:p>
      <w:pPr>
        <w:pStyle w:val="ListBullet"/>
        <w:spacing w:after="80" w:line="300" w:lineRule="auto"/>
        <w:ind w:left="540" w:hanging="271"/>
      </w:pPr>
      <w:r>
        <w:t>联合报告同时呈现光伏、储能及协同增量。</w:t>
      </w:r>
    </w:p>
    <w:p>
      <w:pPr>
        <w:pStyle w:val="ListBullet"/>
        <w:spacing w:after="80" w:line="300" w:lineRule="auto"/>
        <w:ind w:left="540" w:hanging="271"/>
      </w:pPr>
      <w:r>
        <w:t>检查独立收益合计 + 联动增量 = 联合首年收益。</w:t>
      </w:r>
    </w:p>
    <w:p>
      <w:pPr>
        <w:pStyle w:val="ListBullet"/>
        <w:spacing w:after="80" w:line="300" w:lineRule="auto"/>
        <w:ind w:left="540" w:hanging="271"/>
      </w:pPr>
      <w:r>
        <w:t>参与方账本与系统经济账应保持边界清晰。</w:t>
      </w:r>
    </w:p>
    <w:p>
      <w:r>
        <w:br w:type="page"/>
      </w:r>
    </w:p>
    <w:p>
      <w:pPr>
        <w:pStyle w:val="Heading1"/>
      </w:pPr>
      <w:r>
        <w:t>25. 完整版项目书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完整版项目书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7"/>
        </w:rPr>
        <w:t>图 25  完整版项目书（广东工业园标准项目（匿名））</w:t>
      </w:r>
    </w:p>
    <w:p>
      <w:pPr>
        <w:pStyle w:val="ListBullet"/>
        <w:spacing w:after="80" w:line="300" w:lineRule="auto"/>
        <w:ind w:left="540" w:hanging="271"/>
      </w:pPr>
      <w:r>
        <w:t>完整版包含核心结论、模块章节、年度现金流和风险提示。</w:t>
      </w:r>
    </w:p>
    <w:p>
      <w:pPr>
        <w:pStyle w:val="ListBullet"/>
        <w:spacing w:after="80" w:line="300" w:lineRule="auto"/>
        <w:ind w:left="540" w:hanging="271"/>
      </w:pPr>
      <w:r>
        <w:t>打印/导出前查看分页与图表是否完整。</w:t>
      </w:r>
    </w:p>
    <w:p>
      <w:pPr>
        <w:pStyle w:val="ListBullet"/>
        <w:spacing w:after="80" w:line="300" w:lineRule="auto"/>
        <w:ind w:left="540" w:hanging="271"/>
      </w:pPr>
      <w:r>
        <w:t>报告仅供测算与辅助决策，不作为最终投资承诺。</w:t>
      </w:r>
    </w:p>
    <w:p>
      <w:r>
        <w:br w:type="page"/>
      </w:r>
    </w:p>
    <w:p>
      <w:pPr>
        <w:pStyle w:val="Heading1"/>
      </w:pPr>
      <w:r>
        <w:t>26. 项目管理与保存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项目管理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7"/>
        </w:rPr>
        <w:t>图 26  项目管理与保存（广东工业园标准项目（匿名））</w:t>
      </w:r>
    </w:p>
    <w:p>
      <w:pPr>
        <w:pStyle w:val="ListBullet"/>
        <w:spacing w:after="80" w:line="300" w:lineRule="auto"/>
        <w:ind w:left="540" w:hanging="271"/>
      </w:pPr>
      <w:r>
        <w:t>新建项目后使用保存功能固化当前状态。</w:t>
      </w:r>
    </w:p>
    <w:p>
      <w:pPr>
        <w:pStyle w:val="ListBullet"/>
        <w:spacing w:after="80" w:line="300" w:lineRule="auto"/>
        <w:ind w:left="540" w:hanging="271"/>
      </w:pPr>
      <w:r>
        <w:t>关闭并重新打开后检查最近项目和关键参数。</w:t>
      </w:r>
    </w:p>
    <w:p>
      <w:pPr>
        <w:pStyle w:val="ListBullet"/>
        <w:spacing w:after="80" w:line="300" w:lineRule="auto"/>
        <w:ind w:left="540" w:hanging="271"/>
      </w:pPr>
      <w:r>
        <w:t>删除项目前确认目标；申报演示项目不得混入真实客户记录。</w:t>
      </w:r>
    </w:p>
    <w:p>
      <w:r>
        <w:br w:type="page"/>
      </w:r>
    </w:p>
    <w:p>
      <w:pPr>
        <w:pStyle w:val="Heading1"/>
      </w:pPr>
      <w:r>
        <w:t>27. 关于软件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关于软件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7"/>
        </w:rPr>
        <w:t>图 27  关于软件（广东工业园标准项目（匿名））</w:t>
      </w:r>
    </w:p>
    <w:p>
      <w:pPr>
        <w:pStyle w:val="ListBullet"/>
        <w:spacing w:after="80" w:line="300" w:lineRule="auto"/>
        <w:ind w:left="540" w:hanging="271"/>
      </w:pPr>
      <w:r>
        <w:t>核对软件全称、简称与版本均为 V2.14。</w:t>
      </w:r>
    </w:p>
    <w:p>
      <w:pPr>
        <w:pStyle w:val="ListBullet"/>
        <w:spacing w:after="80" w:line="300" w:lineRule="auto"/>
        <w:ind w:left="540" w:hanging="271"/>
      </w:pPr>
      <w:r>
        <w:t>权利人字段在事实确认前显示“待权利人确认”。</w:t>
      </w:r>
    </w:p>
    <w:p>
      <w:pPr>
        <w:pStyle w:val="ListBullet"/>
        <w:spacing w:after="80" w:line="300" w:lineRule="auto"/>
        <w:ind w:left="540" w:hanging="271"/>
      </w:pPr>
      <w:r>
        <w:t>正式申报前需按权属确认表更新该字段并重新构建。</w:t>
      </w:r>
    </w:p>
    <w:p>
      <w:r>
        <w:br w:type="page"/>
      </w:r>
    </w:p>
    <w:p>
      <w:pPr>
        <w:pStyle w:val="Heading1"/>
      </w:pPr>
      <w:r>
        <w:t>28. 报告数值复核</w:t>
      </w:r>
    </w:p>
    <w:p>
      <w:pPr>
        <w:pStyle w:val="ListBullet"/>
        <w:spacing w:after="80" w:line="300" w:lineRule="auto"/>
        <w:ind w:left="540" w:hanging="271"/>
      </w:pPr>
      <w:r>
        <w:t>界面与报告使用相同项目快照。</w:t>
      </w:r>
    </w:p>
    <w:p>
      <w:pPr>
        <w:pStyle w:val="ListBullet"/>
        <w:spacing w:after="80" w:line="300" w:lineRule="auto"/>
        <w:ind w:left="540" w:hanging="271"/>
      </w:pPr>
      <w:r>
        <w:t>光伏、储能、综合收益应分别与独立验证表对照。</w:t>
      </w:r>
    </w:p>
    <w:p>
      <w:pPr>
        <w:pStyle w:val="ListBullet"/>
        <w:spacing w:after="80" w:line="300" w:lineRule="auto"/>
        <w:ind w:left="540" w:hanging="271"/>
      </w:pPr>
      <w:r>
        <w:t>金额保留位数可能因展示不同而变化，但底层值应在约定误差内一致。</w:t>
      </w:r>
    </w:p>
    <w:p>
      <w:r>
        <w:br w:type="page"/>
      </w:r>
    </w:p>
    <w:p>
      <w:pPr>
        <w:pStyle w:val="Heading1"/>
      </w:pPr>
      <w:r>
        <w:t>29. 常见问题</w:t>
      </w:r>
    </w:p>
    <w:p>
      <w:pPr>
        <w:pStyle w:val="ListBullet"/>
        <w:spacing w:after="80" w:line="300" w:lineRule="auto"/>
        <w:ind w:left="540" w:hanging="271"/>
      </w:pPr>
      <w:r>
        <w:t>没有收益：检查模块是否启用、输入是否为零、电价与运行时段是否完整。</w:t>
      </w:r>
    </w:p>
    <w:p>
      <w:pPr>
        <w:pStyle w:val="ListBullet"/>
        <w:spacing w:after="80" w:line="300" w:lineRule="auto"/>
        <w:ind w:left="540" w:hanging="271"/>
      </w:pPr>
      <w:r>
        <w:t>IRR 不显示：现金流可能没有正负号变化或未能形成有效根。</w:t>
      </w:r>
    </w:p>
    <w:p>
      <w:pPr>
        <w:pStyle w:val="ListBullet"/>
        <w:spacing w:after="80" w:line="300" w:lineRule="auto"/>
        <w:ind w:left="540" w:hanging="271"/>
      </w:pPr>
      <w:r>
        <w:t>保存后未恢复：检查浏览器本地存储权限并尝试重新保存。</w:t>
      </w:r>
    </w:p>
    <w:p>
      <w:pPr>
        <w:pStyle w:val="ListBullet"/>
        <w:spacing w:after="80" w:line="300" w:lineRule="auto"/>
        <w:ind w:left="540" w:hanging="271"/>
      </w:pPr>
      <w:r>
        <w:t>报告缺少模块：检查报告中心是否勾选且该模块属于正式范围。</w:t>
      </w:r>
    </w:p>
    <w:p>
      <w:r>
        <w:br w:type="page"/>
      </w:r>
    </w:p>
    <w:p>
      <w:pPr>
        <w:pStyle w:val="Heading1"/>
      </w:pPr>
      <w:r>
        <w:t>30. 数据安全与交付</w:t>
      </w:r>
    </w:p>
    <w:p>
      <w:pPr>
        <w:pStyle w:val="ListBullet"/>
        <w:spacing w:after="80" w:line="300" w:lineRule="auto"/>
        <w:ind w:left="540" w:hanging="271"/>
      </w:pPr>
      <w:r>
        <w:t>不在演示项目中使用真实客户名称、账号、手机号、密钥或精确地址。</w:t>
      </w:r>
    </w:p>
    <w:p>
      <w:pPr>
        <w:pStyle w:val="ListBullet"/>
        <w:spacing w:after="80" w:line="300" w:lineRule="auto"/>
        <w:ind w:left="540" w:hanging="271"/>
      </w:pPr>
      <w:r>
        <w:t>不把 .env、浏览器用户数据、日志和临时报告放入申报包。</w:t>
      </w:r>
    </w:p>
    <w:p>
      <w:pPr>
        <w:pStyle w:val="ListBullet"/>
        <w:spacing w:after="80" w:line="300" w:lineRule="auto"/>
        <w:ind w:left="540" w:hanging="271"/>
      </w:pPr>
      <w:r>
        <w:t>导出文件交付前检查元数据、文件名和截图。</w:t>
      </w:r>
    </w:p>
    <w:p>
      <w:r>
        <w:br w:type="page"/>
      </w:r>
    </w:p>
    <w:p>
      <w:pPr>
        <w:pStyle w:val="Heading1"/>
      </w:pPr>
      <w:r>
        <w:t>31. 标准算例关键结果</w:t>
      </w:r>
    </w:p>
    <w:p>
      <w:pPr>
        <w:pStyle w:val="ListBullet"/>
        <w:spacing w:after="80" w:line="300" w:lineRule="auto"/>
        <w:ind w:left="540" w:hanging="271"/>
      </w:pPr>
      <w:r>
        <w:t>光伏：1000 kW，首年发电 1,019,874.24 kWh，投资 320 万元，IRR 22.527%。</w:t>
      </w:r>
    </w:p>
    <w:p>
      <w:pPr>
        <w:pStyle w:val="ListBullet"/>
        <w:spacing w:after="80" w:line="300" w:lineRule="auto"/>
        <w:ind w:left="540" w:hanging="271"/>
      </w:pPr>
      <w:r>
        <w:t>储能：投资 450 万元，首年净收益 75.25 万元，IRR 11.581%。</w:t>
      </w:r>
    </w:p>
    <w:p>
      <w:pPr>
        <w:pStyle w:val="ListBullet"/>
        <w:spacing w:after="80" w:line="300" w:lineRule="auto"/>
        <w:ind w:left="540" w:hanging="271"/>
      </w:pPr>
      <w:r>
        <w:t>工程建议：180 kW / 1140 kWh；标准优化推荐光伏 1200 kW、储能 0。</w:t>
      </w:r>
    </w:p>
    <w:p>
      <w:pPr>
        <w:pStyle w:val="ListBullet"/>
        <w:spacing w:after="80" w:line="300" w:lineRule="auto"/>
        <w:ind w:left="540" w:hanging="271"/>
      </w:pPr>
      <w:r>
        <w:t>这些值用于回归核验，不替代真实项目输入。</w:t>
      </w:r>
    </w:p>
    <w:p>
      <w:r>
        <w:br w:type="page"/>
      </w:r>
    </w:p>
    <w:p>
      <w:pPr>
        <w:pStyle w:val="Heading1"/>
      </w:pPr>
      <w:r>
        <w:t>32. 正式提交前检查表</w:t>
      </w:r>
    </w:p>
    <w:p>
      <w:pPr>
        <w:pStyle w:val="ListBullet"/>
        <w:spacing w:after="80" w:line="300" w:lineRule="auto"/>
        <w:ind w:left="540" w:hanging="271"/>
      </w:pPr>
      <w:r>
        <w:t>确认申请人、共同开发关系与权属链。</w:t>
      </w:r>
    </w:p>
    <w:p>
      <w:pPr>
        <w:pStyle w:val="ListBullet"/>
        <w:spacing w:after="80" w:line="300" w:lineRule="auto"/>
        <w:ind w:left="540" w:hanging="271"/>
      </w:pPr>
      <w:r>
        <w:t>确认开发完成日期和首次发表状态有证据。</w:t>
      </w:r>
    </w:p>
    <w:p>
      <w:pPr>
        <w:pStyle w:val="ListBullet"/>
        <w:spacing w:after="80" w:line="300" w:lineRule="auto"/>
        <w:ind w:left="540" w:hanging="271"/>
      </w:pPr>
      <w:r>
        <w:t>完成安装包干净环境安装与启动验证。</w:t>
      </w:r>
    </w:p>
    <w:p>
      <w:pPr>
        <w:pStyle w:val="ListBullet"/>
        <w:spacing w:after="80" w:line="300" w:lineRule="auto"/>
        <w:ind w:left="540" w:hanging="271"/>
      </w:pPr>
      <w:r>
        <w:t>重新运行构建、标准算例、持久化、报告导出和敏感扫描。</w:t>
      </w:r>
    </w:p>
    <w:p>
      <w:pPr>
        <w:pStyle w:val="ListBullet"/>
        <w:spacing w:after="80" w:line="300" w:lineRule="auto"/>
        <w:ind w:left="540" w:hanging="271"/>
      </w:pPr>
      <w:r>
        <w:t>确保申请表、界面、报告、截图、源程序和说明书完全一致。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7"/>
      </w:rPr>
      <w:t xml:space="preserve">第 </w:t>
    </w:r>
    <w:fldSimple w:instr="PAGE"/>
    <w:r>
      <w:rPr>
        <w:color w:val="64748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4748B"/>
        <w:sz w:val="17"/>
      </w:rPr>
      <w:t>零碳项目辅助决策系统 · V2.14  |  用户操作说明书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iragino Sans GB" w:hAnsi="Hiragino Sans GB" w:eastAsia="Hiragino Sans GB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5B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5B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7255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