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40"/>
        <w:jc w:val="center"/>
      </w:pPr>
      <w:r>
        <w:rPr>
          <w:b/>
          <w:color w:val="172554"/>
          <w:sz w:val="50"/>
        </w:rPr>
        <w:t>园区综合能源项目投资收益测算与辅助决策系统</w:t>
      </w:r>
    </w:p>
    <w:p>
      <w:pPr>
        <w:jc w:val="center"/>
      </w:pPr>
      <w:r>
        <w:rPr>
          <w:b/>
          <w:color w:val="2E5BFF"/>
          <w:sz w:val="40"/>
        </w:rPr>
        <w:t>V2.14 设计说明书</w:t>
      </w:r>
    </w:p>
    <w:p>
      <w:pPr>
        <w:jc w:val="center"/>
      </w:pPr>
      <w:r>
        <w:rPr>
          <w:color w:val="64748B"/>
          <w:sz w:val="24"/>
        </w:rPr>
        <w:t>面向软著登记的系统架构、数据、算法与安全设计说明</w:t>
      </w:r>
    </w:p>
    <w:p/>
    <w:p/>
    <w:p/>
    <w:p/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t>软件简称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零碳项目辅助决策系统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t>版本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V2.14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t>编制日期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2026年8月2日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t>权利人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待权利人确认</w:t>
            </w:r>
          </w:p>
        </w:tc>
      </w:tr>
    </w:tbl>
    <w:p>
      <w:r>
        <w:br w:type="page"/>
      </w:r>
    </w:p>
    <w:p>
      <w:pPr>
        <w:pStyle w:val="Heading1"/>
      </w:pPr>
      <w:r>
        <w:t>文档说明</w:t>
      </w:r>
    </w:p>
    <w:p>
      <w:r>
        <w:t>本文档描述 V2.14 已实现并可演示的软件范围。未纳入功能不会被描述为现有能力。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200"/>
          </w:tcPr>
          <w:p>
            <w:r>
              <w:t>技术栈</w:t>
            </w:r>
          </w:p>
        </w:tc>
        <w:tc>
          <w:tcPr>
            <w:tcW w:type="dxa" w:w="7160"/>
          </w:tcPr>
          <w:p>
            <w:r>
              <w:t>Electron + React + TypeScript + Vite</w:t>
            </w:r>
          </w:p>
        </w:tc>
      </w:tr>
      <w:tr>
        <w:tc>
          <w:tcPr>
            <w:tcW w:type="dxa" w:w="2200"/>
          </w:tcPr>
          <w:p>
            <w:r>
              <w:t>数据存储</w:t>
            </w:r>
          </w:p>
        </w:tc>
        <w:tc>
          <w:tcPr>
            <w:tcW w:type="dxa" w:w="7160"/>
          </w:tcPr>
          <w:p>
            <w:r>
              <w:t>IndexedDB/localStorage，本地优先；可选外部适配器不作为申报必要条件</w:t>
            </w:r>
          </w:p>
        </w:tc>
      </w:tr>
      <w:tr>
        <w:tc>
          <w:tcPr>
            <w:tcW w:type="dxa" w:w="2200"/>
          </w:tcPr>
          <w:p>
            <w:r>
              <w:t>正式范围</w:t>
            </w:r>
          </w:p>
        </w:tc>
        <w:tc>
          <w:tcPr>
            <w:tcW w:type="dxa" w:w="7160"/>
          </w:tcPr>
          <w:p>
            <w:r>
              <w:t>项目管理、电价、光伏、储能、稳定节能改造、综合收益、报告</w:t>
            </w:r>
          </w:p>
        </w:tc>
      </w:tr>
      <w:tr>
        <w:tc>
          <w:tcPr>
            <w:tcW w:type="dxa" w:w="2200"/>
          </w:tcPr>
          <w:p>
            <w:r>
              <w:t>排除范围</w:t>
            </w:r>
          </w:p>
        </w:tc>
        <w:tc>
          <w:tcPr>
            <w:tcW w:type="dxa" w:w="7160"/>
          </w:tcPr>
          <w:p>
            <w:r>
              <w:t>真实 AI 决策、真实碳交易、实时 VPP/物联网/数字孪生控制</w:t>
            </w:r>
          </w:p>
        </w:tc>
      </w:tr>
    </w:tbl>
    <w:p>
      <w:r>
        <w:br w:type="page"/>
      </w:r>
    </w:p>
    <w:p>
      <w:pPr>
        <w:pStyle w:val="Heading1"/>
      </w:pPr>
      <w:r>
        <w:t>1. 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总体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图 1  V2.14 总体架构</w:t>
      </w:r>
    </w:p>
    <w:p>
      <w:r>
        <w:t>界面层负责数据录入与结果展示；领域状态层隔离应用、配置与业务模块状态；计算引擎由纯函数和模块 Hook 承担；持久化服务提供本地项目恢复；报告层只消费经范围过滤和口径统一后的结果。</w:t>
      </w:r>
    </w:p>
    <w:p>
      <w:r>
        <w:br w:type="page"/>
      </w:r>
    </w:p>
    <w:p>
      <w:pPr>
        <w:pStyle w:val="Heading1"/>
      </w:pPr>
      <w:r>
        <w:t>2. 业务测算流程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测算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图 2  从项目录入到报告输出的操作与数据流程</w:t>
      </w:r>
    </w:p>
    <w:p>
      <w:pPr>
        <w:pStyle w:val="ListBullet"/>
        <w:spacing w:after="80" w:line="300" w:lineRule="auto"/>
        <w:ind w:left="540" w:hanging="271"/>
      </w:pPr>
      <w:r>
        <w:t>项目输入形成统一项目快照。</w:t>
      </w:r>
    </w:p>
    <w:p>
      <w:pPr>
        <w:pStyle w:val="ListBullet"/>
        <w:spacing w:after="80" w:line="300" w:lineRule="auto"/>
        <w:ind w:left="540" w:hanging="271"/>
      </w:pPr>
      <w:r>
        <w:t>电价模型为光伏自用、储能套利和节能收益提供价格边界。</w:t>
      </w:r>
    </w:p>
    <w:p>
      <w:pPr>
        <w:pStyle w:val="ListBullet"/>
        <w:spacing w:after="80" w:line="300" w:lineRule="auto"/>
        <w:ind w:left="540" w:hanging="271"/>
      </w:pPr>
      <w:r>
        <w:t>各板块独立测算后，经聚合器去重并识别光储协同增量。</w:t>
      </w:r>
    </w:p>
    <w:p>
      <w:pPr>
        <w:pStyle w:val="ListBullet"/>
        <w:spacing w:after="80" w:line="300" w:lineRule="auto"/>
        <w:ind w:left="540" w:hanging="271"/>
      </w:pPr>
      <w:r>
        <w:t>报告输出保持名称、版本、单位和免责声明一致。</w:t>
      </w:r>
    </w:p>
    <w:p>
      <w:r>
        <w:br w:type="page"/>
      </w:r>
    </w:p>
    <w:p>
      <w:pPr>
        <w:pStyle w:val="Heading1"/>
      </w:pPr>
      <w:r>
        <w:t>3. 正式模块关系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模块关系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图 3  V2.14 正式业务模块及依赖关系</w:t>
      </w:r>
    </w:p>
    <w:p>
      <w:r>
        <w:t>光伏与储能存在物理联动：光伏余电可进入储能，后续由负荷消纳；协同价值采用有储能与无储能反事实差额计算，不按固定增益比例虚构。</w:t>
      </w:r>
    </w:p>
    <w:p>
      <w:r>
        <w:br w:type="page"/>
      </w:r>
    </w:p>
    <w:p>
      <w:pPr>
        <w:pStyle w:val="Heading1"/>
      </w:pPr>
      <w:r>
        <w:t>4. 报告生成设计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报告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图 4  报告生成与范围过滤流程</w:t>
      </w:r>
    </w:p>
    <w:p>
      <w:r>
        <w:t>报告中心先过滤未纳入模块，再把项目、模块和现金流指标标准化。Excel 用于数据复核，PDF 用于展示；所有导出显示 V2.14 身份。</w:t>
      </w:r>
    </w:p>
    <w:p>
      <w:r>
        <w:br w:type="page"/>
      </w:r>
    </w:p>
    <w:p>
      <w:pPr>
        <w:pStyle w:val="Heading1"/>
      </w:pPr>
      <w:r>
        <w:t>5. 目录与职责划分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设计说明</w:t>
            </w:r>
          </w:p>
        </w:tc>
      </w:tr>
      <w:tr>
        <w:tc>
          <w:tcPr>
            <w:tcW w:type="dxa" w:w="2500"/>
          </w:tcPr>
          <w:p>
            <w:r>
              <w:t>src/modules/solar</w:t>
            </w:r>
          </w:p>
        </w:tc>
        <w:tc>
          <w:tcPr>
            <w:tcW w:type="dxa" w:w="6860"/>
          </w:tcPr>
          <w:p>
            <w:r>
              <w:t>光伏模块入口、子组件、类型与计算 Hook</w:t>
            </w:r>
          </w:p>
        </w:tc>
      </w:tr>
      <w:tr>
        <w:tc>
          <w:tcPr>
            <w:tcW w:type="dxa" w:w="2500"/>
          </w:tcPr>
          <w:p>
            <w:r>
              <w:t>src/modules/storage</w:t>
            </w:r>
          </w:p>
        </w:tc>
        <w:tc>
          <w:tcPr>
            <w:tcW w:type="dxa" w:w="6860"/>
          </w:tcPr>
          <w:p>
            <w:r>
              <w:t>储能工程与财务模型</w:t>
            </w:r>
          </w:p>
        </w:tc>
      </w:tr>
      <w:tr>
        <w:tc>
          <w:tcPr>
            <w:tcW w:type="dxa" w:w="2500"/>
          </w:tcPr>
          <w:p>
            <w:r>
              <w:t>context</w:t>
            </w:r>
          </w:p>
        </w:tc>
        <w:tc>
          <w:tcPr>
            <w:tcW w:type="dxa" w:w="6860"/>
          </w:tcPr>
          <w:p>
            <w:r>
              <w:t>App、Config、Module 等领域状态</w:t>
            </w:r>
          </w:p>
        </w:tc>
      </w:tr>
      <w:tr>
        <w:tc>
          <w:tcPr>
            <w:tcW w:type="dxa" w:w="2500"/>
          </w:tcPr>
          <w:p>
            <w:r>
              <w:t>services</w:t>
            </w:r>
          </w:p>
        </w:tc>
        <w:tc>
          <w:tcPr>
            <w:tcW w:type="dxa" w:w="6860"/>
          </w:tcPr>
          <w:p>
            <w:r>
              <w:t>本地存储、记忆及外部适配封装</w:t>
            </w:r>
          </w:p>
        </w:tc>
      </w:tr>
      <w:tr>
        <w:tc>
          <w:tcPr>
            <w:tcW w:type="dxa" w:w="2500"/>
          </w:tcPr>
          <w:p>
            <w:r>
              <w:t>utils</w:t>
            </w:r>
          </w:p>
        </w:tc>
        <w:tc>
          <w:tcPr>
            <w:tcW w:type="dxa" w:w="6860"/>
          </w:tcPr>
          <w:p>
            <w:r>
              <w:t>财务、聚合、报告与格式化纯函数</w:t>
            </w:r>
          </w:p>
        </w:tc>
      </w:tr>
      <w:tr>
        <w:tc>
          <w:tcPr>
            <w:tcW w:type="dxa" w:w="2500"/>
          </w:tcPr>
          <w:p>
            <w:r>
              <w:t>shared</w:t>
            </w:r>
          </w:p>
        </w:tc>
        <w:tc>
          <w:tcPr>
            <w:tcW w:type="dxa" w:w="6860"/>
          </w:tcPr>
          <w:p>
            <w:r>
              <w:t>共享组件、类型与产品身份配置</w:t>
            </w:r>
          </w:p>
        </w:tc>
      </w:tr>
    </w:tbl>
    <w:p>
      <w:r>
        <w:t>本节内容以 V2.14 当前代码与标准算例为依据；申请前如调整权利主体或首次发表信息，只更新身份字段，不改变业务口径。</w:t>
      </w:r>
    </w:p>
    <w:p>
      <w:r>
        <w:br w:type="page"/>
      </w:r>
    </w:p>
    <w:p>
      <w:pPr>
        <w:pStyle w:val="Heading1"/>
      </w:pPr>
      <w:r>
        <w:t>6. 项目数据模型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设计说明</w:t>
            </w:r>
          </w:p>
        </w:tc>
      </w:tr>
      <w:tr>
        <w:tc>
          <w:tcPr>
            <w:tcW w:type="dxa" w:w="2500"/>
          </w:tcPr>
          <w:p>
            <w:r>
              <w:t>ProjectBaseInfo</w:t>
            </w:r>
          </w:p>
        </w:tc>
        <w:tc>
          <w:tcPr>
            <w:tcW w:type="dxa" w:w="6860"/>
          </w:tcPr>
          <w:p>
            <w:r>
              <w:t>项目名称、地区、类型、联系人（申报演示不含真实联系人）</w:t>
            </w:r>
          </w:p>
        </w:tc>
      </w:tr>
      <w:tr>
        <w:tc>
          <w:tcPr>
            <w:tcW w:type="dxa" w:w="2500"/>
          </w:tcPr>
          <w:p>
            <w:r>
              <w:t>Building/Transformer</w:t>
            </w:r>
          </w:p>
        </w:tc>
        <w:tc>
          <w:tcPr>
            <w:tcW w:type="dxa" w:w="6860"/>
          </w:tcPr>
          <w:p>
            <w:r>
              <w:t>建筑面积、屋顶、变压器与负荷边界</w:t>
            </w:r>
          </w:p>
        </w:tc>
      </w:tr>
      <w:tr>
        <w:tc>
          <w:tcPr>
            <w:tcW w:type="dxa" w:w="2500"/>
          </w:tcPr>
          <w:p>
            <w:r>
              <w:t>ElectricityBill</w:t>
            </w:r>
          </w:p>
        </w:tc>
        <w:tc>
          <w:tcPr>
            <w:tcW w:type="dxa" w:w="6860"/>
          </w:tcPr>
          <w:p>
            <w:r>
              <w:t>月电量、需量、电费与峰平谷结构</w:t>
            </w:r>
          </w:p>
        </w:tc>
      </w:tr>
      <w:tr>
        <w:tc>
          <w:tcPr>
            <w:tcW w:type="dxa" w:w="2500"/>
          </w:tcPr>
          <w:p>
            <w:r>
              <w:t>ModuleData</w:t>
            </w:r>
          </w:p>
        </w:tc>
        <w:tc>
          <w:tcPr>
            <w:tcW w:type="dxa" w:w="6860"/>
          </w:tcPr>
          <w:p>
            <w:r>
              <w:t>板块启用状态、策略、投资、收益与工程参数</w:t>
            </w:r>
          </w:p>
        </w:tc>
      </w:tr>
      <w:tr>
        <w:tc>
          <w:tcPr>
            <w:tcW w:type="dxa" w:w="2500"/>
          </w:tcPr>
          <w:p>
            <w:r>
              <w:t>ReportSnapshot</w:t>
            </w:r>
          </w:p>
        </w:tc>
        <w:tc>
          <w:tcPr>
            <w:tcW w:type="dxa" w:w="6860"/>
          </w:tcPr>
          <w:p>
            <w:r>
              <w:t>经过范围过滤的项目与模块结果快照</w:t>
            </w:r>
          </w:p>
        </w:tc>
      </w:tr>
    </w:tbl>
    <w:p>
      <w:r>
        <w:t>本节内容以 V2.14 当前代码与标准算例为依据；申请前如调整权利主体或首次发表信息，只更新身份字段，不改变业务口径。</w:t>
      </w:r>
    </w:p>
    <w:p>
      <w:r>
        <w:br w:type="page"/>
      </w:r>
    </w:p>
    <w:p>
      <w:pPr>
        <w:pStyle w:val="Heading1"/>
      </w:pPr>
      <w:r>
        <w:t>7. 状态管理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设计说明</w:t>
            </w:r>
          </w:p>
        </w:tc>
      </w:tr>
      <w:tr>
        <w:tc>
          <w:tcPr>
            <w:tcW w:type="dxa" w:w="2500"/>
          </w:tcPr>
          <w:p>
            <w:r>
              <w:t>AppContext</w:t>
            </w:r>
          </w:p>
        </w:tc>
        <w:tc>
          <w:tcPr>
            <w:tcW w:type="dxa" w:w="6860"/>
          </w:tcPr>
          <w:p>
            <w:r>
              <w:t>当前视图、应用级交互</w:t>
            </w:r>
          </w:p>
        </w:tc>
      </w:tr>
      <w:tr>
        <w:tc>
          <w:tcPr>
            <w:tcW w:type="dxa" w:w="2500"/>
          </w:tcPr>
          <w:p>
            <w:r>
              <w:t>ConfigContext</w:t>
            </w:r>
          </w:p>
        </w:tc>
        <w:tc>
          <w:tcPr>
            <w:tcW w:type="dxa" w:w="6860"/>
          </w:tcPr>
          <w:p>
            <w:r>
              <w:t>电价、地区和全局配置</w:t>
            </w:r>
          </w:p>
        </w:tc>
      </w:tr>
      <w:tr>
        <w:tc>
          <w:tcPr>
            <w:tcW w:type="dxa" w:w="2500"/>
          </w:tcPr>
          <w:p>
            <w:r>
              <w:t>ModuleContext</w:t>
            </w:r>
          </w:p>
        </w:tc>
        <w:tc>
          <w:tcPr>
            <w:tcW w:type="dxa" w:w="6860"/>
          </w:tcPr>
          <w:p>
            <w:r>
              <w:t>跨板块汇总所需的模块状态</w:t>
            </w:r>
          </w:p>
        </w:tc>
      </w:tr>
      <w:tr>
        <w:tc>
          <w:tcPr>
            <w:tcW w:type="dxa" w:w="2500"/>
          </w:tcPr>
          <w:p>
            <w:r>
              <w:t>模块本地 Hook</w:t>
            </w:r>
          </w:p>
        </w:tc>
        <w:tc>
          <w:tcPr>
            <w:tcW w:type="dxa" w:w="6860"/>
          </w:tcPr>
          <w:p>
            <w:r>
              <w:t>只在单一业务板块内部流转的参数与派生结果</w:t>
            </w:r>
          </w:p>
        </w:tc>
      </w:tr>
    </w:tbl>
    <w:p>
      <w:r>
        <w:t>本节内容以 V2.14 当前代码与标准算例为依据；申请前如调整权利主体或首次发表信息，只更新身份字段，不改变业务口径。</w:t>
      </w:r>
    </w:p>
    <w:p>
      <w:r>
        <w:br w:type="page"/>
      </w:r>
    </w:p>
    <w:p>
      <w:pPr>
        <w:pStyle w:val="Heading1"/>
      </w:pPr>
      <w:r>
        <w:t>8. 本地持久化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设计说明</w:t>
            </w:r>
          </w:p>
        </w:tc>
      </w:tr>
      <w:tr>
        <w:tc>
          <w:tcPr>
            <w:tcW w:type="dxa" w:w="2500"/>
          </w:tcPr>
          <w:p>
            <w:r>
              <w:t>项目保存</w:t>
            </w:r>
          </w:p>
        </w:tc>
        <w:tc>
          <w:tcPr>
            <w:tcW w:type="dxa" w:w="6860"/>
          </w:tcPr>
          <w:p>
            <w:r>
              <w:t>序列化项目快照并写入本地存储</w:t>
            </w:r>
          </w:p>
        </w:tc>
      </w:tr>
      <w:tr>
        <w:tc>
          <w:tcPr>
            <w:tcW w:type="dxa" w:w="2500"/>
          </w:tcPr>
          <w:p>
            <w:r>
              <w:t>恢复</w:t>
            </w:r>
          </w:p>
        </w:tc>
        <w:tc>
          <w:tcPr>
            <w:tcW w:type="dxa" w:w="6860"/>
          </w:tcPr>
          <w:p>
            <w:r>
              <w:t>解析保存值、兼容缺失字段并恢复最近项目</w:t>
            </w:r>
          </w:p>
        </w:tc>
      </w:tr>
      <w:tr>
        <w:tc>
          <w:tcPr>
            <w:tcW w:type="dxa" w:w="2500"/>
          </w:tcPr>
          <w:p>
            <w:r>
              <w:t>偏好记忆</w:t>
            </w:r>
          </w:p>
        </w:tc>
        <w:tc>
          <w:tcPr>
            <w:tcW w:type="dxa" w:w="6860"/>
          </w:tcPr>
          <w:p>
            <w:r>
              <w:t>默认地区、建筑类型、计算模式和模板</w:t>
            </w:r>
          </w:p>
        </w:tc>
      </w:tr>
      <w:tr>
        <w:tc>
          <w:tcPr>
            <w:tcW w:type="dxa" w:w="2500"/>
          </w:tcPr>
          <w:p>
            <w:r>
              <w:t>异常降级</w:t>
            </w:r>
          </w:p>
        </w:tc>
        <w:tc>
          <w:tcPr>
            <w:tcW w:type="dxa" w:w="6860"/>
          </w:tcPr>
          <w:p>
            <w:r>
              <w:t>解析失败或存储不可用时返回安全默认值，不扩散损坏状态</w:t>
            </w:r>
          </w:p>
        </w:tc>
      </w:tr>
    </w:tbl>
    <w:p>
      <w:r>
        <w:t>本节内容以 V2.14 当前代码与标准算例为依据；申请前如调整权利主体或首次发表信息，只更新身份字段，不改变业务口径。</w:t>
      </w:r>
    </w:p>
    <w:p>
      <w:r>
        <w:br w:type="page"/>
      </w:r>
    </w:p>
    <w:p>
      <w:pPr>
        <w:pStyle w:val="Heading1"/>
      </w:pPr>
      <w:r>
        <w:t>9. 光伏计算引擎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设计说明</w:t>
            </w:r>
          </w:p>
        </w:tc>
      </w:tr>
      <w:tr>
        <w:tc>
          <w:tcPr>
            <w:tcW w:type="dxa" w:w="2500"/>
          </w:tcPr>
          <w:p>
            <w:r>
              <w:t>输入</w:t>
            </w:r>
          </w:p>
        </w:tc>
        <w:tc>
          <w:tcPr>
            <w:tcW w:type="dxa" w:w="6860"/>
          </w:tcPr>
          <w:p>
            <w:r>
              <w:t>容量 kWp、等效日照 h/d、系统效率、方位效率、消纳率、电价、单位投资</w:t>
            </w:r>
          </w:p>
        </w:tc>
      </w:tr>
      <w:tr>
        <w:tc>
          <w:tcPr>
            <w:tcW w:type="dxa" w:w="2500"/>
          </w:tcPr>
          <w:p>
            <w:r>
              <w:t>发电</w:t>
            </w:r>
          </w:p>
        </w:tc>
        <w:tc>
          <w:tcPr>
            <w:tcW w:type="dxa" w:w="6860"/>
          </w:tcPr>
          <w:p>
            <w:r>
              <w:t>年发电量 = 容量×日照×365×系统效率×方位效率</w:t>
            </w:r>
          </w:p>
        </w:tc>
      </w:tr>
      <w:tr>
        <w:tc>
          <w:tcPr>
            <w:tcW w:type="dxa" w:w="2500"/>
          </w:tcPr>
          <w:p>
            <w:r>
              <w:t>衰减</w:t>
            </w:r>
          </w:p>
        </w:tc>
        <w:tc>
          <w:tcPr>
            <w:tcW w:type="dxa" w:w="6860"/>
          </w:tcPr>
          <w:p>
            <w:r>
              <w:t>首年与逐年衰减按代码配置形成年度发电曲线</w:t>
            </w:r>
          </w:p>
        </w:tc>
      </w:tr>
      <w:tr>
        <w:tc>
          <w:tcPr>
            <w:tcW w:type="dxa" w:w="2500"/>
          </w:tcPr>
          <w:p>
            <w:r>
              <w:t>收益</w:t>
            </w:r>
          </w:p>
        </w:tc>
        <w:tc>
          <w:tcPr>
            <w:tcW w:type="dxa" w:w="6860"/>
          </w:tcPr>
          <w:p>
            <w:r>
              <w:t>自用电量×购电价 + 上网电量×上网电价 − 运维及税费</w:t>
            </w:r>
          </w:p>
        </w:tc>
      </w:tr>
      <w:tr>
        <w:tc>
          <w:tcPr>
            <w:tcW w:type="dxa" w:w="2500"/>
          </w:tcPr>
          <w:p>
            <w:r>
              <w:t>模式</w:t>
            </w:r>
          </w:p>
        </w:tc>
        <w:tc>
          <w:tcPr>
            <w:tcW w:type="dxa" w:w="6860"/>
          </w:tcPr>
          <w:p>
            <w:r>
              <w:t>EPC 为业主投资现金流；EMC 按合同分配收益和责任</w:t>
            </w:r>
          </w:p>
        </w:tc>
      </w:tr>
    </w:tbl>
    <w:p>
      <w:r>
        <w:t>本节内容以 V2.14 当前代码与标准算例为依据；申请前如调整权利主体或首次发表信息，只更新身份字段，不改变业务口径。</w:t>
      </w:r>
    </w:p>
    <w:p>
      <w:r>
        <w:br w:type="page"/>
      </w:r>
    </w:p>
    <w:p>
      <w:pPr>
        <w:pStyle w:val="Heading1"/>
      </w:pPr>
      <w:r>
        <w:t>10. 储能计算引擎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设计说明</w:t>
            </w:r>
          </w:p>
        </w:tc>
      </w:tr>
      <w:tr>
        <w:tc>
          <w:tcPr>
            <w:tcW w:type="dxa" w:w="2500"/>
          </w:tcPr>
          <w:p>
            <w:r>
              <w:t>输入</w:t>
            </w:r>
          </w:p>
        </w:tc>
        <w:tc>
          <w:tcPr>
            <w:tcW w:type="dxa" w:w="6860"/>
          </w:tcPr>
          <w:p>
            <w:r>
              <w:t>功率 kW、容量 kWh、DOD、RTE、循环、衰减、价格时段、单位成本</w:t>
            </w:r>
          </w:p>
        </w:tc>
      </w:tr>
      <w:tr>
        <w:tc>
          <w:tcPr>
            <w:tcW w:type="dxa" w:w="2500"/>
          </w:tcPr>
          <w:p>
            <w:r>
              <w:t>调度</w:t>
            </w:r>
          </w:p>
        </w:tc>
        <w:tc>
          <w:tcPr>
            <w:tcW w:type="dxa" w:w="6860"/>
          </w:tcPr>
          <w:p>
            <w:r>
              <w:t>按 SOC、功率和可用容量约束逐时充放电</w:t>
            </w:r>
          </w:p>
        </w:tc>
      </w:tr>
      <w:tr>
        <w:tc>
          <w:tcPr>
            <w:tcW w:type="dxa" w:w="2500"/>
          </w:tcPr>
          <w:p>
            <w:r>
              <w:t>套利</w:t>
            </w:r>
          </w:p>
        </w:tc>
        <w:tc>
          <w:tcPr>
            <w:tcW w:type="dxa" w:w="6860"/>
          </w:tcPr>
          <w:p>
            <w:r>
              <w:t>放电价值减充电成本、辅助用电和运维</w:t>
            </w:r>
          </w:p>
        </w:tc>
      </w:tr>
      <w:tr>
        <w:tc>
          <w:tcPr>
            <w:tcW w:type="dxa" w:w="2500"/>
          </w:tcPr>
          <w:p>
            <w:r>
              <w:t>更换</w:t>
            </w:r>
          </w:p>
        </w:tc>
        <w:tc>
          <w:tcPr>
            <w:tcW w:type="dxa" w:w="6860"/>
          </w:tcPr>
          <w:p>
            <w:r>
              <w:t>标准算例第 10 年按初始投资 25%计更换支出</w:t>
            </w:r>
          </w:p>
        </w:tc>
      </w:tr>
      <w:tr>
        <w:tc>
          <w:tcPr>
            <w:tcW w:type="dxa" w:w="2500"/>
          </w:tcPr>
          <w:p>
            <w:r>
              <w:t>残值</w:t>
            </w:r>
          </w:p>
        </w:tc>
        <w:tc>
          <w:tcPr>
            <w:tcW w:type="dxa" w:w="6860"/>
          </w:tcPr>
          <w:p>
            <w:r>
              <w:t>测算期末按约定残值率进入最后一年现金流</w:t>
            </w:r>
          </w:p>
        </w:tc>
      </w:tr>
    </w:tbl>
    <w:p>
      <w:r>
        <w:t>本节内容以 V2.14 当前代码与标准算例为依据；申请前如调整权利主体或首次发表信息，只更新身份字段，不改变业务口径。</w:t>
      </w:r>
    </w:p>
    <w:p>
      <w:r>
        <w:br w:type="page"/>
      </w:r>
    </w:p>
    <w:p>
      <w:pPr>
        <w:pStyle w:val="Heading1"/>
      </w:pPr>
      <w:r>
        <w:t>11. 光储协同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设计说明</w:t>
            </w:r>
          </w:p>
        </w:tc>
      </w:tr>
      <w:tr>
        <w:tc>
          <w:tcPr>
            <w:tcW w:type="dxa" w:w="2500"/>
          </w:tcPr>
          <w:p>
            <w:r>
              <w:t>优先级</w:t>
            </w:r>
          </w:p>
        </w:tc>
        <w:tc>
          <w:tcPr>
            <w:tcW w:type="dxa" w:w="6860"/>
          </w:tcPr>
          <w:p>
            <w:r>
              <w:t>光伏先供即时负荷，余电充储能，再考虑上网</w:t>
            </w:r>
          </w:p>
        </w:tc>
      </w:tr>
      <w:tr>
        <w:tc>
          <w:tcPr>
            <w:tcW w:type="dxa" w:w="2500"/>
          </w:tcPr>
          <w:p>
            <w:r>
              <w:t>限制</w:t>
            </w:r>
          </w:p>
        </w:tc>
        <w:tc>
          <w:tcPr>
            <w:tcW w:type="dxa" w:w="6860"/>
          </w:tcPr>
          <w:p>
            <w:r>
              <w:t>充电不超过余电、功率、SOC 与有效容量；放电不超过后续负荷</w:t>
            </w:r>
          </w:p>
        </w:tc>
      </w:tr>
      <w:tr>
        <w:tc>
          <w:tcPr>
            <w:tcW w:type="dxa" w:w="2500"/>
          </w:tcPr>
          <w:p>
            <w:r>
              <w:t>增量价值</w:t>
            </w:r>
          </w:p>
        </w:tc>
        <w:tc>
          <w:tcPr>
            <w:tcW w:type="dxa" w:w="6860"/>
          </w:tcPr>
          <w:p>
            <w:r>
              <w:t>联合场景收益 − 无储能反事实场景收益</w:t>
            </w:r>
          </w:p>
        </w:tc>
      </w:tr>
      <w:tr>
        <w:tc>
          <w:tcPr>
            <w:tcW w:type="dxa" w:w="2500"/>
          </w:tcPr>
          <w:p>
            <w:r>
              <w:t>去重</w:t>
            </w:r>
          </w:p>
        </w:tc>
        <w:tc>
          <w:tcPr>
            <w:tcW w:type="dxa" w:w="6860"/>
          </w:tcPr>
          <w:p>
            <w:r>
              <w:t>储能协同增量只在联合章节确认，不重复计入独立收益</w:t>
            </w:r>
          </w:p>
        </w:tc>
      </w:tr>
    </w:tbl>
    <w:p>
      <w:r>
        <w:t>本节内容以 V2.14 当前代码与标准算例为依据；申请前如调整权利主体或首次发表信息，只更新身份字段，不改变业务口径。</w:t>
      </w:r>
    </w:p>
    <w:p>
      <w:r>
        <w:br w:type="page"/>
      </w:r>
    </w:p>
    <w:p>
      <w:pPr>
        <w:pStyle w:val="Heading1"/>
      </w:pPr>
      <w:r>
        <w:t>12. 财务模型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设计说明</w:t>
            </w:r>
          </w:p>
        </w:tc>
      </w:tr>
      <w:tr>
        <w:tc>
          <w:tcPr>
            <w:tcW w:type="dxa" w:w="2500"/>
          </w:tcPr>
          <w:p>
            <w:r>
              <w:t>NPV</w:t>
            </w:r>
          </w:p>
        </w:tc>
        <w:tc>
          <w:tcPr>
            <w:tcW w:type="dxa" w:w="6860"/>
          </w:tcPr>
          <w:p>
            <w:r>
              <w:t>NPV = Σ CF_t/(1+r)^t，t=0 为初始投资</w:t>
            </w:r>
          </w:p>
        </w:tc>
      </w:tr>
      <w:tr>
        <w:tc>
          <w:tcPr>
            <w:tcW w:type="dxa" w:w="2500"/>
          </w:tcPr>
          <w:p>
            <w:r>
              <w:t>IRR</w:t>
            </w:r>
          </w:p>
        </w:tc>
        <w:tc>
          <w:tcPr>
            <w:tcW w:type="dxa" w:w="6860"/>
          </w:tcPr>
          <w:p>
            <w:r>
              <w:t>使 NPV=0 的折现率；无有效符号变化时不强行给出</w:t>
            </w:r>
          </w:p>
        </w:tc>
      </w:tr>
      <w:tr>
        <w:tc>
          <w:tcPr>
            <w:tcW w:type="dxa" w:w="2500"/>
          </w:tcPr>
          <w:p>
            <w:r>
              <w:t>动态回收期</w:t>
            </w:r>
          </w:p>
        </w:tc>
        <w:tc>
          <w:tcPr>
            <w:tcW w:type="dxa" w:w="6860"/>
          </w:tcPr>
          <w:p>
            <w:r>
              <w:t>累计折现现金流由负转正的年度加分数年</w:t>
            </w:r>
          </w:p>
        </w:tc>
      </w:tr>
      <w:tr>
        <w:tc>
          <w:tcPr>
            <w:tcW w:type="dxa" w:w="2500"/>
          </w:tcPr>
          <w:p>
            <w:r>
              <w:t>ROI</w:t>
            </w:r>
          </w:p>
        </w:tc>
        <w:tc>
          <w:tcPr>
            <w:tcW w:type="dxa" w:w="6860"/>
          </w:tcPr>
          <w:p>
            <w:r>
              <w:t>全周期净收益相对初始投资的比例</w:t>
            </w:r>
          </w:p>
        </w:tc>
      </w:tr>
      <w:tr>
        <w:tc>
          <w:tcPr>
            <w:tcW w:type="dxa" w:w="2500"/>
          </w:tcPr>
          <w:p>
            <w:r>
              <w:t>现金流</w:t>
            </w:r>
          </w:p>
        </w:tc>
        <w:tc>
          <w:tcPr>
            <w:tcW w:type="dxa" w:w="6860"/>
          </w:tcPr>
          <w:p>
            <w:r>
              <w:t>收入、运维、衰减、税费、融资、更换和残值按年度列示</w:t>
            </w:r>
          </w:p>
        </w:tc>
      </w:tr>
    </w:tbl>
    <w:p>
      <w:r>
        <w:t>本节内容以 V2.14 当前代码与标准算例为依据；申请前如调整权利主体或首次发表信息，只更新身份字段，不改变业务口径。</w:t>
      </w:r>
    </w:p>
    <w:p>
      <w:r>
        <w:br w:type="page"/>
      </w:r>
    </w:p>
    <w:p>
      <w:pPr>
        <w:pStyle w:val="Heading1"/>
      </w:pPr>
      <w:r>
        <w:t>13. 方案对比与敏感性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设计说明</w:t>
            </w:r>
          </w:p>
        </w:tc>
      </w:tr>
      <w:tr>
        <w:tc>
          <w:tcPr>
            <w:tcW w:type="dxa" w:w="2500"/>
          </w:tcPr>
          <w:p>
            <w:r>
              <w:t>对比维度</w:t>
            </w:r>
          </w:p>
        </w:tc>
        <w:tc>
          <w:tcPr>
            <w:tcW w:type="dxa" w:w="6860"/>
          </w:tcPr>
          <w:p>
            <w:r>
              <w:t>投资额、首年收益、NPV、IRR、回收期和工程边界</w:t>
            </w:r>
          </w:p>
        </w:tc>
      </w:tr>
      <w:tr>
        <w:tc>
          <w:tcPr>
            <w:tcW w:type="dxa" w:w="2500"/>
          </w:tcPr>
          <w:p>
            <w:r>
              <w:t>敏感变量</w:t>
            </w:r>
          </w:p>
        </w:tc>
        <w:tc>
          <w:tcPr>
            <w:tcW w:type="dxa" w:w="6860"/>
          </w:tcPr>
          <w:p>
            <w:r>
              <w:t>造价、电价、消纳率、日照、效率与衰减</w:t>
            </w:r>
          </w:p>
        </w:tc>
      </w:tr>
      <w:tr>
        <w:tc>
          <w:tcPr>
            <w:tcW w:type="dxa" w:w="2500"/>
          </w:tcPr>
          <w:p>
            <w:r>
              <w:t>输出原则</w:t>
            </w:r>
          </w:p>
        </w:tc>
        <w:tc>
          <w:tcPr>
            <w:tcW w:type="dxa" w:w="6860"/>
          </w:tcPr>
          <w:p>
            <w:r>
              <w:t>基准、乐观、审慎情景使用相同公式，仅改变显式变量</w:t>
            </w:r>
          </w:p>
        </w:tc>
      </w:tr>
      <w:tr>
        <w:tc>
          <w:tcPr>
            <w:tcW w:type="dxa" w:w="2500"/>
          </w:tcPr>
          <w:p>
            <w:r>
              <w:t>决策边界</w:t>
            </w:r>
          </w:p>
        </w:tc>
        <w:tc>
          <w:tcPr>
            <w:tcW w:type="dxa" w:w="6860"/>
          </w:tcPr>
          <w:p>
            <w:r>
              <w:t>快速估算必须提示用实测负荷、报价和政策复核</w:t>
            </w:r>
          </w:p>
        </w:tc>
      </w:tr>
    </w:tbl>
    <w:p>
      <w:r>
        <w:t>本节内容以 V2.14 当前代码与标准算例为依据；申请前如调整权利主体或首次发表信息，只更新身份字段，不改变业务口径。</w:t>
      </w:r>
    </w:p>
    <w:p>
      <w:r>
        <w:br w:type="page"/>
      </w:r>
    </w:p>
    <w:p>
      <w:pPr>
        <w:pStyle w:val="Heading1"/>
      </w:pPr>
      <w:r>
        <w:t>14. 其他稳定改造模块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设计说明</w:t>
            </w:r>
          </w:p>
        </w:tc>
      </w:tr>
      <w:tr>
        <w:tc>
          <w:tcPr>
            <w:tcW w:type="dxa" w:w="2500"/>
          </w:tcPr>
          <w:p>
            <w:r>
              <w:t>智能照明</w:t>
            </w:r>
          </w:p>
        </w:tc>
        <w:tc>
          <w:tcPr>
            <w:tcW w:type="dxa" w:w="6860"/>
          </w:tcPr>
          <w:p>
            <w:r>
              <w:t>灯具数量/功率、小时、电价、投资和节电量</w:t>
            </w:r>
          </w:p>
        </w:tc>
      </w:tr>
      <w:tr>
        <w:tc>
          <w:tcPr>
            <w:tcW w:type="dxa" w:w="2500"/>
          </w:tcPr>
          <w:p>
            <w:r>
              <w:t>热水系统</w:t>
            </w:r>
          </w:p>
        </w:tc>
        <w:tc>
          <w:tcPr>
            <w:tcW w:type="dxa" w:w="6860"/>
          </w:tcPr>
          <w:p>
            <w:r>
              <w:t>热负荷、设备效率、能源单价、投资及运维</w:t>
            </w:r>
          </w:p>
        </w:tc>
      </w:tr>
      <w:tr>
        <w:tc>
          <w:tcPr>
            <w:tcW w:type="dxa" w:w="2500"/>
          </w:tcPr>
          <w:p>
            <w:r>
              <w:t>暖通空调</w:t>
            </w:r>
          </w:p>
        </w:tc>
        <w:tc>
          <w:tcPr>
            <w:tcW w:type="dxa" w:w="6860"/>
          </w:tcPr>
          <w:p>
            <w:r>
              <w:t>面积、负荷、COP、运行时长与节电率</w:t>
            </w:r>
          </w:p>
        </w:tc>
      </w:tr>
      <w:tr>
        <w:tc>
          <w:tcPr>
            <w:tcW w:type="dxa" w:w="2500"/>
          </w:tcPr>
          <w:p>
            <w:r>
              <w:t>充电桩</w:t>
            </w:r>
          </w:p>
        </w:tc>
        <w:tc>
          <w:tcPr>
            <w:tcW w:type="dxa" w:w="6860"/>
          </w:tcPr>
          <w:p>
            <w:r>
              <w:t>桩数量、功率、利用率、电价与服务费</w:t>
            </w:r>
          </w:p>
        </w:tc>
      </w:tr>
    </w:tbl>
    <w:p>
      <w:r>
        <w:t>本节内容以 V2.14 当前代码与标准算例为依据；申请前如调整权利主体或首次发表信息，只更新身份字段，不改变业务口径。</w:t>
      </w:r>
    </w:p>
    <w:p>
      <w:r>
        <w:br w:type="page"/>
      </w:r>
    </w:p>
    <w:p>
      <w:pPr>
        <w:pStyle w:val="Heading1"/>
      </w:pPr>
      <w:r>
        <w:t>15. 报告系统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设计说明</w:t>
            </w:r>
          </w:p>
        </w:tc>
      </w:tr>
      <w:tr>
        <w:tc>
          <w:tcPr>
            <w:tcW w:type="dxa" w:w="2500"/>
          </w:tcPr>
          <w:p>
            <w:r>
              <w:t>一页式报告</w:t>
            </w:r>
          </w:p>
        </w:tc>
        <w:tc>
          <w:tcPr>
            <w:tcW w:type="dxa" w:w="6860"/>
          </w:tcPr>
          <w:p>
            <w:r>
              <w:t>核心指标与风险提示</w:t>
            </w:r>
          </w:p>
        </w:tc>
      </w:tr>
      <w:tr>
        <w:tc>
          <w:tcPr>
            <w:tcW w:type="dxa" w:w="2500"/>
          </w:tcPr>
          <w:p>
            <w:r>
              <w:t>完整版项目书</w:t>
            </w:r>
          </w:p>
        </w:tc>
        <w:tc>
          <w:tcPr>
            <w:tcW w:type="dxa" w:w="6860"/>
          </w:tcPr>
          <w:p>
            <w:r>
              <w:t>模块章节、协同、参与方账本和年度现金流</w:t>
            </w:r>
          </w:p>
        </w:tc>
      </w:tr>
      <w:tr>
        <w:tc>
          <w:tcPr>
            <w:tcW w:type="dxa" w:w="2500"/>
          </w:tcPr>
          <w:p>
            <w:r>
              <w:t>Excel</w:t>
            </w:r>
          </w:p>
        </w:tc>
        <w:tc>
          <w:tcPr>
            <w:tcW w:type="dxa" w:w="6860"/>
          </w:tcPr>
          <w:p>
            <w:r>
              <w:t>标准化明细、公式复核和可编辑数据</w:t>
            </w:r>
          </w:p>
        </w:tc>
      </w:tr>
      <w:tr>
        <w:tc>
          <w:tcPr>
            <w:tcW w:type="dxa" w:w="2500"/>
          </w:tcPr>
          <w:p>
            <w:r>
              <w:t>PDF</w:t>
            </w:r>
          </w:p>
        </w:tc>
        <w:tc>
          <w:tcPr>
            <w:tcW w:type="dxa" w:w="6860"/>
          </w:tcPr>
          <w:p>
            <w:r>
              <w:t>固定版式、连续页码与统一免责声明</w:t>
            </w:r>
          </w:p>
        </w:tc>
      </w:tr>
    </w:tbl>
    <w:p>
      <w:r>
        <w:t>本节内容以 V2.14 当前代码与标准算例为依据；申请前如调整权利主体或首次发表信息，只更新身份字段，不改变业务口径。</w:t>
      </w:r>
    </w:p>
    <w:p>
      <w:r>
        <w:br w:type="page"/>
      </w:r>
    </w:p>
    <w:p>
      <w:pPr>
        <w:pStyle w:val="Heading1"/>
      </w:pPr>
      <w:r>
        <w:t>16. 安全与原创性边界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设计说明</w:t>
            </w:r>
          </w:p>
        </w:tc>
      </w:tr>
      <w:tr>
        <w:tc>
          <w:tcPr>
            <w:tcW w:type="dxa" w:w="2500"/>
          </w:tcPr>
          <w:p>
            <w:r>
              <w:t>敏感信息</w:t>
            </w:r>
          </w:p>
        </w:tc>
        <w:tc>
          <w:tcPr>
            <w:tcW w:type="dxa" w:w="6860"/>
          </w:tcPr>
          <w:p>
            <w:r>
              <w:t>不打包 .env、密钥、账号、真实客户数据、日志和绝对路径</w:t>
            </w:r>
          </w:p>
        </w:tc>
      </w:tr>
      <w:tr>
        <w:tc>
          <w:tcPr>
            <w:tcW w:type="dxa" w:w="2500"/>
          </w:tcPr>
          <w:p>
            <w:r>
              <w:t>第三方依赖</w:t>
            </w:r>
          </w:p>
        </w:tc>
        <w:tc>
          <w:tcPr>
            <w:tcW w:type="dxa" w:w="6860"/>
          </w:tcPr>
          <w:p>
            <w:r>
              <w:t>React/Electron/Recharts 等只作为运行依赖，不作为自主源程序提交</w:t>
            </w:r>
          </w:p>
        </w:tc>
      </w:tr>
      <w:tr>
        <w:tc>
          <w:tcPr>
            <w:tcW w:type="dxa" w:w="2500"/>
          </w:tcPr>
          <w:p>
            <w:r>
              <w:t>自主代码</w:t>
            </w:r>
          </w:p>
        </w:tc>
        <w:tc>
          <w:tcPr>
            <w:tcW w:type="dxa" w:w="6860"/>
          </w:tcPr>
          <w:p>
            <w:r>
              <w:t>只选应用入口、领域模型、计算、存储、报告和自研界面</w:t>
            </w:r>
          </w:p>
        </w:tc>
      </w:tr>
      <w:tr>
        <w:tc>
          <w:tcPr>
            <w:tcW w:type="dxa" w:w="2500"/>
          </w:tcPr>
          <w:p>
            <w:r>
              <w:t>AI 辅助</w:t>
            </w:r>
          </w:p>
        </w:tc>
        <w:tc>
          <w:tcPr>
            <w:tcW w:type="dxa" w:w="6860"/>
          </w:tcPr>
          <w:p>
            <w:r>
              <w:t>核心业务逻辑由人工复核并通过标准算例确认</w:t>
            </w:r>
          </w:p>
        </w:tc>
      </w:tr>
    </w:tbl>
    <w:p>
      <w:r>
        <w:t>本节内容以 V2.14 当前代码与标准算例为依据；申请前如调整权利主体或首次发表信息，只更新身份字段，不改变业务口径。</w:t>
      </w:r>
    </w:p>
    <w:p>
      <w:r>
        <w:br w:type="page"/>
      </w:r>
    </w:p>
    <w:p>
      <w:pPr>
        <w:pStyle w:val="Heading1"/>
      </w:pPr>
      <w:r>
        <w:t>17. 测试策略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</w:rPr>
              <w:t>设计说明</w:t>
            </w:r>
          </w:p>
        </w:tc>
      </w:tr>
      <w:tr>
        <w:tc>
          <w:tcPr>
            <w:tcW w:type="dxa" w:w="2500"/>
          </w:tcPr>
          <w:p>
            <w:r>
              <w:t>构建</w:t>
            </w:r>
          </w:p>
        </w:tc>
        <w:tc>
          <w:tcPr>
            <w:tcW w:type="dxa" w:w="6860"/>
          </w:tcPr>
          <w:p>
            <w:r>
              <w:t>Vite 生产构建成功</w:t>
            </w:r>
          </w:p>
        </w:tc>
      </w:tr>
      <w:tr>
        <w:tc>
          <w:tcPr>
            <w:tcW w:type="dxa" w:w="2500"/>
          </w:tcPr>
          <w:p>
            <w:r>
              <w:t>标准算例</w:t>
            </w:r>
          </w:p>
        </w:tc>
        <w:tc>
          <w:tcPr>
            <w:tcW w:type="dxa" w:w="6860"/>
          </w:tcPr>
          <w:p>
            <w:r>
              <w:t>光伏、储能、财务各自独立表格对照</w:t>
            </w:r>
          </w:p>
        </w:tc>
      </w:tr>
      <w:tr>
        <w:tc>
          <w:tcPr>
            <w:tcW w:type="dxa" w:w="2500"/>
          </w:tcPr>
          <w:p>
            <w:r>
              <w:t>持久化</w:t>
            </w:r>
          </w:p>
        </w:tc>
        <w:tc>
          <w:tcPr>
            <w:tcW w:type="dxa" w:w="6860"/>
          </w:tcPr>
          <w:p>
            <w:r>
              <w:t>保存、读取、迁移、删除及偏好共 15 项断言</w:t>
            </w:r>
          </w:p>
        </w:tc>
      </w:tr>
      <w:tr>
        <w:tc>
          <w:tcPr>
            <w:tcW w:type="dxa" w:w="2500"/>
          </w:tcPr>
          <w:p>
            <w:r>
              <w:t>报告</w:t>
            </w:r>
          </w:p>
        </w:tc>
        <w:tc>
          <w:tcPr>
            <w:tcW w:type="dxa" w:w="6860"/>
          </w:tcPr>
          <w:p>
            <w:r>
              <w:t>标准项目的名称、版本、模块范围和数值口径检查</w:t>
            </w:r>
          </w:p>
        </w:tc>
      </w:tr>
      <w:tr>
        <w:tc>
          <w:tcPr>
            <w:tcW w:type="dxa" w:w="2500"/>
          </w:tcPr>
          <w:p>
            <w:r>
              <w:t>已知遗留</w:t>
            </w:r>
          </w:p>
        </w:tc>
        <w:tc>
          <w:tcPr>
            <w:tcW w:type="dxa" w:w="6860"/>
          </w:tcPr>
          <w:p>
            <w:r>
              <w:t>全量 TypeScript 检查仍有旧模块错误，不隐瞒且不作为本次功能完成依据</w:t>
            </w:r>
          </w:p>
        </w:tc>
      </w:tr>
    </w:tbl>
    <w:p>
      <w:r>
        <w:t>本节内容以 V2.14 当前代码与标准算例为依据；申请前如调整权利主体或首次发表信息，只更新身份字段，不改变业务口径。</w:t>
      </w:r>
    </w:p>
    <w:p>
      <w:r>
        <w:br w:type="page"/>
      </w:r>
    </w:p>
    <w:p>
      <w:pPr>
        <w:pStyle w:val="Heading1"/>
      </w:pPr>
      <w:r>
        <w:t>18. 版本与变更控制</w:t>
      </w:r>
    </w:p>
    <w:p>
      <w:pPr>
        <w:pStyle w:val="ListBullet"/>
        <w:spacing w:after="80" w:line="300" w:lineRule="auto"/>
        <w:ind w:left="540" w:hanging="271"/>
      </w:pPr>
      <w:r>
        <w:t>申报软件全称、简称和版本由 shared/config/productIdentity.ts 统一管理。</w:t>
      </w:r>
    </w:p>
    <w:p>
      <w:pPr>
        <w:pStyle w:val="ListBullet"/>
        <w:spacing w:after="80" w:line="300" w:lineRule="auto"/>
        <w:ind w:left="540" w:hanging="271"/>
      </w:pPr>
      <w:r>
        <w:t>候选版本保留用户现有未提交修改；在申请人及权属链确认前不创建正式版权标签。</w:t>
      </w:r>
    </w:p>
    <w:p>
      <w:pPr>
        <w:pStyle w:val="ListBullet"/>
        <w:spacing w:after="80" w:line="300" w:lineRule="auto"/>
        <w:ind w:left="540" w:hanging="271"/>
      </w:pPr>
      <w:r>
        <w:t>正式冻结应在构建、测试、安装验证、敏感扫描及材料签字完成后进行。</w:t>
      </w:r>
    </w:p>
    <w:p>
      <w:pPr>
        <w:pStyle w:val="ListBullet"/>
        <w:spacing w:after="80" w:line="300" w:lineRule="auto"/>
        <w:ind w:left="540" w:hanging="271"/>
      </w:pPr>
      <w:r>
        <w:t>任何功能扩展必须同步更新功能矩阵、用户手册、截图和源程序选择清单。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b/>
              </w:rPr>
              <w:t>提示：</w:t>
            </w:r>
            <w:r>
              <w:t>权利人、共同开发关系、开发完成日和首次发表状态仍需事实确认；本文档不替代权属证明。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7"/>
      </w:rPr>
      <w:t xml:space="preserve">第 </w:t>
    </w:r>
    <w:fldSimple w:instr="PAGE"/>
    <w:r>
      <w:rPr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748B"/>
        <w:sz w:val="17"/>
      </w:rPr>
      <w:t>零碳项目辅助决策系统 · V2.14  |  软件设计说明书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5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5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255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