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1649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linq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9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Approvlinq Client Guide</w:t>
      </w:r>
    </w:p>
    <w:p>
      <w:pPr>
        <w:pStyle w:val="Subtitle"/>
        <w:jc w:val="center"/>
      </w:pPr>
      <w:r>
        <w:t>Login, tenant administration, scanning workflow and issue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6FE"/>
          </w:tcPr>
          <w:p>
            <w:pPr>
              <w:spacing w:after="40" w:before="40"/>
              <w:jc w:val="center"/>
            </w:pPr>
            <w:r>
              <w:rPr>
                <w:b/>
                <w:color w:val="0F4F97"/>
                <w:sz w:val="22"/>
              </w:rPr>
              <w:t>Purpose: help client users adopt Approvlinq quickly and use the platform consistently from day one.</w:t>
            </w:r>
          </w:p>
        </w:tc>
      </w:tr>
    </w:tbl>
    <w:p>
      <w:pPr>
        <w:pStyle w:val="Subtitle"/>
        <w:jc w:val="center"/>
      </w:pPr>
      <w:r>
        <w:t>Version 3.02</w:t>
      </w:r>
    </w:p>
    <w:p>
      <w:pPr>
        <w:pStyle w:val="Subtitle"/>
        <w:jc w:val="center"/>
      </w:pPr>
      <w:r>
        <w:t>This guide follows the same branding used in the platform and can be shared with client administrators, AP users and reviewers.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ind w:left="288"/>
      </w:pPr>
      <w:r>
        <w:t>1. What Approvlinq does</w:t>
      </w:r>
    </w:p>
    <w:p>
      <w:pPr>
        <w:ind w:left="288"/>
      </w:pPr>
      <w:r>
        <w:t>2. User roles and access</w:t>
      </w:r>
    </w:p>
    <w:p>
      <w:pPr>
        <w:ind w:left="288"/>
      </w:pPr>
      <w:r>
        <w:t>3. Login page</w:t>
      </w:r>
    </w:p>
    <w:p>
      <w:pPr>
        <w:ind w:left="288"/>
      </w:pPr>
      <w:r>
        <w:t>4. Platform Admin page</w:t>
      </w:r>
    </w:p>
    <w:p>
      <w:pPr>
        <w:ind w:left="288"/>
      </w:pPr>
      <w:r>
        <w:t>5. Tenant Admin page</w:t>
      </w:r>
    </w:p>
    <w:p>
      <w:pPr>
        <w:ind w:left="288"/>
      </w:pPr>
      <w:r>
        <w:t>6. Scanning Tool page</w:t>
      </w:r>
    </w:p>
    <w:p>
      <w:pPr>
        <w:ind w:left="288"/>
      </w:pPr>
      <w:r>
        <w:t>7. Issue reporting and resolution tracking</w:t>
      </w:r>
    </w:p>
    <w:p>
      <w:pPr>
        <w:ind w:left="288"/>
      </w:pPr>
      <w:r>
        <w:t>8. Best practice checklist</w:t>
      </w:r>
    </w:p>
    <w:p>
      <w:pPr>
        <w:pStyle w:val="Heading1"/>
      </w:pPr>
      <w:r>
        <w:t>What Approvlinq does</w:t>
      </w:r>
    </w:p>
    <w:p>
      <w:pPr>
        <w:spacing w:after="120"/>
      </w:pPr>
      <w:r>
        <w:t>Approvlinq is a multi-tenant invoice scanning and review platform designed to separate platform administration from client tenant operations.</w:t>
      </w:r>
    </w:p>
    <w:p>
      <w:pPr>
        <w:spacing w:after="120"/>
      </w:pPr>
      <w:r>
        <w:t>Each tenant can maintain its own companies, suppliers and AP nominal accounts while invoice batches remain tied to the correct tenant and company.</w:t>
      </w:r>
    </w:p>
    <w:p>
      <w:pPr>
        <w:spacing w:after="120"/>
      </w:pPr>
      <w:r>
        <w:t>The platform supports issue logging so that clients and administrators can track operational problems through to resolution.</w:t>
      </w:r>
    </w:p>
    <w:p>
      <w:pPr>
        <w:pStyle w:val="Heading1"/>
      </w:pPr>
      <w:r>
        <w:t>User roles and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4F97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4F97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20"/>
              </w:rPr>
              <w:t>Main use</w:t>
            </w:r>
          </w:p>
        </w:tc>
        <w:tc>
          <w:tcPr>
            <w:tcW w:type="dxa" w:w="3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F4F97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20"/>
              </w:rPr>
              <w:t>Typical permissions</w:t>
            </w:r>
          </w:p>
        </w:tc>
      </w:tr>
      <w:tr>
        <w:tc>
          <w:tcPr>
            <w:tcW w:type="dxa" w:w="3360"/>
          </w:tcPr>
          <w:p>
            <w:r>
              <w:t>Platform Admin</w:t>
            </w:r>
          </w:p>
        </w:tc>
        <w:tc>
          <w:tcPr>
            <w:tcW w:type="dxa" w:w="3360"/>
          </w:tcPr>
          <w:p>
            <w:r>
              <w:t>Service owner or internal support</w:t>
            </w:r>
          </w:p>
        </w:tc>
        <w:tc>
          <w:tcPr>
            <w:tcW w:type="dxa" w:w="3360"/>
          </w:tcPr>
          <w:p>
            <w:r>
              <w:t>Create tenants and users, switch active or inactive status, monitor capacity and manage issue logs.</w:t>
            </w:r>
          </w:p>
        </w:tc>
      </w:tr>
      <w:tr>
        <w:tc>
          <w:tcPr>
            <w:tcW w:type="dxa" w:w="3360"/>
          </w:tcPr>
          <w:p>
            <w:r>
              <w:t>Tenant Admin</w:t>
            </w:r>
          </w:p>
        </w:tc>
        <w:tc>
          <w:tcPr>
            <w:tcW w:type="dxa" w:w="3360"/>
          </w:tcPr>
          <w:p>
            <w:r>
              <w:t>Client-side owner or finance lead</w:t>
            </w:r>
          </w:p>
        </w:tc>
        <w:tc>
          <w:tcPr>
            <w:tcW w:type="dxa" w:w="3360"/>
          </w:tcPr>
          <w:p>
            <w:r>
              <w:t>Maintain tenant details, companies, suppliers, nominal accounts and submit issues.</w:t>
            </w:r>
          </w:p>
        </w:tc>
      </w:tr>
      <w:tr>
        <w:tc>
          <w:tcPr>
            <w:tcW w:type="dxa" w:w="3360"/>
          </w:tcPr>
          <w:p>
            <w:r>
              <w:t>Tenant User / Reviewer</w:t>
            </w:r>
          </w:p>
        </w:tc>
        <w:tc>
          <w:tcPr>
            <w:tcW w:type="dxa" w:w="3360"/>
          </w:tcPr>
          <w:p>
            <w:r>
              <w:t>Operational user</w:t>
            </w:r>
          </w:p>
        </w:tc>
        <w:tc>
          <w:tcPr>
            <w:tcW w:type="dxa" w:w="3360"/>
          </w:tcPr>
          <w:p>
            <w:r>
              <w:t>Use the scanning tool and follow the client workflow defined by the tenant.</w:t>
            </w:r>
          </w:p>
        </w:tc>
      </w:tr>
    </w:tbl>
    <w:p>
      <w:pPr>
        <w:pStyle w:val="Heading1"/>
      </w:pPr>
      <w:r>
        <w:t>Login page</w:t>
      </w:r>
    </w:p>
    <w:p>
      <w:pPr>
        <w:spacing w:after="120"/>
      </w:pPr>
      <w:r>
        <w:t>Enter the email address and password assigned to you. After authentication, the platform redirects you to the correct landing page based on your role.</w:t>
      </w:r>
    </w:p>
    <w:p>
      <w:pPr>
        <w:spacing w:after="120"/>
      </w:pPr>
      <w:r>
        <w:t>If sign-in fails, first confirm the email spelling, then retry with the correct password. If the user or tenant is inactive, access will be blocked until reactivated by an administrator.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AFE"/>
          </w:tcPr>
          <w:p>
            <w:pPr>
              <w:spacing w:after="40" w:before="40"/>
            </w:pPr>
            <w:r>
              <w:rPr>
                <w:b/>
                <w:color w:val="0F4F97"/>
              </w:rPr>
              <w:t>Best use</w:t>
              <w:br/>
            </w:r>
            <w:r>
              <w:rPr>
                <w:sz w:val="19"/>
              </w:rPr>
              <w:t>Use named user accounts only. Do not share credentials between AP staff.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AFE"/>
          </w:tcPr>
          <w:p>
            <w:pPr>
              <w:spacing w:after="40" w:before="40"/>
            </w:pPr>
            <w:r>
              <w:rPr>
                <w:b/>
                <w:color w:val="0F4F97"/>
              </w:rPr>
              <w:t>Remember</w:t>
              <w:br/>
            </w:r>
            <w:r>
              <w:rPr>
                <w:sz w:val="19"/>
              </w:rPr>
              <w:t>Temporary passwords should be changed after first access.</w:t>
            </w:r>
          </w:p>
        </w:tc>
      </w:tr>
    </w:tbl>
    <w:p/>
    <w:p>
      <w:pPr>
        <w:pStyle w:val="Heading1"/>
      </w:pPr>
      <w:r>
        <w:t>Platform Admin page</w:t>
      </w:r>
    </w:p>
    <w:p>
      <w:pPr>
        <w:spacing w:after="120"/>
      </w:pPr>
      <w:r>
        <w:t>The Platform Admin page is the control centre for onboarding and support. The page includes simple forms to create tenants and create users.</w:t>
      </w:r>
    </w:p>
    <w:p>
      <w:pPr>
        <w:spacing w:after="120"/>
      </w:pPr>
      <w:r>
        <w:t>The Tenant List and User List allow quick activation or deactivation without deleting records. Capacity usage provides a high-level view of companies, batches, files, rows and storage by tenant.</w:t>
      </w:r>
    </w:p>
    <w:p>
      <w:pPr>
        <w:spacing w:after="120"/>
      </w:pPr>
      <w:r>
        <w:t>The Issue Log is used to update status from pending to in progress to resolved and to record the actual resolution applied.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AFE"/>
          </w:tcPr>
          <w:p>
            <w:pPr>
              <w:spacing w:after="40" w:before="40"/>
            </w:pPr>
            <w:r>
              <w:rPr>
                <w:b/>
                <w:color w:val="0F4F97"/>
              </w:rPr>
              <w:t>Recommended order</w:t>
              <w:br/>
            </w:r>
            <w:r>
              <w:rPr>
                <w:sz w:val="19"/>
              </w:rPr>
              <w:t>Create the tenant first, then create the first tenant user, then share the credentials with the client.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AFE"/>
          </w:tcPr>
          <w:p>
            <w:pPr>
              <w:spacing w:after="40" w:before="40"/>
            </w:pPr>
            <w:r>
              <w:rPr>
                <w:b/>
                <w:color w:val="0F4F97"/>
              </w:rPr>
              <w:t>Inactive status</w:t>
              <w:br/>
            </w:r>
            <w:r>
              <w:rPr>
                <w:sz w:val="19"/>
              </w:rPr>
              <w:t>Use inactive when the client should not access the product, for example during non-payment or onboarding hold.</w:t>
            </w:r>
          </w:p>
        </w:tc>
      </w:tr>
    </w:tbl>
    <w:p/>
    <w:p>
      <w:pPr>
        <w:pStyle w:val="Heading1"/>
      </w:pPr>
      <w:r>
        <w:t>Tenant Admin page</w:t>
      </w:r>
    </w:p>
    <w:p>
      <w:pPr>
        <w:spacing w:after="120"/>
      </w:pPr>
      <w:r>
        <w:t>The Tenant Admin page is for client-owned master data and profile maintenance. If a user can access more than one tenant, the selector at the top must be used first.</w:t>
      </w:r>
    </w:p>
    <w:p>
      <w:pPr>
        <w:spacing w:after="120"/>
      </w:pPr>
      <w:r>
        <w:t>Create one company for each legal entity or operating entity that needs separate invoice data. Maintain supplier names with posting accounts and AP nominal accounts for granular matching support.</w:t>
      </w:r>
    </w:p>
    <w:p>
      <w:pPr>
        <w:spacing w:after="120"/>
      </w:pPr>
      <w:r>
        <w:t>Tenant users can also change their password and raise issues directly from the page.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AFE"/>
          </w:tcPr>
          <w:p>
            <w:pPr>
              <w:spacing w:after="40" w:before="40"/>
            </w:pPr>
            <w:r>
              <w:rPr>
                <w:b/>
                <w:color w:val="0F4F97"/>
              </w:rPr>
              <w:t>Best use</w:t>
              <w:br/>
            </w:r>
            <w:r>
              <w:rPr>
                <w:sz w:val="19"/>
              </w:rPr>
              <w:t>Keep supplier and nominal account names aligned with the finance system to improve matching quality.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AFE"/>
          </w:tcPr>
          <w:p>
            <w:pPr>
              <w:spacing w:after="40" w:before="40"/>
            </w:pPr>
            <w:r>
              <w:rPr>
                <w:b/>
                <w:color w:val="0F4F97"/>
              </w:rPr>
              <w:t>Minimum setup</w:t>
              <w:br/>
            </w:r>
            <w:r>
              <w:rPr>
                <w:sz w:val="19"/>
              </w:rPr>
              <w:t>Create at least one company before using the Scanning Tool.</w:t>
            </w:r>
          </w:p>
        </w:tc>
      </w:tr>
    </w:tbl>
    <w:p/>
    <w:p>
      <w:pPr>
        <w:pStyle w:val="Heading1"/>
      </w:pPr>
      <w:r>
        <w:t>Scanning Tool page</w:t>
      </w:r>
    </w:p>
    <w:p>
      <w:pPr>
        <w:spacing w:after="120"/>
      </w:pPr>
      <w:r>
        <w:t>The Scanning Tool works in a tenant-and-company context. Select the correct tenant first, then select the company that should own the invoice data.</w:t>
      </w:r>
    </w:p>
    <w:p>
      <w:pPr>
        <w:spacing w:after="120"/>
      </w:pPr>
      <w:r>
        <w:t>Create a batch, upload one or more PDF invoices, then run processing. Review the file table and extracted rows before export.</w:t>
      </w:r>
    </w:p>
    <w:p>
      <w:pPr>
        <w:spacing w:after="120"/>
      </w:pPr>
      <w:r>
        <w:t>Export Excel should normally be used only after the batch status is no longer processing.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AFE"/>
          </w:tcPr>
          <w:p>
            <w:pPr>
              <w:spacing w:after="40" w:before="40"/>
            </w:pPr>
            <w:r>
              <w:rPr>
                <w:b/>
                <w:color w:val="0F4F97"/>
              </w:rPr>
              <w:t>Batch naming</w:t>
              <w:br/>
            </w:r>
            <w:r>
              <w:rPr>
                <w:sz w:val="19"/>
              </w:rPr>
              <w:t>Use a practical naming convention such as period plus supplier group or business purpose.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AFE"/>
          </w:tcPr>
          <w:p>
            <w:pPr>
              <w:spacing w:after="40" w:before="40"/>
            </w:pPr>
            <w:r>
              <w:rPr>
                <w:b/>
                <w:color w:val="0F4F97"/>
              </w:rPr>
              <w:t>Review point</w:t>
              <w:br/>
            </w:r>
            <w:r>
              <w:rPr>
                <w:sz w:val="19"/>
              </w:rPr>
              <w:t>Spot-check supplier, invoice number, date, total and any review flags before downstream posting.</w:t>
            </w:r>
          </w:p>
        </w:tc>
      </w:tr>
    </w:tbl>
    <w:p/>
    <w:p>
      <w:pPr>
        <w:pStyle w:val="Heading1"/>
      </w:pPr>
      <w:r>
        <w:t>Issue reporting and resolution tracking</w:t>
      </w:r>
    </w:p>
    <w:p>
      <w:pPr>
        <w:spacing w:after="120"/>
      </w:pPr>
      <w:r>
        <w:t>Clients can submit issues with title, priority and description. Platform administrators can update status and capture the final resolution note so the platform keeps an audit-friendly service history.</w:t>
      </w:r>
    </w:p>
    <w:p>
      <w:pPr>
        <w:spacing w:after="120"/>
      </w:pPr>
      <w:r>
        <w:t>A good issue report includes the tenant, company, batch name, example file and a short explanation of what was expected versus what actually happened.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AFE"/>
          </w:tcPr>
          <w:p>
            <w:pPr>
              <w:spacing w:after="40" w:before="40"/>
            </w:pPr>
            <w:r>
              <w:rPr>
                <w:b/>
                <w:color w:val="0F4F97"/>
              </w:rPr>
              <w:t>Status meanings</w:t>
              <w:br/>
            </w:r>
            <w:r>
              <w:rPr>
                <w:sz w:val="19"/>
              </w:rPr>
              <w:t>Pending means reported, In Progress means being worked on, and Resolved means a fix or workaround has been recorded.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AFE"/>
          </w:tcPr>
          <w:p>
            <w:pPr>
              <w:spacing w:after="40" w:before="40"/>
            </w:pPr>
            <w:r>
              <w:rPr>
                <w:b/>
                <w:color w:val="0F4F97"/>
              </w:rPr>
              <w:t>Tip</w:t>
              <w:br/>
            </w:r>
            <w:r>
              <w:rPr>
                <w:sz w:val="19"/>
              </w:rPr>
              <w:t>Encourage users to mention the company and batch whenever the problem is linked to a specific run.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9AE8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9AE8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</w:rPr>
              <w:t>Good example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9AE8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</w:rPr>
              <w:t>Why it helps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F9AE8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2520"/>
          </w:tcPr>
          <w:p>
            <w:r>
              <w:t>Title</w:t>
            </w:r>
          </w:p>
        </w:tc>
        <w:tc>
          <w:tcPr>
            <w:tcW w:type="dxa" w:w="2520"/>
          </w:tcPr>
          <w:p>
            <w:r>
              <w:t>Supplier posting account mismatch</w:t>
            </w:r>
          </w:p>
        </w:tc>
        <w:tc>
          <w:tcPr>
            <w:tcW w:type="dxa" w:w="2520"/>
          </w:tcPr>
          <w:p>
            <w:r>
              <w:t>Makes triage faster</w:t>
            </w:r>
          </w:p>
        </w:tc>
        <w:tc>
          <w:tcPr>
            <w:tcW w:type="dxa" w:w="2520"/>
          </w:tcPr>
          <w:p>
            <w:r>
              <w:t>Tenant user</w:t>
            </w:r>
          </w:p>
        </w:tc>
      </w:tr>
      <w:tr>
        <w:tc>
          <w:tcPr>
            <w:tcW w:type="dxa" w:w="2520"/>
          </w:tcPr>
          <w:p>
            <w:r>
              <w:t>Description</w:t>
            </w:r>
          </w:p>
        </w:tc>
        <w:tc>
          <w:tcPr>
            <w:tcW w:type="dxa" w:w="2520"/>
          </w:tcPr>
          <w:p>
            <w:r>
              <w:t>Supplier ACME was matched, but posting account remained blank in batch March Utilities</w:t>
            </w:r>
          </w:p>
        </w:tc>
        <w:tc>
          <w:tcPr>
            <w:tcW w:type="dxa" w:w="2520"/>
          </w:tcPr>
          <w:p>
            <w:r>
              <w:t>Explains the exact symptom</w:t>
            </w:r>
          </w:p>
        </w:tc>
        <w:tc>
          <w:tcPr>
            <w:tcW w:type="dxa" w:w="2520"/>
          </w:tcPr>
          <w:p>
            <w:r>
              <w:t>Tenant user</w:t>
            </w:r>
          </w:p>
        </w:tc>
      </w:tr>
      <w:tr>
        <w:tc>
          <w:tcPr>
            <w:tcW w:type="dxa" w:w="2520"/>
          </w:tcPr>
          <w:p>
            <w:r>
              <w:t>Resolution note</w:t>
            </w:r>
          </w:p>
        </w:tc>
        <w:tc>
          <w:tcPr>
            <w:tcW w:type="dxa" w:w="2520"/>
          </w:tcPr>
          <w:p>
            <w:r>
              <w:t>Added supplier master data and reprocessed affected batch</w:t>
            </w:r>
          </w:p>
        </w:tc>
        <w:tc>
          <w:tcPr>
            <w:tcW w:type="dxa" w:w="2520"/>
          </w:tcPr>
          <w:p>
            <w:r>
              <w:t>Leaves a reusable fix record</w:t>
            </w:r>
          </w:p>
        </w:tc>
        <w:tc>
          <w:tcPr>
            <w:tcW w:type="dxa" w:w="2520"/>
          </w:tcPr>
          <w:p>
            <w:r>
              <w:t>Platform admin</w:t>
            </w:r>
          </w:p>
        </w:tc>
      </w:tr>
    </w:tbl>
    <w:p>
      <w:pPr>
        <w:pStyle w:val="Heading1"/>
      </w:pPr>
      <w:r>
        <w:t>Best practice checklist</w:t>
      </w:r>
    </w:p>
    <w:p>
      <w:pPr/>
      <w:r>
        <w:t>• Create the tenant before creating tenant users.</w:t>
      </w:r>
    </w:p>
    <w:p>
      <w:pPr/>
      <w:r>
        <w:t>• Create at least one company before the first batch is scanned.</w:t>
      </w:r>
    </w:p>
    <w:p>
      <w:pPr/>
      <w:r>
        <w:t>• Keep supplier names and nominal account names aligned to the target finance system.</w:t>
      </w:r>
    </w:p>
    <w:p>
      <w:pPr/>
      <w:r>
        <w:t>• Use inactive status instead of deleting tenants or users when access should stop temporarily.</w:t>
      </w:r>
    </w:p>
    <w:p>
      <w:pPr/>
      <w:r>
        <w:t>• Use clear batch names and review extracted rows before export.</w:t>
      </w:r>
    </w:p>
    <w:p>
      <w:pPr/>
      <w:r>
        <w:t>• Log issues with enough detail to reproduce the problem.</w:t>
      </w:r>
    </w:p>
    <w:sectPr w:rsidR="00FC693F" w:rsidRPr="0006063C" w:rsidSect="00034616">
      <w:footerReference w:type="default" r:id="rId10"/>
      <w:pgSz w:w="12240" w:h="15840"/>
      <w:pgMar w:top="864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82A1"/>
        <w:sz w:val="17"/>
      </w:rPr>
      <w:t>Approvlinq Client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4385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4F9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B3F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F4F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4F9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6182A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