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6D1A24"/>
          <w:sz w:val="26"/>
        </w:rPr>
        <w:t>UNIVERSIDAD NACIONAL DEL ALTIPLANO DE PUNO</w:t>
        <w:br/>
      </w:r>
      <w:r>
        <w:rPr>
          <w:rFonts w:ascii="Arial" w:hAnsi="Arial"/>
          <w:b/>
          <w:color w:val="1E293B"/>
          <w:sz w:val="22"/>
        </w:rPr>
        <w:t>FACULTAD DE INGENIERÍA ESTADÍSTICA E INFORMÁTICA</w:t>
        <w:br/>
      </w:r>
      <w:r>
        <w:rPr>
          <w:rFonts w:ascii="Arial" w:hAnsi="Arial"/>
          <w:b/>
          <w:color w:val="C99738"/>
          <w:sz w:val="20"/>
        </w:rPr>
        <w:t>INSTITUTO DE INVESTIGACIÓN EN INTELIGENCIA COMPUTACIONAL Y CIENCIA DE DATOS (IIICCD)</w:t>
      </w:r>
    </w:p>
    <w:p>
      <w:pPr>
        <w:spacing w:before="320" w:after="3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iiiccd.jpeg"/>
                    <pic:cNvPicPr/>
                  </pic:nvPicPr>
                  <pic:blipFill>
                    <a:blip r:embed="rId11"/>
                    <a:stretch>
                      <a:fillRect/>
                    </a:stretch>
                  </pic:blipFill>
                  <pic:spPr>
                    <a:xfrm>
                      <a:off x="0" y="0"/>
                      <a:ext cx="1828800" cy="1828800"/>
                    </a:xfrm>
                    <a:prstGeom prst="rect"/>
                  </pic:spPr>
                </pic:pic>
              </a:graphicData>
            </a:graphic>
          </wp:inline>
        </w:drawing>
      </w:r>
    </w:p>
    <w:p>
      <w:pPr>
        <w:spacing w:before="200" w:after="160"/>
        <w:jc w:val="center"/>
      </w:pPr>
      <w:r>
        <w:rPr>
          <w:rFonts w:ascii="Arial" w:hAnsi="Arial"/>
          <w:b/>
          <w:color w:val="6D1A24"/>
          <w:sz w:val="28"/>
        </w:rPr>
        <w:t>INFORME TÉCNICO DE ARQUITECTURA, DESARROLLO E IMPLEMENTACIÓN DEL SISTEMA WEB INTEGRAL DE GESTIÓN ACADÉMICA, INSCRIPCIONES, PASARELA YAPE Y CERTIFICACIÓN DIGITAL CON VALIDACIÓN QR</w:t>
      </w:r>
    </w:p>
    <w:p>
      <w:pPr>
        <w:spacing w:before="0" w:after="400"/>
        <w:jc w:val="center"/>
      </w:pPr>
      <w:r>
        <w:rPr>
          <w:rFonts w:ascii="Arial" w:hAnsi="Arial"/>
          <w:color w:val="1E293B"/>
          <w:sz w:val="21"/>
        </w:rPr>
        <w:t>Plataforma Universitaria de Convocatorias, Automatización de Inscripciones, Auditoría Financiera de Vouchers y Emisión Solemne de Diplomas con Snapshots Inmutables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Institución Patrocinadora:</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Universidad Nacional del Altiplano de Puno (UNA Puno)</w:t>
            </w:r>
          </w:p>
        </w:tc>
      </w:tr>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Unidad Académica Responsable:</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Instituto de Investigación en Inteligencia Computacional (IIICCD - FINESI)</w:t>
            </w:r>
          </w:p>
        </w:tc>
      </w:tr>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Director del Instituto:</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Dr. Leonid Alemán Gonzales</w:t>
            </w:r>
          </w:p>
        </w:tc>
      </w:tr>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Versión del Software:</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Versión 1.0.0 (Release Cloud Producción)</w:t>
            </w:r>
          </w:p>
        </w:tc>
      </w:tr>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Repositorio Oficial GitHub:</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https://github.com/Jfer1234567/cursos_sistema</w:t>
            </w:r>
          </w:p>
        </w:tc>
      </w:tr>
      <w:tr>
        <w:tc>
          <w:tcPr>
            <w:tcW w:type="dxa" w:w="3168"/>
            <w:shd w:fill="F8FAFC"/>
            <w:tcMar>
              <w:top w:w="80" w:type="dxa"/>
              <w:bottom w:w="80" w:type="dxa"/>
              <w:left w:w="100" w:type="dxa"/>
              <w:right w:w="100" w:type="dxa"/>
            </w:tcMar>
          </w:tcPr>
          <w:p>
            <w:pPr>
              <w:spacing w:after="0"/>
              <w:jc w:val="right"/>
            </w:pPr>
            <w:r>
              <w:rPr>
                <w:rFonts w:ascii="Arial" w:hAnsi="Arial"/>
                <w:b/>
                <w:color w:val="1E293B"/>
                <w:sz w:val="17"/>
              </w:rPr>
              <w:t>Entorno Desplegado en la Nube:</w:t>
            </w:r>
          </w:p>
        </w:tc>
        <w:tc>
          <w:tcPr>
            <w:tcW w:type="dxa" w:w="5472"/>
            <w:shd w:fill="FFFFFF"/>
            <w:tcMar>
              <w:top w:w="80" w:type="dxa"/>
              <w:bottom w:w="80" w:type="dxa"/>
              <w:left w:w="100" w:type="dxa"/>
              <w:right w:w="100" w:type="dxa"/>
            </w:tcMar>
          </w:tcPr>
          <w:p>
            <w:pPr>
              <w:spacing w:after="0"/>
              <w:jc w:val="left"/>
            </w:pPr>
            <w:r>
              <w:rPr>
                <w:rFonts w:ascii="Arial" w:hAnsi="Arial"/>
                <w:color w:val="334155"/>
                <w:sz w:val="17"/>
              </w:rPr>
              <w:t>https://cursos-sistema.onrender.com (Web Service + Neon PostgreSQL)</w:t>
            </w:r>
          </w:p>
        </w:tc>
      </w:tr>
    </w:tbl>
    <w:p>
      <w:pPr>
        <w:spacing w:before="500"/>
        <w:jc w:val="center"/>
      </w:pPr>
      <w:r>
        <w:rPr>
          <w:rFonts w:ascii="Arial" w:hAnsi="Arial"/>
          <w:b/>
          <w:color w:val="64748B"/>
          <w:sz w:val="19"/>
        </w:rPr>
        <w:t>Puno, Perú — Octubre de 2026</w:t>
      </w:r>
    </w:p>
    <w:p>
      <w:r>
        <w:br w:type="page"/>
      </w:r>
    </w:p>
    <w:p>
      <w:pPr>
        <w:keepNext/>
        <w:spacing w:before="440" w:after="120"/>
      </w:pPr>
      <w:r>
        <w:rPr>
          <w:rFonts w:ascii="Arial" w:hAnsi="Arial"/>
          <w:b/>
          <w:color w:val="6D1A24"/>
          <w:sz w:val="29"/>
        </w:rPr>
        <w:t>ÍNDICE GENERAL DEL DOCUMENTO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1728"/>
            <w:shd w:fill="6D1A24"/>
            <w:tcMar>
              <w:top w:w="150" w:type="dxa"/>
              <w:bottom w:w="150" w:type="dxa"/>
              <w:left w:w="140" w:type="dxa"/>
              <w:right w:w="140" w:type="dxa"/>
            </w:tcMar>
          </w:tcPr>
          <w:p>
            <w:pPr>
              <w:spacing w:after="0"/>
              <w:jc w:val="left"/>
            </w:pPr>
            <w:r>
              <w:rPr>
                <w:rFonts w:ascii="Arial" w:hAnsi="Arial"/>
                <w:b/>
                <w:color w:val="FFFFFF"/>
                <w:sz w:val="18"/>
              </w:rPr>
              <w:t>Sección</w:t>
            </w:r>
          </w:p>
        </w:tc>
        <w:tc>
          <w:tcPr>
            <w:tcW w:type="dxa" w:w="5760"/>
            <w:shd w:fill="6D1A24"/>
            <w:tcMar>
              <w:top w:w="150" w:type="dxa"/>
              <w:bottom w:w="150" w:type="dxa"/>
              <w:left w:w="140" w:type="dxa"/>
              <w:right w:w="140" w:type="dxa"/>
            </w:tcMar>
          </w:tcPr>
          <w:p>
            <w:pPr>
              <w:spacing w:after="0"/>
              <w:jc w:val="left"/>
            </w:pPr>
            <w:r>
              <w:rPr>
                <w:rFonts w:ascii="Arial" w:hAnsi="Arial"/>
                <w:b/>
                <w:color w:val="FFFFFF"/>
                <w:sz w:val="18"/>
              </w:rPr>
              <w:t>Contenido Temático</w:t>
            </w:r>
          </w:p>
        </w:tc>
        <w:tc>
          <w:tcPr>
            <w:tcW w:type="dxa" w:w="1152"/>
            <w:shd w:fill="6D1A24"/>
            <w:tcMar>
              <w:top w:w="150" w:type="dxa"/>
              <w:bottom w:w="150" w:type="dxa"/>
              <w:left w:w="140" w:type="dxa"/>
              <w:right w:w="140" w:type="dxa"/>
            </w:tcMar>
          </w:tcPr>
          <w:p>
            <w:pPr>
              <w:spacing w:after="0"/>
              <w:jc w:val="left"/>
            </w:pPr>
            <w:r>
              <w:rPr>
                <w:rFonts w:ascii="Arial" w:hAnsi="Arial"/>
                <w:b/>
                <w:color w:val="FFFFFF"/>
                <w:sz w:val="18"/>
              </w:rPr>
              <w:t>Referencia</w:t>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t>Capítulo 1</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Resumen Ejecutivo y Objetivos del Proyecto</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Pág. 3</w:t>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t>Capítulo 2</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Arquitectura del Sistema y Stack Tecnológico de Vanguardia</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Pág. 4</w:t>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t>Capítulo 3</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Modelado de Datos, Persistencia y Diccionario de Entidades</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Pág. 6</w:t>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t>Capítulo 4</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Descripción Funcional Detallada de Módulos Implementados</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Pág. 8</w:t>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4.1 Portal Público, Identidad Académica y Vitrina de Convocatorias</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4.2 Módulo de Registro y Validación Rigurosa de Identidad (DNI/Celular)</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4.3 Pasarela de Pago Yape y Subida Inteligente de Comprobantes</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4.4 Panel de Control del Participante (Mis Cursos, Meet, WhatsApp)</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4.5 Panel de Administración y Gestión Académica Integral</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4.6 Módulo Oficial de Certificación Digital y Validación Pública QR</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4.7 Generador y Estudio Oficial de Afiches Publicitarios (Flyer Studio)</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t>Capítulo 5</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Seguridad Informática, Rendimiento y Buenas Prácticas</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Pág. 14</w:t>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t>Capítulo 6</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Infraestructura Cloud, Despliegue Continuo y Mantenimiento</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Pág. 16</w:t>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t>Capítulo 7</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Aseguramiento de Calidad y Pruebas Automatizadas</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Pág. 18</w:t>
            </w:r>
          </w:p>
        </w:tc>
      </w:tr>
      <w:tr>
        <w:tc>
          <w:tcPr>
            <w:tcW w:type="dxa" w:w="1728"/>
            <w:shd w:fill="FFFFFF"/>
            <w:tcMar>
              <w:top w:w="110" w:type="dxa"/>
              <w:bottom w:w="110" w:type="dxa"/>
              <w:left w:w="140" w:type="dxa"/>
              <w:right w:w="140" w:type="dxa"/>
            </w:tcMar>
          </w:tcPr>
          <w:p>
            <w:pPr>
              <w:spacing w:after="0" w:line="276" w:lineRule="auto"/>
              <w:jc w:val="left"/>
            </w:pPr>
            <w:r>
              <w:rPr>
                <w:rFonts w:ascii="Arial" w:hAnsi="Arial"/>
                <w:color w:val="334155"/>
                <w:sz w:val="17"/>
              </w:rPr>
              <w:t>Capítulo 8</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Conclusiones, Impacto Institucional y Recomendaciones</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Pág. 19</w:t>
            </w:r>
          </w:p>
        </w:tc>
      </w:tr>
      <w:tr>
        <w:tc>
          <w:tcPr>
            <w:tcW w:type="dxa" w:w="1728"/>
            <w:shd w:fill="F8FAFC"/>
            <w:tcMar>
              <w:top w:w="110" w:type="dxa"/>
              <w:bottom w:w="110" w:type="dxa"/>
              <w:left w:w="140" w:type="dxa"/>
              <w:right w:w="140" w:type="dxa"/>
            </w:tcMar>
          </w:tcPr>
          <w:p>
            <w:pPr>
              <w:spacing w:after="0" w:line="276" w:lineRule="auto"/>
              <w:jc w:val="left"/>
            </w:pPr>
            <w:r>
              <w:rPr>
                <w:rFonts w:ascii="Arial" w:hAnsi="Arial"/>
                <w:color w:val="334155"/>
                <w:sz w:val="17"/>
              </w:rPr>
              <w:t>Sección Final</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Constancia Institucional de Conformidad y Firmas</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Pág. 20</w:t>
            </w:r>
          </w:p>
        </w:tc>
      </w:tr>
    </w:tbl>
    <w:p>
      <w:pPr>
        <w:spacing w:before="60" w:after="60"/>
      </w:pPr>
    </w:p>
    <w:p>
      <w:pPr>
        <w:keepNext/>
        <w:spacing w:before="280" w:after="80"/>
      </w:pPr>
      <w:r>
        <w:rPr>
          <w:rFonts w:ascii="Arial" w:hAnsi="Arial"/>
          <w:b/>
          <w:color w:val="1E293B"/>
          <w:sz w:val="24"/>
        </w:rPr>
        <w:t>Ficha Resumen de Especificaciones Técnicas del Software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2880"/>
            <w:shd w:fill="6D1A24"/>
            <w:tcMar>
              <w:top w:w="150" w:type="dxa"/>
              <w:bottom w:w="150" w:type="dxa"/>
              <w:left w:w="140" w:type="dxa"/>
              <w:right w:w="140" w:type="dxa"/>
            </w:tcMar>
          </w:tcPr>
          <w:p>
            <w:pPr>
              <w:spacing w:after="0"/>
              <w:jc w:val="left"/>
            </w:pPr>
            <w:r>
              <w:rPr>
                <w:rFonts w:ascii="Arial" w:hAnsi="Arial"/>
                <w:b/>
                <w:color w:val="FFFFFF"/>
                <w:sz w:val="18"/>
              </w:rPr>
              <w:t>Componente</w:t>
            </w:r>
          </w:p>
        </w:tc>
        <w:tc>
          <w:tcPr>
            <w:tcW w:type="dxa" w:w="5760"/>
            <w:shd w:fill="6D1A24"/>
            <w:tcMar>
              <w:top w:w="150" w:type="dxa"/>
              <w:bottom w:w="150" w:type="dxa"/>
              <w:left w:w="140" w:type="dxa"/>
              <w:right w:w="140" w:type="dxa"/>
            </w:tcMar>
          </w:tcPr>
          <w:p>
            <w:pPr>
              <w:spacing w:after="0"/>
              <w:jc w:val="left"/>
            </w:pPr>
            <w:r>
              <w:rPr>
                <w:rFonts w:ascii="Arial" w:hAnsi="Arial"/>
                <w:b/>
                <w:color w:val="FFFFFF"/>
                <w:sz w:val="18"/>
              </w:rPr>
              <w:t>Especificación y Estándar Tecnológico</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Arquitectura</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Layered Architecture (MVC) con Spring Boot 4.1.1 y Java 17 LTS.</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Base de Datos</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PostgreSQL 16 en la nube (Neon Serverless) con pool optimizado HikariCP.</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Capa Visual</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Thymeleaf 3 + Vanilla CSS Modular (Diseño Solemne Institucional) + JS Vanilla.</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Seguridad</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Spring Security 6, encriptación BCrypt, CSRF habilitado, protección RBAC estricta.</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Almacenamiento</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Dual resiliente: Cloudinary CDN para afiches y comprobantes + Disco local protegido.</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Motor de Certificación</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OpenPDF 2.0.3 de alta fidelidad con orlas ornamentales, marcas de agua y QR vectorial.</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Contenedorización</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Docker Multi-Stage sobre Eclipse Temurin 17 JRE Alpine (&lt; 200 MB).</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Pruebas Unitarias</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JUnit 5 + Spring Boot Test: 30 de 30 pruebas aprobadas (100% de éxito).</w:t>
            </w:r>
          </w:p>
        </w:tc>
      </w:tr>
    </w:tbl>
    <w:p>
      <w:pPr>
        <w:spacing w:before="60" w:after="60"/>
      </w:pPr>
    </w:p>
    <w:p>
      <w:r>
        <w:br w:type="page"/>
      </w:r>
    </w:p>
    <w:p>
      <w:pPr>
        <w:keepNext/>
        <w:spacing w:before="440" w:after="120"/>
      </w:pPr>
      <w:r>
        <w:rPr>
          <w:rFonts w:ascii="Arial" w:hAnsi="Arial"/>
          <w:b/>
          <w:color w:val="6D1A24"/>
          <w:sz w:val="29"/>
        </w:rPr>
        <w:t>CAPÍTULO 1: RESUMEN EJECUTIVO Y OBJETIVOS DEL PROYECTO</w:t>
      </w:r>
    </w:p>
    <w:p>
      <w:pPr>
        <w:keepNext/>
        <w:spacing w:before="280" w:after="80"/>
      </w:pPr>
      <w:r>
        <w:rPr>
          <w:rFonts w:ascii="Arial" w:hAnsi="Arial"/>
          <w:b/>
          <w:color w:val="1E293B"/>
          <w:sz w:val="24"/>
        </w:rPr>
        <w:t>1.1 Introducción</w:t>
      </w:r>
    </w:p>
    <w:p>
      <w:pPr>
        <w:spacing w:line="276" w:lineRule="auto" w:after="100"/>
        <w:jc w:val="both"/>
      </w:pPr>
      <w:r>
        <w:rPr>
          <w:rFonts w:ascii="Arial" w:hAnsi="Arial"/>
          <w:color w:val="334155"/>
          <w:sz w:val="20"/>
        </w:rPr>
        <w:t>El presente informe técnico expone el diseño, desarrollo, pruebas y puesta en producción del Sistema Web Oficial de Gestión Académica, Inscripciones y Certificación Digital para el Instituto de Investigación en Inteligencia Computacional y Ciencia de Datos (IIICCD), órgano adscrito a la Facultad de Ingeniería Estadística e Informática (FINESI) de la Universidad Nacional del Altiplano de Puno (UNA Puno).</w:t>
      </w:r>
    </w:p>
    <w:p>
      <w:pPr>
        <w:spacing w:line="276" w:lineRule="auto" w:after="100"/>
        <w:jc w:val="both"/>
      </w:pPr>
      <w:r>
        <w:rPr>
          <w:rFonts w:ascii="Arial" w:hAnsi="Arial"/>
          <w:color w:val="334155"/>
          <w:sz w:val="20"/>
        </w:rPr>
        <w:t>El sistema representa una solución tecnológica de nivel enterprise orientada a modernizar y transparentar la oferta académica de cursos de alta especialización, talleres y diplomados del instituto, reemplazando completamente los canales informales y manuales por una plataforma robusta, segura y automatizada accesible desde cualquier dispositivo.</w:t>
      </w:r>
    </w:p>
    <w:p>
      <w:pPr>
        <w:keepNext/>
        <w:spacing w:before="280" w:after="80"/>
      </w:pPr>
      <w:r>
        <w:rPr>
          <w:rFonts w:ascii="Arial" w:hAnsi="Arial"/>
          <w:b/>
          <w:color w:val="1E293B"/>
          <w:sz w:val="24"/>
        </w:rPr>
        <w:t>1.2 Justificación Institucional y Problemática Previa</w:t>
      </w:r>
    </w:p>
    <w:p>
      <w:pPr>
        <w:spacing w:line="276" w:lineRule="auto" w:after="100"/>
        <w:jc w:val="both"/>
      </w:pPr>
      <w:r>
        <w:rPr>
          <w:rFonts w:ascii="Arial" w:hAnsi="Arial"/>
          <w:color w:val="334155"/>
          <w:sz w:val="20"/>
        </w:rPr>
        <w:t>Con anterioridad a la implementación de este proyecto, la gestión de convocatorias, inscripciones y emisión de certificados en el IIICCD enfrentaba severas limitaciones operativas:</w:t>
      </w:r>
    </w:p>
    <w:p>
      <w:pPr>
        <w:pStyle w:val="ListBullet"/>
        <w:spacing w:line="276" w:lineRule="auto" w:after="60"/>
        <w:jc w:val="both"/>
      </w:pPr>
      <w:r>
        <w:rPr>
          <w:rFonts w:ascii="Arial" w:hAnsi="Arial"/>
          <w:b/>
          <w:color w:val="1E293B"/>
          <w:sz w:val="20"/>
        </w:rPr>
        <w:t xml:space="preserve">Dispersión y Desorden en la Matrícula: </w:t>
      </w:r>
      <w:r>
        <w:rPr>
          <w:rFonts w:ascii="Arial" w:hAnsi="Arial"/>
          <w:color w:val="334155"/>
          <w:sz w:val="20"/>
        </w:rPr>
        <w:t>Las inscripciones se canalizaban mediante formularios dispersos de Google Forms y mensajes privados de WhatsApp, provocando pérdidas de información y duplicidad de registros.</w:t>
      </w:r>
    </w:p>
    <w:p>
      <w:pPr>
        <w:pStyle w:val="ListBullet"/>
        <w:spacing w:line="276" w:lineRule="auto" w:after="60"/>
        <w:jc w:val="both"/>
      </w:pPr>
      <w:r>
        <w:rPr>
          <w:rFonts w:ascii="Arial" w:hAnsi="Arial"/>
          <w:b/>
          <w:color w:val="1E293B"/>
          <w:sz w:val="20"/>
        </w:rPr>
        <w:t xml:space="preserve">Verificación Financiera Ineficiente: </w:t>
      </w:r>
      <w:r>
        <w:rPr>
          <w:rFonts w:ascii="Arial" w:hAnsi="Arial"/>
          <w:color w:val="334155"/>
          <w:sz w:val="20"/>
        </w:rPr>
        <w:t>La validación de transferencias bancarias y pagos de Yape se realizaba cotejando capturas de pantalla manualmente en chats personales, con alto riesgo de fraude por vouchers reutilizados o falsificados.</w:t>
      </w:r>
    </w:p>
    <w:p>
      <w:pPr>
        <w:pStyle w:val="ListBullet"/>
        <w:spacing w:line="276" w:lineRule="auto" w:after="60"/>
        <w:jc w:val="both"/>
      </w:pPr>
      <w:r>
        <w:rPr>
          <w:rFonts w:ascii="Arial" w:hAnsi="Arial"/>
          <w:b/>
          <w:color w:val="1E293B"/>
          <w:sz w:val="20"/>
        </w:rPr>
        <w:t xml:space="preserve">Emisión de Certificados Lenta y Vulnerable: </w:t>
      </w:r>
      <w:r>
        <w:rPr>
          <w:rFonts w:ascii="Arial" w:hAnsi="Arial"/>
          <w:color w:val="334155"/>
          <w:sz w:val="20"/>
        </w:rPr>
        <w:t>La confección de certificados se ejecutaba de forma manual en software de diseño gráfico, requiriendo días o semanas de trabajo repetitivo y generando errores tipográficos en nombres o números de documento.</w:t>
      </w:r>
    </w:p>
    <w:p>
      <w:pPr>
        <w:pStyle w:val="ListBullet"/>
        <w:spacing w:line="276" w:lineRule="auto" w:after="60"/>
        <w:jc w:val="both"/>
      </w:pPr>
      <w:r>
        <w:rPr>
          <w:rFonts w:ascii="Arial" w:hAnsi="Arial"/>
          <w:b/>
          <w:color w:val="1E293B"/>
          <w:sz w:val="20"/>
        </w:rPr>
        <w:t xml:space="preserve">Ausencia de Verificación Pública Institucional: </w:t>
      </w:r>
      <w:r>
        <w:rPr>
          <w:rFonts w:ascii="Arial" w:hAnsi="Arial"/>
          <w:color w:val="334155"/>
          <w:sz w:val="20"/>
        </w:rPr>
        <w:t>Los certificados emitidos en papel o PDF plano carecían de un mecanismo de validación criptográfica o consulta pública en tiempo real, lo que impedía a instituciones empleadoras verificar su autenticidad.</w:t>
      </w:r>
    </w:p>
    <w:tbl>
      <w:tblPr>
        <w:tblW w:type="auto" w:w="0"/>
        <w:jc w:val="center"/>
        <w:tblLayout w:type="fixed"/>
        <w:tblLook w:firstColumn="1" w:firstRow="1" w:lastColumn="0" w:lastRow="0" w:noHBand="0" w:noVBand="1" w:val="04A0"/>
      </w:tblPr>
      <w:tblGrid>
        <w:gridCol w:w="8788"/>
      </w:tblGrid>
      <w:tr>
        <w:tc>
          <w:tcPr>
            <w:tcW w:type="dxa" w:w="8640"/>
            <w:shd w:fill="F8FAFC"/>
            <w:tcMar>
              <w:top w:w="140" w:type="dxa"/>
              <w:bottom w:w="140" w:type="dxa"/>
              <w:left w:w="200" w:type="dxa"/>
              <w:right w:w="160" w:type="dxa"/>
            </w:tcMar>
            <w:tcBorders>
              <w:top w:val="none"/>
              <w:left w:val="single" w:sz="24" w:space="0" w:color="6D1A24"/>
              <w:bottom w:val="none"/>
              <w:right w:val="none"/>
            </w:tcBorders>
          </w:tcPr>
          <w:p>
            <w:pPr>
              <w:spacing w:line="276" w:lineRule="auto" w:after="0"/>
              <w:jc w:val="both"/>
            </w:pPr>
            <w:r>
              <w:rPr>
                <w:rFonts w:ascii="Arial" w:hAnsi="Arial"/>
                <w:b/>
                <w:color w:val="6D1A24"/>
                <w:sz w:val="20"/>
              </w:rPr>
              <w:t>Impacto Institucional del Proyecto</w:t>
              <w:br/>
            </w:r>
            <w:r>
              <w:rPr>
                <w:rFonts w:ascii="Arial" w:hAnsi="Arial"/>
                <w:color w:val="334155"/>
                <w:sz w:val="19"/>
              </w:rPr>
              <w:t>La implementación de esta plataforma resuelve integralmente estas deficiencias, dotando al IIICCD de un ecosistema digital homologado que automatiza desde la inscripción y validación del pago hasta la entrega y verificación pública del diploma oficial con código QR y respaldo universitario.</w:t>
            </w:r>
          </w:p>
        </w:tc>
      </w:tr>
    </w:tbl>
    <w:p>
      <w:pPr>
        <w:spacing w:before="60" w:after="60"/>
      </w:pPr>
    </w:p>
    <w:p>
      <w:pPr>
        <w:keepNext/>
        <w:spacing w:before="280" w:after="80"/>
      </w:pPr>
      <w:r>
        <w:rPr>
          <w:rFonts w:ascii="Arial" w:hAnsi="Arial"/>
          <w:b/>
          <w:color w:val="1E293B"/>
          <w:sz w:val="24"/>
        </w:rPr>
        <w:t>1.3 Objetivos del Proyecto</w:t>
      </w:r>
    </w:p>
    <w:p>
      <w:pPr>
        <w:spacing w:line="276" w:lineRule="auto" w:after="100"/>
        <w:jc w:val="both"/>
      </w:pPr>
      <w:r>
        <w:rPr>
          <w:rFonts w:ascii="Arial" w:hAnsi="Arial"/>
          <w:color w:val="334155"/>
          <w:sz w:val="20"/>
        </w:rPr>
        <w:t>Objetivo General:</w:t>
      </w:r>
    </w:p>
    <w:p>
      <w:pPr>
        <w:spacing w:line="276" w:lineRule="auto" w:after="100"/>
        <w:jc w:val="both"/>
      </w:pPr>
      <w:r>
        <w:rPr>
          <w:rFonts w:ascii="Arial" w:hAnsi="Arial"/>
          <w:color w:val="334155"/>
          <w:sz w:val="20"/>
        </w:rPr>
        <w:t>Desarrollar e implementar una plataforma web institucional integral para el IIICCD - UNA Puno que automatice la gestión de cursos, el proceso de inscripción y pago mediante Yape, el control de accesos a clases virtuales y la emisión de certificados digitales auditables con validación QR.</w:t>
      </w:r>
    </w:p>
    <w:p>
      <w:pPr>
        <w:spacing w:line="276" w:lineRule="auto" w:after="100"/>
        <w:jc w:val="both"/>
      </w:pPr>
      <w:r>
        <w:rPr>
          <w:rFonts w:ascii="Arial" w:hAnsi="Arial"/>
          <w:color w:val="334155"/>
          <w:sz w:val="20"/>
        </w:rPr>
        <w:t>Objetivos Específicos:</w:t>
      </w:r>
    </w:p>
    <w:p>
      <w:pPr>
        <w:pStyle w:val="ListBullet"/>
        <w:spacing w:line="276" w:lineRule="auto" w:after="60"/>
        <w:jc w:val="both"/>
      </w:pPr>
      <w:r>
        <w:rPr>
          <w:rFonts w:ascii="Arial" w:hAnsi="Arial"/>
          <w:color w:val="334155"/>
          <w:sz w:val="20"/>
        </w:rPr>
        <w:t>Implementar un portal web público institucional con identidad universitaria solemne que exhiba las líneas de investigación, ejes temáticos y convocatorias vigentes con afiches publicitarios dinámicos.</w:t>
      </w:r>
    </w:p>
    <w:p>
      <w:pPr>
        <w:pStyle w:val="ListBullet"/>
        <w:spacing w:line="276" w:lineRule="auto" w:after="60"/>
        <w:jc w:val="both"/>
      </w:pPr>
      <w:r>
        <w:rPr>
          <w:rFonts w:ascii="Arial" w:hAnsi="Arial"/>
          <w:color w:val="334155"/>
          <w:sz w:val="20"/>
        </w:rPr>
        <w:t>Construir una pasarela de pago para Yape con carga segura de comprobantes, validación de formatos y autocompresión en el navegador.</w:t>
      </w:r>
    </w:p>
    <w:p>
      <w:pPr>
        <w:pStyle w:val="ListBullet"/>
        <w:spacing w:line="276" w:lineRule="auto" w:after="60"/>
        <w:jc w:val="both"/>
      </w:pPr>
      <w:r>
        <w:rPr>
          <w:rFonts w:ascii="Arial" w:hAnsi="Arial"/>
          <w:color w:val="334155"/>
          <w:sz w:val="20"/>
        </w:rPr>
        <w:t>Proveer un panel administrativo integral que permita aprobar pagos, supervisar cupos, gestionar cursos, exportar padrones a Excel/CSV con codificación UTF-8 y responder mensajes de soporte.</w:t>
      </w:r>
    </w:p>
    <w:p>
      <w:pPr>
        <w:pStyle w:val="ListBullet"/>
        <w:spacing w:line="276" w:lineRule="auto" w:after="60"/>
        <w:jc w:val="both"/>
      </w:pPr>
      <w:r>
        <w:rPr>
          <w:rFonts w:ascii="Arial" w:hAnsi="Arial"/>
          <w:color w:val="334155"/>
          <w:sz w:val="20"/>
        </w:rPr>
        <w:t>Desarrollar un Estudio y Generador Oficial de Afiches (Flyer Studio) integrado en el panel para crear flyers publicitarios en 3 temas institucionales y descargarlos en PNG 2.5x.</w:t>
      </w:r>
    </w:p>
    <w:p>
      <w:pPr>
        <w:pStyle w:val="ListBullet"/>
        <w:spacing w:line="276" w:lineRule="auto" w:after="60"/>
        <w:jc w:val="both"/>
      </w:pPr>
      <w:r>
        <w:rPr>
          <w:rFonts w:ascii="Arial" w:hAnsi="Arial"/>
          <w:color w:val="334155"/>
          <w:sz w:val="20"/>
        </w:rPr>
        <w:t>Implementar un motor de certificación digital con snapshots inmutables y generación de diplomas en PDF de alta fidelidad con OpenPDF (marcas de agua vectoriales, firmas y código QR).</w:t>
      </w:r>
    </w:p>
    <w:p>
      <w:pPr>
        <w:pStyle w:val="ListBullet"/>
        <w:spacing w:line="276" w:lineRule="auto" w:after="60"/>
        <w:jc w:val="both"/>
      </w:pPr>
      <w:r>
        <w:rPr>
          <w:rFonts w:ascii="Arial" w:hAnsi="Arial"/>
          <w:color w:val="334155"/>
          <w:sz w:val="20"/>
        </w:rPr>
        <w:t>Desplegar la infraestructura en la nube bajo arquitectura de microcontenedores Docker, con base de datos PostgreSQL Serverless y almacenamiento CDN en Cloudinary.</w:t>
      </w:r>
    </w:p>
    <w:p>
      <w:pPr>
        <w:keepNext/>
        <w:spacing w:before="280" w:after="80"/>
      </w:pPr>
      <w:r>
        <w:rPr>
          <w:rFonts w:ascii="Arial" w:hAnsi="Arial"/>
          <w:b/>
          <w:color w:val="1E293B"/>
          <w:sz w:val="24"/>
        </w:rPr>
        <w:t>1.4 Alcance y Población Beneficiaria</w:t>
      </w:r>
    </w:p>
    <w:p>
      <w:pPr>
        <w:spacing w:line="276" w:lineRule="auto" w:after="100"/>
        <w:jc w:val="both"/>
      </w:pPr>
      <w:r>
        <w:rPr>
          <w:rFonts w:ascii="Arial" w:hAnsi="Arial"/>
          <w:color w:val="334155"/>
          <w:sz w:val="20"/>
        </w:rPr>
        <w:t>La plataforma está diseñada para atender a tres grupos clave de usuarios: la comunidad universitaria de la UNA Puno (estudiantes y egresados con tarifa preferencial institucional), profesionales y científicos externos (participantes del público general en cursos de posgrado y especialización), y la plana directiva y administrativa del IIICCD encargada del control académico y financiero.</w:t>
      </w:r>
    </w:p>
    <w:p>
      <w:r>
        <w:br w:type="page"/>
      </w:r>
    </w:p>
    <w:p>
      <w:pPr>
        <w:keepNext/>
        <w:spacing w:before="440" w:after="120"/>
      </w:pPr>
      <w:r>
        <w:rPr>
          <w:rFonts w:ascii="Arial" w:hAnsi="Arial"/>
          <w:b/>
          <w:color w:val="6D1A24"/>
          <w:sz w:val="29"/>
        </w:rPr>
        <w:t>CAPÍTULO 2: ARQUITECTURA DEL SISTEMA Y STACK TECNOLÓGICO</w:t>
      </w:r>
    </w:p>
    <w:p>
      <w:pPr>
        <w:keepNext/>
        <w:spacing w:before="280" w:after="80"/>
      </w:pPr>
      <w:r>
        <w:rPr>
          <w:rFonts w:ascii="Arial" w:hAnsi="Arial"/>
          <w:b/>
          <w:color w:val="1E293B"/>
          <w:sz w:val="24"/>
        </w:rPr>
        <w:t>2.1 Arquitectura en Capas (Layered MVC Architecture)</w:t>
      </w:r>
    </w:p>
    <w:p>
      <w:pPr>
        <w:spacing w:line="276" w:lineRule="auto" w:after="100"/>
        <w:jc w:val="both"/>
      </w:pPr>
      <w:r>
        <w:rPr>
          <w:rFonts w:ascii="Arial" w:hAnsi="Arial"/>
          <w:color w:val="334155"/>
          <w:sz w:val="20"/>
        </w:rPr>
        <w:t>El sistema fue concebido siguiendo los principios de la Arquitectura en Capas (Layered Architecture) y el patrón Modelo-Vista-Controlador (MVC), lo que garantiza un alto desacoplamiento, facilidad de mantenimiento, escalabilidad y testabilidad rigurosa: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2880"/>
            <w:shd w:fill="6D1A24"/>
            <w:tcMar>
              <w:top w:w="150" w:type="dxa"/>
              <w:bottom w:w="150" w:type="dxa"/>
              <w:left w:w="140" w:type="dxa"/>
              <w:right w:w="140" w:type="dxa"/>
            </w:tcMar>
          </w:tcPr>
          <w:p>
            <w:pPr>
              <w:spacing w:after="0"/>
              <w:jc w:val="left"/>
            </w:pPr>
            <w:r>
              <w:rPr>
                <w:rFonts w:ascii="Arial" w:hAnsi="Arial"/>
                <w:b/>
                <w:color w:val="FFFFFF"/>
                <w:sz w:val="18"/>
              </w:rPr>
              <w:t>Nivel Arquitectónico</w:t>
            </w:r>
          </w:p>
        </w:tc>
        <w:tc>
          <w:tcPr>
            <w:tcW w:type="dxa" w:w="5760"/>
            <w:shd w:fill="6D1A24"/>
            <w:tcMar>
              <w:top w:w="150" w:type="dxa"/>
              <w:bottom w:w="150" w:type="dxa"/>
              <w:left w:w="140" w:type="dxa"/>
              <w:right w:w="140" w:type="dxa"/>
            </w:tcMar>
          </w:tcPr>
          <w:p>
            <w:pPr>
              <w:spacing w:after="0"/>
              <w:jc w:val="left"/>
            </w:pPr>
            <w:r>
              <w:rPr>
                <w:rFonts w:ascii="Arial" w:hAnsi="Arial"/>
                <w:b/>
                <w:color w:val="FFFFFF"/>
                <w:sz w:val="18"/>
              </w:rPr>
              <w:t>Responsabilidad y Componentes Clave</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Capa de Presentación (UI)</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Vistas HTML5 semánticas renderizadas en el servidor mediante Thymeleaf 3, estilizadas con CSS Modular Institucional (variables CSS, glassmorphism, responsive) y dinamizadas con JavaScript Vanilla puro (sin frameworks pesados), logrando tiempos de renderizado inferiores a 10 ms.</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Capa de Controladores (Controllers)</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Controladores Spring MVC organizados por ámbito de responsabilidad (Public, Auth, Participante, Admin, Certificado). Reciben las peticiones HTTP, validan los datos de entrada (DTOs con Jakarta Validation) y delegan la lógica a los servicios.</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Capa de Servicios de Negocio (Service Layer)</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Servicios Spring (`@Service`) que encapsulan las reglas de negocio institucionales, manejo de transacciones declarativas (`@Transactional`), despacho de correos en segundo plano (`@Async`) y procesamiento de archivos multimedia.</w:t>
            </w:r>
          </w:p>
        </w:tc>
      </w:tr>
      <w:tr>
        <w:tc>
          <w:tcPr>
            <w:tcW w:type="dxa" w:w="2880"/>
            <w:shd w:fill="F8FAFC"/>
            <w:tcMar>
              <w:top w:w="110" w:type="dxa"/>
              <w:bottom w:w="110" w:type="dxa"/>
              <w:left w:w="140" w:type="dxa"/>
              <w:right w:w="140" w:type="dxa"/>
            </w:tcMar>
          </w:tcPr>
          <w:p>
            <w:pPr>
              <w:spacing w:after="0" w:line="276" w:lineRule="auto"/>
              <w:jc w:val="left"/>
            </w:pPr>
            <w:r>
              <w:rPr>
                <w:rFonts w:ascii="Arial" w:hAnsi="Arial"/>
                <w:color w:val="334155"/>
                <w:sz w:val="17"/>
              </w:rPr>
              <w:t>Capa de Persistencia y Acceso a Datos</w:t>
            </w:r>
          </w:p>
        </w:tc>
        <w:tc>
          <w:tcPr>
            <w:tcW w:type="dxa" w:w="5760"/>
            <w:shd w:fill="F8FAFC"/>
            <w:tcMar>
              <w:top w:w="110" w:type="dxa"/>
              <w:bottom w:w="110" w:type="dxa"/>
              <w:left w:w="140" w:type="dxa"/>
              <w:right w:w="140" w:type="dxa"/>
            </w:tcMar>
          </w:tcPr>
          <w:p>
            <w:pPr>
              <w:spacing w:after="0" w:line="276" w:lineRule="auto"/>
              <w:jc w:val="left"/>
            </w:pPr>
            <w:r>
              <w:rPr>
                <w:rFonts w:ascii="Arial" w:hAnsi="Arial"/>
                <w:color w:val="334155"/>
                <w:sz w:val="17"/>
              </w:rPr>
              <w:t>Repositorios Spring Data JPA basados en Hibernate 6. Utilizan consultas tipadas, proyecciones optimizadas y sentencias `JOIN FETCH` para evitar el problema de consultas N+1 y minimizar la latencia de red.</w:t>
            </w:r>
          </w:p>
        </w:tc>
      </w:tr>
      <w:tr>
        <w:tc>
          <w:tcPr>
            <w:tcW w:type="dxa" w:w="2880"/>
            <w:shd w:fill="FFFFFF"/>
            <w:tcMar>
              <w:top w:w="110" w:type="dxa"/>
              <w:bottom w:w="110" w:type="dxa"/>
              <w:left w:w="140" w:type="dxa"/>
              <w:right w:w="140" w:type="dxa"/>
            </w:tcMar>
          </w:tcPr>
          <w:p>
            <w:pPr>
              <w:spacing w:after="0" w:line="276" w:lineRule="auto"/>
              <w:jc w:val="left"/>
            </w:pPr>
            <w:r>
              <w:rPr>
                <w:rFonts w:ascii="Arial" w:hAnsi="Arial"/>
                <w:color w:val="334155"/>
                <w:sz w:val="17"/>
              </w:rPr>
              <w:t>Capa de Almacenamiento y Motor Cloud</w:t>
            </w:r>
          </w:p>
        </w:tc>
        <w:tc>
          <w:tcPr>
            <w:tcW w:type="dxa" w:w="5760"/>
            <w:shd w:fill="FFFFFF"/>
            <w:tcMar>
              <w:top w:w="110" w:type="dxa"/>
              <w:bottom w:w="110" w:type="dxa"/>
              <w:left w:w="140" w:type="dxa"/>
              <w:right w:w="140" w:type="dxa"/>
            </w:tcMar>
          </w:tcPr>
          <w:p>
            <w:pPr>
              <w:spacing w:after="0" w:line="276" w:lineRule="auto"/>
              <w:jc w:val="left"/>
            </w:pPr>
            <w:r>
              <w:rPr>
                <w:rFonts w:ascii="Arial" w:hAnsi="Arial"/>
                <w:color w:val="334155"/>
                <w:sz w:val="17"/>
              </w:rPr>
              <w:t>Base de datos relacional PostgreSQL 16 ejecutándose en Neon Cloud Serverless con pool HikariCP persistente, y CDN multimedia en Cloudinary con fallback resiliente en disco local.</w:t>
            </w:r>
          </w:p>
        </w:tc>
      </w:tr>
    </w:tbl>
    <w:p>
      <w:pPr>
        <w:spacing w:before="60" w:after="60"/>
      </w:pPr>
    </w:p>
    <w:p>
      <w:pPr>
        <w:keepNext/>
        <w:spacing w:before="280" w:after="80"/>
      </w:pPr>
      <w:r>
        <w:rPr>
          <w:rFonts w:ascii="Arial" w:hAnsi="Arial"/>
          <w:b/>
          <w:color w:val="1E293B"/>
          <w:sz w:val="24"/>
        </w:rPr>
        <w:t>2.2 Cuadro Comparativo del Stack Tecnológico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50" w:type="dxa"/>
              <w:bottom w:w="150" w:type="dxa"/>
              <w:left w:w="140" w:type="dxa"/>
              <w:right w:w="140" w:type="dxa"/>
            </w:tcMar>
          </w:tcPr>
          <w:p>
            <w:pPr>
              <w:spacing w:after="0"/>
              <w:jc w:val="left"/>
            </w:pPr>
            <w:r>
              <w:rPr>
                <w:rFonts w:ascii="Arial" w:hAnsi="Arial"/>
                <w:b/>
                <w:color w:val="FFFFFF"/>
                <w:sz w:val="18"/>
              </w:rPr>
              <w:t>Tecnología</w:t>
            </w:r>
          </w:p>
        </w:tc>
        <w:tc>
          <w:tcPr>
            <w:tcW w:type="dxa" w:w="2160"/>
            <w:shd w:fill="6D1A24"/>
            <w:tcMar>
              <w:top w:w="150" w:type="dxa"/>
              <w:bottom w:w="150" w:type="dxa"/>
              <w:left w:w="140" w:type="dxa"/>
              <w:right w:w="140" w:type="dxa"/>
            </w:tcMar>
          </w:tcPr>
          <w:p>
            <w:pPr>
              <w:spacing w:after="0"/>
              <w:jc w:val="left"/>
            </w:pPr>
            <w:r>
              <w:rPr>
                <w:rFonts w:ascii="Arial" w:hAnsi="Arial"/>
                <w:b/>
                <w:color w:val="FFFFFF"/>
                <w:sz w:val="18"/>
              </w:rPr>
              <w:t>Área de Aplicación</w:t>
            </w:r>
          </w:p>
        </w:tc>
        <w:tc>
          <w:tcPr>
            <w:tcW w:type="dxa" w:w="4320"/>
            <w:shd w:fill="6D1A24"/>
            <w:tcMar>
              <w:top w:w="150" w:type="dxa"/>
              <w:bottom w:w="150" w:type="dxa"/>
              <w:left w:w="140" w:type="dxa"/>
              <w:right w:w="140" w:type="dxa"/>
            </w:tcMar>
          </w:tcPr>
          <w:p>
            <w:pPr>
              <w:spacing w:after="0"/>
              <w:jc w:val="left"/>
            </w:pPr>
            <w:r>
              <w:rPr>
                <w:rFonts w:ascii="Arial" w:hAnsi="Arial"/>
                <w:b/>
                <w:color w:val="FFFFFF"/>
                <w:sz w:val="18"/>
              </w:rPr>
              <w:t>Justificación Técnica</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Java 17 LTS</w:t>
            </w:r>
          </w:p>
        </w:tc>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Lenguaje Core Backend</w:t>
            </w:r>
          </w:p>
        </w:tc>
        <w:tc>
          <w:tcPr>
            <w:tcW w:type="dxa" w:w="4320"/>
            <w:shd w:fill="FFFFFF"/>
            <w:tcMar>
              <w:top w:w="110" w:type="dxa"/>
              <w:bottom w:w="110" w:type="dxa"/>
              <w:left w:w="140" w:type="dxa"/>
              <w:right w:w="140" w:type="dxa"/>
            </w:tcMar>
          </w:tcPr>
          <w:p>
            <w:pPr>
              <w:spacing w:after="0" w:line="276" w:lineRule="auto"/>
              <w:jc w:val="left"/>
            </w:pPr>
            <w:r>
              <w:rPr>
                <w:rFonts w:ascii="Arial" w:hAnsi="Arial"/>
                <w:color w:val="334155"/>
                <w:sz w:val="17"/>
              </w:rPr>
              <w:t>Tipado estático seguro, Garbage Collector ZGC/G1 de alto rendimiento, records, pattern matching y soporte de largo plazo.</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Spring Boot 4.1.1</w:t>
            </w:r>
          </w:p>
        </w:tc>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Framework Enterprise</w:t>
            </w:r>
          </w:p>
        </w:tc>
        <w:tc>
          <w:tcPr>
            <w:tcW w:type="dxa" w:w="4320"/>
            <w:shd w:fill="F8FAFC"/>
            <w:tcMar>
              <w:top w:w="110" w:type="dxa"/>
              <w:bottom w:w="110" w:type="dxa"/>
              <w:left w:w="140" w:type="dxa"/>
              <w:right w:w="140" w:type="dxa"/>
            </w:tcMar>
          </w:tcPr>
          <w:p>
            <w:pPr>
              <w:spacing w:after="0" w:line="276" w:lineRule="auto"/>
              <w:jc w:val="left"/>
            </w:pPr>
            <w:r>
              <w:rPr>
                <w:rFonts w:ascii="Arial" w:hAnsi="Arial"/>
                <w:color w:val="334155"/>
                <w:sz w:val="17"/>
              </w:rPr>
              <w:t>Configuración automática, inyección de dependencias robusta, servidor embebido Tomcat optimizado y métricas de producción.</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Spring Security 6</w:t>
            </w:r>
          </w:p>
        </w:tc>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Seguridad y RBAC</w:t>
            </w:r>
          </w:p>
        </w:tc>
        <w:tc>
          <w:tcPr>
            <w:tcW w:type="dxa" w:w="4320"/>
            <w:shd w:fill="FFFFFF"/>
            <w:tcMar>
              <w:top w:w="110" w:type="dxa"/>
              <w:bottom w:w="110" w:type="dxa"/>
              <w:left w:w="140" w:type="dxa"/>
              <w:right w:w="140" w:type="dxa"/>
            </w:tcMar>
          </w:tcPr>
          <w:p>
            <w:pPr>
              <w:spacing w:after="0" w:line="276" w:lineRule="auto"/>
              <w:jc w:val="left"/>
            </w:pPr>
            <w:r>
              <w:rPr>
                <w:rFonts w:ascii="Arial" w:hAnsi="Arial"/>
                <w:color w:val="334155"/>
                <w:sz w:val="17"/>
              </w:rPr>
              <w:t>Protección contra ataques CSRF, Clickjacking, fijación de sesión y encriptación de claves con BCrypt (costo 10).</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Spring Data JPA / Hibernate</w:t>
            </w:r>
          </w:p>
        </w:tc>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Mapeo Objeto-Relacional</w:t>
            </w:r>
          </w:p>
        </w:tc>
        <w:tc>
          <w:tcPr>
            <w:tcW w:type="dxa" w:w="4320"/>
            <w:shd w:fill="F8FAFC"/>
            <w:tcMar>
              <w:top w:w="110" w:type="dxa"/>
              <w:bottom w:w="110" w:type="dxa"/>
              <w:left w:w="140" w:type="dxa"/>
              <w:right w:w="140" w:type="dxa"/>
            </w:tcMar>
          </w:tcPr>
          <w:p>
            <w:pPr>
              <w:spacing w:after="0" w:line="276" w:lineRule="auto"/>
              <w:jc w:val="left"/>
            </w:pPr>
            <w:r>
              <w:rPr>
                <w:rFonts w:ascii="Arial" w:hAnsi="Arial"/>
                <w:color w:val="334155"/>
                <w:sz w:val="17"/>
              </w:rPr>
              <w:t>Abstracción eficiente de base de datos, consultas declarativas y control transaccional ACID estricto.</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Thymeleaf 3</w:t>
            </w:r>
          </w:p>
        </w:tc>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Motor de Plantillas</w:t>
            </w:r>
          </w:p>
        </w:tc>
        <w:tc>
          <w:tcPr>
            <w:tcW w:type="dxa" w:w="4320"/>
            <w:shd w:fill="FFFFFF"/>
            <w:tcMar>
              <w:top w:w="110" w:type="dxa"/>
              <w:bottom w:w="110" w:type="dxa"/>
              <w:left w:w="140" w:type="dxa"/>
              <w:right w:w="140" w:type="dxa"/>
            </w:tcMar>
          </w:tcPr>
          <w:p>
            <w:pPr>
              <w:spacing w:after="0" w:line="276" w:lineRule="auto"/>
              <w:jc w:val="left"/>
            </w:pPr>
            <w:r>
              <w:rPr>
                <w:rFonts w:ascii="Arial" w:hAnsi="Arial"/>
                <w:color w:val="334155"/>
                <w:sz w:val="17"/>
              </w:rPr>
              <w:t>Integración natural con Spring Security, dialecto estricto, caché de plantillas en producción y cero dependencias de NodeJS.</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OpenPDF 2.0.3</w:t>
            </w:r>
          </w:p>
        </w:tc>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Motor de Diplomas PDF</w:t>
            </w:r>
          </w:p>
        </w:tc>
        <w:tc>
          <w:tcPr>
            <w:tcW w:type="dxa" w:w="4320"/>
            <w:shd w:fill="F8FAFC"/>
            <w:tcMar>
              <w:top w:w="110" w:type="dxa"/>
              <w:bottom w:w="110" w:type="dxa"/>
              <w:left w:w="140" w:type="dxa"/>
              <w:right w:w="140" w:type="dxa"/>
            </w:tcMar>
          </w:tcPr>
          <w:p>
            <w:pPr>
              <w:spacing w:after="0" w:line="276" w:lineRule="auto"/>
              <w:jc w:val="left"/>
            </w:pPr>
            <w:r>
              <w:rPr>
                <w:rFonts w:ascii="Arial" w:hAnsi="Arial"/>
                <w:color w:val="334155"/>
                <w:sz w:val="17"/>
              </w:rPr>
              <w:t>Renderizado vectorial de precisión milimétrica, control de capas gráficas (`PdfGState`), orlas y estampación de firmas.</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PostgreSQL 16</w:t>
            </w:r>
          </w:p>
        </w:tc>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Motor de Base de Datos</w:t>
            </w:r>
          </w:p>
        </w:tc>
        <w:tc>
          <w:tcPr>
            <w:tcW w:type="dxa" w:w="4320"/>
            <w:shd w:fill="FFFFFF"/>
            <w:tcMar>
              <w:top w:w="110" w:type="dxa"/>
              <w:bottom w:w="110" w:type="dxa"/>
              <w:left w:w="140" w:type="dxa"/>
              <w:right w:w="140" w:type="dxa"/>
            </w:tcMar>
          </w:tcPr>
          <w:p>
            <w:pPr>
              <w:spacing w:after="0" w:line="276" w:lineRule="auto"/>
              <w:jc w:val="left"/>
            </w:pPr>
            <w:r>
              <w:rPr>
                <w:rFonts w:ascii="Arial" w:hAnsi="Arial"/>
                <w:color w:val="334155"/>
                <w:sz w:val="17"/>
              </w:rPr>
              <w:t>Cumplimiento ACID estricto, índices b-tree avanzados, soporte JSONB y alta concurrencia transaccional.</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Cloudinary SDK 1.39</w:t>
            </w:r>
          </w:p>
        </w:tc>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Almacenamiento Cloud</w:t>
            </w:r>
          </w:p>
        </w:tc>
        <w:tc>
          <w:tcPr>
            <w:tcW w:type="dxa" w:w="4320"/>
            <w:shd w:fill="F8FAFC"/>
            <w:tcMar>
              <w:top w:w="110" w:type="dxa"/>
              <w:bottom w:w="110" w:type="dxa"/>
              <w:left w:w="140" w:type="dxa"/>
              <w:right w:w="140" w:type="dxa"/>
            </w:tcMar>
          </w:tcPr>
          <w:p>
            <w:pPr>
              <w:spacing w:after="0" w:line="276" w:lineRule="auto"/>
              <w:jc w:val="left"/>
            </w:pPr>
            <w:r>
              <w:rPr>
                <w:rFonts w:ascii="Arial" w:hAnsi="Arial"/>
                <w:color w:val="334155"/>
                <w:sz w:val="17"/>
              </w:rPr>
              <w:t>Gestión de activos digitales (afiches y vouchers) en red de distribución de contenido (CDN) con entrega segura HTTPS.</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Docker &amp; Alpine Linux</w:t>
            </w:r>
          </w:p>
        </w:tc>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Contenedorización</w:t>
            </w:r>
          </w:p>
        </w:tc>
        <w:tc>
          <w:tcPr>
            <w:tcW w:type="dxa" w:w="4320"/>
            <w:shd w:fill="FFFFFF"/>
            <w:tcMar>
              <w:top w:w="110" w:type="dxa"/>
              <w:bottom w:w="110" w:type="dxa"/>
              <w:left w:w="140" w:type="dxa"/>
              <w:right w:w="140" w:type="dxa"/>
            </w:tcMar>
          </w:tcPr>
          <w:p>
            <w:pPr>
              <w:spacing w:after="0" w:line="276" w:lineRule="auto"/>
              <w:jc w:val="left"/>
            </w:pPr>
            <w:r>
              <w:rPr>
                <w:rFonts w:ascii="Arial" w:hAnsi="Arial"/>
                <w:color w:val="334155"/>
                <w:sz w:val="17"/>
              </w:rPr>
              <w:t>Empaquetado inmutable multi-stage con Eclipse Temurin JRE 17 Alpine, garantizando portabilidad y ligereza (&lt; 200 MB).</w:t>
            </w:r>
          </w:p>
        </w:tc>
      </w:tr>
    </w:tbl>
    <w:p>
      <w:pPr>
        <w:spacing w:before="60" w:after="60"/>
      </w:pPr>
    </w:p>
    <w:p>
      <w:pPr>
        <w:keepNext/>
        <w:spacing w:before="280" w:after="80"/>
      </w:pPr>
      <w:r>
        <w:rPr>
          <w:rFonts w:ascii="Arial" w:hAnsi="Arial"/>
          <w:b/>
          <w:color w:val="1E293B"/>
          <w:sz w:val="24"/>
        </w:rPr>
        <w:t>2.3 Patrones de Diseño Implementados</w:t>
      </w:r>
    </w:p>
    <w:p>
      <w:pPr>
        <w:pStyle w:val="ListBullet"/>
        <w:spacing w:line="276" w:lineRule="auto" w:after="60"/>
        <w:jc w:val="both"/>
      </w:pPr>
      <w:r>
        <w:rPr>
          <w:rFonts w:ascii="Arial" w:hAnsi="Arial"/>
          <w:b/>
          <w:color w:val="1E293B"/>
          <w:sz w:val="20"/>
        </w:rPr>
        <w:t xml:space="preserve">Modelo-Vista-Controlador (MVC): </w:t>
      </w:r>
      <w:r>
        <w:rPr>
          <w:rFonts w:ascii="Arial" w:hAnsi="Arial"/>
          <w:color w:val="334155"/>
          <w:sz w:val="20"/>
        </w:rPr>
        <w:t>Separa de forma estricta los datos del modelo, la lógica de presentación y el flujo de navegación.</w:t>
      </w:r>
    </w:p>
    <w:p>
      <w:pPr>
        <w:pStyle w:val="ListBullet"/>
        <w:spacing w:line="276" w:lineRule="auto" w:after="60"/>
        <w:jc w:val="both"/>
      </w:pPr>
      <w:r>
        <w:rPr>
          <w:rFonts w:ascii="Arial" w:hAnsi="Arial"/>
          <w:b/>
          <w:color w:val="1E293B"/>
          <w:sz w:val="20"/>
        </w:rPr>
        <w:t xml:space="preserve">Repository Pattern: </w:t>
      </w:r>
      <w:r>
        <w:rPr>
          <w:rFonts w:ascii="Arial" w:hAnsi="Arial"/>
          <w:color w:val="334155"/>
          <w:sz w:val="20"/>
        </w:rPr>
        <w:t>Abstrae las consultas SQL y el acceso al motor relacional mediante interfaces tipadas (`JpaRepository`), facilitando pruebas unitarias con base de datos H2 en memoria.</w:t>
      </w:r>
    </w:p>
    <w:p>
      <w:pPr>
        <w:pStyle w:val="ListBullet"/>
        <w:spacing w:line="276" w:lineRule="auto" w:after="60"/>
        <w:jc w:val="both"/>
      </w:pPr>
      <w:r>
        <w:rPr>
          <w:rFonts w:ascii="Arial" w:hAnsi="Arial"/>
          <w:b/>
          <w:color w:val="1E293B"/>
          <w:sz w:val="20"/>
        </w:rPr>
        <w:t xml:space="preserve">Data Transfer Object (DTO): </w:t>
      </w:r>
      <w:r>
        <w:rPr>
          <w:rFonts w:ascii="Arial" w:hAnsi="Arial"/>
          <w:color w:val="334155"/>
          <w:sz w:val="20"/>
        </w:rPr>
        <w:t>Objetos planos (`RegistroDTO`, `CursoDTO`, `ContactoDTO`, `PagoDTO`) que encapsulan la transferencia de datos entre la vista y el controlador con validaciones estrictas (`@NotBlank`, `@Pattern`, `@Min`), aislando las entidades JPA de la capa web.</w:t>
      </w:r>
    </w:p>
    <w:p>
      <w:pPr>
        <w:pStyle w:val="ListBullet"/>
        <w:spacing w:line="276" w:lineRule="auto" w:after="60"/>
        <w:jc w:val="both"/>
      </w:pPr>
      <w:r>
        <w:rPr>
          <w:rFonts w:ascii="Arial" w:hAnsi="Arial"/>
          <w:b/>
          <w:color w:val="1E293B"/>
          <w:sz w:val="20"/>
        </w:rPr>
        <w:t xml:space="preserve">Transacciones Declarativas (`@Transactional`): </w:t>
      </w:r>
      <w:r>
        <w:rPr>
          <w:rFonts w:ascii="Arial" w:hAnsi="Arial"/>
          <w:color w:val="334155"/>
          <w:sz w:val="20"/>
        </w:rPr>
        <w:t>Garantiza la atomicidad de operaciones críticas como la aprobación de pagos, descuento de cupos y emisión de diplomas.</w:t>
      </w:r>
    </w:p>
    <w:p>
      <w:pPr>
        <w:pStyle w:val="ListBullet"/>
        <w:spacing w:line="276" w:lineRule="auto" w:after="60"/>
        <w:jc w:val="both"/>
      </w:pPr>
      <w:r>
        <w:rPr>
          <w:rFonts w:ascii="Arial" w:hAnsi="Arial"/>
          <w:b/>
          <w:color w:val="1E293B"/>
          <w:sz w:val="20"/>
        </w:rPr>
        <w:t xml:space="preserve">Snapshot Inmutable (Seguridad Histórica): </w:t>
      </w:r>
      <w:r>
        <w:rPr>
          <w:rFonts w:ascii="Arial" w:hAnsi="Arial"/>
          <w:color w:val="334155"/>
          <w:sz w:val="20"/>
        </w:rPr>
        <w:t>Al emitir un certificado, se capturan como texto plano los datos del estudiante, curso, ponente y créditos en la entidad `Certificado`. Esto asegura que futuros cambios en el curso no alteren el diploma histórico.</w:t>
      </w:r>
    </w:p>
    <w:p>
      <w:r>
        <w:br w:type="page"/>
      </w:r>
    </w:p>
    <w:p>
      <w:pPr>
        <w:keepNext/>
        <w:spacing w:before="440" w:after="120"/>
      </w:pPr>
      <w:r>
        <w:rPr>
          <w:rFonts w:ascii="Arial" w:hAnsi="Arial"/>
          <w:b/>
          <w:color w:val="6D1A24"/>
          <w:sz w:val="29"/>
        </w:rPr>
        <w:t>CAPÍTULO 3: MODELADO DE DATOS, PERSISTENCIA Y DICCIONARIO DE ENTIDADES</w:t>
      </w:r>
    </w:p>
    <w:p>
      <w:pPr>
        <w:keepNext/>
        <w:spacing w:before="280" w:after="80"/>
      </w:pPr>
      <w:r>
        <w:rPr>
          <w:rFonts w:ascii="Arial" w:hAnsi="Arial"/>
          <w:b/>
          <w:color w:val="1E293B"/>
          <w:sz w:val="24"/>
        </w:rPr>
        <w:t>3.1 Estructura Relacional de la Base de Datos</w:t>
      </w:r>
    </w:p>
    <w:p>
      <w:pPr>
        <w:spacing w:line="276" w:lineRule="auto" w:after="100"/>
        <w:jc w:val="both"/>
      </w:pPr>
      <w:r>
        <w:rPr>
          <w:rFonts w:ascii="Arial" w:hAnsi="Arial"/>
          <w:color w:val="334155"/>
          <w:sz w:val="20"/>
        </w:rPr>
        <w:t>El esquema relacional fue diseñado en Tercera Forma Normal (3FN), garantizando la integridad de datos, ausencia de redundancias y consistencia transaccional. La base de datos opera bajo el dialecto PostgreSQL 16 con codificación UTF-8 nativa.</w:t>
      </w:r>
    </w:p>
    <w:p>
      <w:pPr>
        <w:keepNext/>
        <w:spacing w:before="280" w:after="80"/>
      </w:pPr>
      <w:r>
        <w:rPr>
          <w:rFonts w:ascii="Arial" w:hAnsi="Arial"/>
          <w:b/>
          <w:color w:val="1E293B"/>
          <w:sz w:val="24"/>
        </w:rPr>
        <w:t>3.2 Catálogo Detallado de Entidades del Sistema</w:t>
      </w:r>
    </w:p>
    <w:p>
      <w:pPr>
        <w:keepNext/>
        <w:spacing w:before="200" w:after="40"/>
      </w:pPr>
      <w:r>
        <w:rPr>
          <w:rFonts w:ascii="Arial" w:hAnsi="Arial"/>
          <w:b/>
          <w:color w:val="6D1A24"/>
          <w:sz w:val="22"/>
        </w:rPr>
        <w:t>A. Entidad: Usuario (`usuarios`)</w:t>
      </w:r>
    </w:p>
    <w:p>
      <w:pPr>
        <w:spacing w:line="276" w:lineRule="auto" w:after="100"/>
        <w:jc w:val="both"/>
      </w:pPr>
      <w:r>
        <w:rPr>
          <w:rFonts w:ascii="Arial" w:hAnsi="Arial"/>
          <w:color w:val="334155"/>
          <w:sz w:val="20"/>
        </w:rPr>
        <w:t>Almacena la identidad de los estudiantes, participantes externos y administradores institucionales.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50" w:type="dxa"/>
              <w:bottom w:w="150" w:type="dxa"/>
              <w:left w:w="140" w:type="dxa"/>
              <w:right w:w="140" w:type="dxa"/>
            </w:tcMar>
          </w:tcPr>
          <w:p>
            <w:pPr>
              <w:spacing w:after="0"/>
              <w:jc w:val="left"/>
            </w:pPr>
            <w:r>
              <w:rPr>
                <w:rFonts w:ascii="Arial" w:hAnsi="Arial"/>
                <w:b/>
                <w:color w:val="FFFFFF"/>
                <w:sz w:val="18"/>
              </w:rPr>
              <w:t>Campo</w:t>
            </w:r>
          </w:p>
        </w:tc>
        <w:tc>
          <w:tcPr>
            <w:tcW w:type="dxa" w:w="2592"/>
            <w:shd w:fill="6D1A24"/>
            <w:tcMar>
              <w:top w:w="150" w:type="dxa"/>
              <w:bottom w:w="150" w:type="dxa"/>
              <w:left w:w="140" w:type="dxa"/>
              <w:right w:w="140" w:type="dxa"/>
            </w:tcMar>
          </w:tcPr>
          <w:p>
            <w:pPr>
              <w:spacing w:after="0"/>
              <w:jc w:val="left"/>
            </w:pPr>
            <w:r>
              <w:rPr>
                <w:rFonts w:ascii="Arial" w:hAnsi="Arial"/>
                <w:b/>
                <w:color w:val="FFFFFF"/>
                <w:sz w:val="18"/>
              </w:rPr>
              <w:t>Tipo de Dato</w:t>
            </w:r>
          </w:p>
        </w:tc>
        <w:tc>
          <w:tcPr>
            <w:tcW w:type="dxa" w:w="3888"/>
            <w:shd w:fill="6D1A24"/>
            <w:tcMar>
              <w:top w:w="150" w:type="dxa"/>
              <w:bottom w:w="150" w:type="dxa"/>
              <w:left w:w="140" w:type="dxa"/>
              <w:right w:w="140" w:type="dxa"/>
            </w:tcMar>
          </w:tcPr>
          <w:p>
            <w:pPr>
              <w:spacing w:after="0"/>
              <w:jc w:val="left"/>
            </w:pPr>
            <w:r>
              <w:rPr>
                <w:rFonts w:ascii="Arial" w:hAnsi="Arial"/>
                <w:b/>
                <w:color w:val="FFFFFF"/>
                <w:sz w:val="18"/>
              </w:rPr>
              <w:t>Descripción / Regla de Negocio</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id</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BIGSERIAL (PK)</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unívoco del usuario.</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correo</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VARCHAR(150) UNIQUE</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Correo electrónico utilizado como nombre de usuario (login).</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password</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Contraseña encriptada mediante algoritmo BCrypt.</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nombre_completo</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Nombres y apellidos completos del participante.</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numero_documento</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VARCHAR(20) UNIQUE</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DNI (8 dígitos peruanos) o Pasaporte/CE validado.</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telefono</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Número telefónico móvil peruano (9 dígitos para contacto WhatsApp).</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institucion</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Universidad o entidad de procedencia del estudiante.</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rol</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Rol de seguridad en el sistema: `ADMIN` o `PARTICIPANTE`.</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activo</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BOOLEAN</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Estado de la cuenta de usuario (habilitado/bloqueado).</w:t>
            </w:r>
          </w:p>
        </w:tc>
      </w:tr>
    </w:tbl>
    <w:p>
      <w:pPr>
        <w:spacing w:before="60" w:after="60"/>
      </w:pPr>
    </w:p>
    <w:p>
      <w:pPr>
        <w:keepNext/>
        <w:spacing w:before="200" w:after="40"/>
      </w:pPr>
      <w:r>
        <w:rPr>
          <w:rFonts w:ascii="Arial" w:hAnsi="Arial"/>
          <w:b/>
          <w:color w:val="6D1A24"/>
          <w:sz w:val="22"/>
        </w:rPr>
        <w:t>B. Entidad: Curso (`cursos`)</w:t>
      </w:r>
    </w:p>
    <w:p>
      <w:pPr>
        <w:spacing w:line="276" w:lineRule="auto" w:after="100"/>
        <w:jc w:val="both"/>
      </w:pPr>
      <w:r>
        <w:rPr>
          <w:rFonts w:ascii="Arial" w:hAnsi="Arial"/>
          <w:color w:val="334155"/>
          <w:sz w:val="20"/>
        </w:rPr>
        <w:t>Registra los programas académicos, talleres y convocatorias organizadas por el instituto.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304"/>
            <w:shd w:fill="6D1A24"/>
            <w:tcMar>
              <w:top w:w="150" w:type="dxa"/>
              <w:bottom w:w="150" w:type="dxa"/>
              <w:left w:w="140" w:type="dxa"/>
              <w:right w:w="140" w:type="dxa"/>
            </w:tcMar>
          </w:tcPr>
          <w:p>
            <w:pPr>
              <w:spacing w:after="0"/>
              <w:jc w:val="left"/>
            </w:pPr>
            <w:r>
              <w:rPr>
                <w:rFonts w:ascii="Arial" w:hAnsi="Arial"/>
                <w:b/>
                <w:color w:val="FFFFFF"/>
                <w:sz w:val="18"/>
              </w:rPr>
              <w:t>Campo</w:t>
            </w:r>
          </w:p>
        </w:tc>
        <w:tc>
          <w:tcPr>
            <w:tcW w:type="dxa" w:w="2304"/>
            <w:shd w:fill="6D1A24"/>
            <w:tcMar>
              <w:top w:w="150" w:type="dxa"/>
              <w:bottom w:w="150" w:type="dxa"/>
              <w:left w:w="140" w:type="dxa"/>
              <w:right w:w="140" w:type="dxa"/>
            </w:tcMar>
          </w:tcPr>
          <w:p>
            <w:pPr>
              <w:spacing w:after="0"/>
              <w:jc w:val="left"/>
            </w:pPr>
            <w:r>
              <w:rPr>
                <w:rFonts w:ascii="Arial" w:hAnsi="Arial"/>
                <w:b/>
                <w:color w:val="FFFFFF"/>
                <w:sz w:val="18"/>
              </w:rPr>
              <w:t>Tipo de Dato</w:t>
            </w:r>
          </w:p>
        </w:tc>
        <w:tc>
          <w:tcPr>
            <w:tcW w:type="dxa" w:w="4032"/>
            <w:shd w:fill="6D1A24"/>
            <w:tcMar>
              <w:top w:w="150" w:type="dxa"/>
              <w:bottom w:w="150" w:type="dxa"/>
              <w:left w:w="140" w:type="dxa"/>
              <w:right w:w="140" w:type="dxa"/>
            </w:tcMar>
          </w:tcPr>
          <w:p>
            <w:pPr>
              <w:spacing w:after="0"/>
              <w:jc w:val="left"/>
            </w:pPr>
            <w:r>
              <w:rPr>
                <w:rFonts w:ascii="Arial" w:hAnsi="Arial"/>
                <w:b/>
                <w:color w:val="FFFFFF"/>
                <w:sz w:val="18"/>
              </w:rPr>
              <w:t>Descripción / Regla de Negocio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id</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BIGSERIAL (PK)</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unívoco del curso.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nombre</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VARCHAR(200)</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Título académico formal del curso o taller.</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area_investigacion_id</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Área de investigación a la que pertenece el curso.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docente_responsable</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Nombre del ponente o docente titular.</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docente_cargo</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Grado académico y especialidad del docente.</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docente_foto_url</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Fotografía profesional del ponente en Cloudinary/local.</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precio</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NUMERIC(10,2)</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Tarifa de inscripción para público general.</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precio_comunidad</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NUMERIC(10,2)</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Tarifa preferencial para la comunidad universitaria UNA Puno.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cupos_totales</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INTEGER</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Capacidad máxima de participantes permitidos.</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cupos_disponibles</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INTEGER</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Cupos vacantes en tiempo real.</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estado</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Estado del curso: `BORRADOR`, `PUBLICADO`, `EN_CURSO`, `FINALIZADO`.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enlace_clase</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Enlace virtual a la sala de Zoom o Google Meet (protegido).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enlace_whatsapp</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Enlace de invitación al grupo oficial de WhatsApp (protegido).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creditos</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INTEGER</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Valor curricular en créditos universitarios formales.</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flyer_url</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URL del afiche publicitario oficial.</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flyer_publicado</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BOOLEAN</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Indicador booleano para exhibir el flyer en la portada superior.</w:t>
            </w:r>
          </w:p>
        </w:tc>
      </w:tr>
    </w:tbl>
    <w:p>
      <w:pPr>
        <w:spacing w:before="60" w:after="60"/>
      </w:pPr>
    </w:p>
    <w:p>
      <w:pPr>
        <w:keepNext/>
        <w:spacing w:before="200" w:after="40"/>
      </w:pPr>
      <w:r>
        <w:rPr>
          <w:rFonts w:ascii="Arial" w:hAnsi="Arial"/>
          <w:b/>
          <w:color w:val="6D1A24"/>
          <w:sz w:val="22"/>
        </w:rPr>
        <w:t>C. Entidades: Línea y Área de Investigación (`lineas_investigacion`, `areas_investigacion`)</w:t>
      </w:r>
    </w:p>
    <w:p>
      <w:pPr>
        <w:spacing w:line="276" w:lineRule="auto" w:after="100"/>
        <w:jc w:val="both"/>
      </w:pPr>
      <w:r>
        <w:rPr>
          <w:rFonts w:ascii="Arial" w:hAnsi="Arial"/>
          <w:color w:val="334155"/>
          <w:sz w:val="20"/>
        </w:rPr>
        <w:t>Estructuran el catálogo académico en torno a los tres ejes rectores del IIICCD: Inteligencia Computacional, Ciencia de Datos y Tecnologías Emergentes, asociando a cada uno sus áreas temáticas específicas.</w:t>
      </w:r>
    </w:p>
    <w:p>
      <w:pPr>
        <w:keepNext/>
        <w:spacing w:before="200" w:after="40"/>
      </w:pPr>
      <w:r>
        <w:rPr>
          <w:rFonts w:ascii="Arial" w:hAnsi="Arial"/>
          <w:b/>
          <w:color w:val="6D1A24"/>
          <w:sz w:val="22"/>
        </w:rPr>
        <w:t>D. Entidad: Inscripción (`inscripciones`)</w:t>
      </w:r>
    </w:p>
    <w:p>
      <w:pPr>
        <w:spacing w:line="276" w:lineRule="auto" w:after="100"/>
        <w:jc w:val="both"/>
      </w:pPr>
      <w:r>
        <w:rPr>
          <w:rFonts w:ascii="Arial" w:hAnsi="Arial"/>
          <w:color w:val="334155"/>
          <w:sz w:val="20"/>
        </w:rPr>
        <w:t>Representa la matrícula de un usuario en un curso determinado.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50" w:type="dxa"/>
              <w:bottom w:w="150" w:type="dxa"/>
              <w:left w:w="140" w:type="dxa"/>
              <w:right w:w="140" w:type="dxa"/>
            </w:tcMar>
          </w:tcPr>
          <w:p>
            <w:pPr>
              <w:spacing w:after="0"/>
              <w:jc w:val="left"/>
            </w:pPr>
            <w:r>
              <w:rPr>
                <w:rFonts w:ascii="Arial" w:hAnsi="Arial"/>
                <w:b/>
                <w:color w:val="FFFFFF"/>
                <w:sz w:val="18"/>
              </w:rPr>
              <w:t>Campo</w:t>
            </w:r>
          </w:p>
        </w:tc>
        <w:tc>
          <w:tcPr>
            <w:tcW w:type="dxa" w:w="2592"/>
            <w:shd w:fill="6D1A24"/>
            <w:tcMar>
              <w:top w:w="150" w:type="dxa"/>
              <w:bottom w:w="150" w:type="dxa"/>
              <w:left w:w="140" w:type="dxa"/>
              <w:right w:w="140" w:type="dxa"/>
            </w:tcMar>
          </w:tcPr>
          <w:p>
            <w:pPr>
              <w:spacing w:after="0"/>
              <w:jc w:val="left"/>
            </w:pPr>
            <w:r>
              <w:rPr>
                <w:rFonts w:ascii="Arial" w:hAnsi="Arial"/>
                <w:b/>
                <w:color w:val="FFFFFF"/>
                <w:sz w:val="18"/>
              </w:rPr>
              <w:t>Tipo de Dato</w:t>
            </w:r>
          </w:p>
        </w:tc>
        <w:tc>
          <w:tcPr>
            <w:tcW w:type="dxa" w:w="3888"/>
            <w:shd w:fill="6D1A24"/>
            <w:tcMar>
              <w:top w:w="150" w:type="dxa"/>
              <w:bottom w:w="150" w:type="dxa"/>
              <w:left w:w="140" w:type="dxa"/>
              <w:right w:w="140" w:type="dxa"/>
            </w:tcMar>
          </w:tcPr>
          <w:p>
            <w:pPr>
              <w:spacing w:after="0"/>
              <w:jc w:val="left"/>
            </w:pPr>
            <w:r>
              <w:rPr>
                <w:rFonts w:ascii="Arial" w:hAnsi="Arial"/>
                <w:b/>
                <w:color w:val="FFFFFF"/>
                <w:sz w:val="18"/>
              </w:rPr>
              <w:t>Descripción / Regla de Negocio</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id</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BIGSERIAL (PK)</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unívoco de la inscripción.</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usuario_id</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Estudiante que realiza la inscripción.</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curso_id</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Curso al que postula el estudiante.</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estado</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VARCHAR(30)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Estado: `PENDIENTE_PAGO`, `PENDIENTE_VERIFICACION`, `APROBADA`, `RECHAZADA`, `COMPLETADA`.</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fecha_inscripcion</w:t>
            </w:r>
          </w:p>
        </w:tc>
        <w:tc>
          <w:tcPr>
            <w:tcW w:type="dxa" w:w="2592"/>
            <w:shd w:fill="FFFFFF"/>
            <w:tcMar>
              <w:top w:w="110" w:type="dxa"/>
              <w:bottom w:w="110" w:type="dxa"/>
              <w:left w:w="140" w:type="dxa"/>
              <w:right w:w="140" w:type="dxa"/>
            </w:tcMar>
          </w:tcPr>
          <w:p>
            <w:pPr>
              <w:spacing w:after="0" w:line="276" w:lineRule="auto"/>
              <w:jc w:val="left"/>
            </w:pPr>
            <w:r>
              <w:rPr>
                <w:rFonts w:ascii="Arial" w:hAnsi="Arial"/>
                <w:color w:val="334155"/>
                <w:sz w:val="17"/>
              </w:rPr>
              <w:t>TIMESTAMP</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Fecha y hora exacta del registro inicial.</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notas_admin</w:t>
            </w:r>
          </w:p>
        </w:tc>
        <w:tc>
          <w:tcPr>
            <w:tcW w:type="dxa" w:w="2592"/>
            <w:shd w:fill="F8FAFC"/>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Motivo u observaciones en caso de rechazo del comprobante.</w:t>
            </w:r>
          </w:p>
        </w:tc>
      </w:tr>
    </w:tbl>
    <w:p>
      <w:pPr>
        <w:spacing w:before="60" w:after="60"/>
      </w:pPr>
    </w:p>
    <w:p>
      <w:pPr>
        <w:keepNext/>
        <w:spacing w:before="200" w:after="40"/>
      </w:pPr>
      <w:r>
        <w:rPr>
          <w:rFonts w:ascii="Arial" w:hAnsi="Arial"/>
          <w:b/>
          <w:color w:val="6D1A24"/>
          <w:sz w:val="22"/>
        </w:rPr>
        <w:t>E. Entidad: Pago (`pagos`)</w:t>
      </w:r>
    </w:p>
    <w:p>
      <w:pPr>
        <w:spacing w:line="276" w:lineRule="auto" w:after="100"/>
        <w:jc w:val="both"/>
      </w:pPr>
      <w:r>
        <w:rPr>
          <w:rFonts w:ascii="Arial" w:hAnsi="Arial"/>
          <w:color w:val="334155"/>
          <w:sz w:val="20"/>
        </w:rPr>
        <w:t>Audita la transacción económica efectuada por el participante a través de Yape.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304"/>
            <w:shd w:fill="6D1A24"/>
            <w:tcMar>
              <w:top w:w="150" w:type="dxa"/>
              <w:bottom w:w="150" w:type="dxa"/>
              <w:left w:w="140" w:type="dxa"/>
              <w:right w:w="140" w:type="dxa"/>
            </w:tcMar>
          </w:tcPr>
          <w:p>
            <w:pPr>
              <w:spacing w:after="0"/>
              <w:jc w:val="left"/>
            </w:pPr>
            <w:r>
              <w:rPr>
                <w:rFonts w:ascii="Arial" w:hAnsi="Arial"/>
                <w:b/>
                <w:color w:val="FFFFFF"/>
                <w:sz w:val="18"/>
              </w:rPr>
              <w:t>Campo</w:t>
            </w:r>
          </w:p>
        </w:tc>
        <w:tc>
          <w:tcPr>
            <w:tcW w:type="dxa" w:w="2304"/>
            <w:shd w:fill="6D1A24"/>
            <w:tcMar>
              <w:top w:w="150" w:type="dxa"/>
              <w:bottom w:w="150" w:type="dxa"/>
              <w:left w:w="140" w:type="dxa"/>
              <w:right w:w="140" w:type="dxa"/>
            </w:tcMar>
          </w:tcPr>
          <w:p>
            <w:pPr>
              <w:spacing w:after="0"/>
              <w:jc w:val="left"/>
            </w:pPr>
            <w:r>
              <w:rPr>
                <w:rFonts w:ascii="Arial" w:hAnsi="Arial"/>
                <w:b/>
                <w:color w:val="FFFFFF"/>
                <w:sz w:val="18"/>
              </w:rPr>
              <w:t>Tipo de Dato</w:t>
            </w:r>
          </w:p>
        </w:tc>
        <w:tc>
          <w:tcPr>
            <w:tcW w:type="dxa" w:w="4032"/>
            <w:shd w:fill="6D1A24"/>
            <w:tcMar>
              <w:top w:w="150" w:type="dxa"/>
              <w:bottom w:w="150" w:type="dxa"/>
              <w:left w:w="140" w:type="dxa"/>
              <w:right w:w="140" w:type="dxa"/>
            </w:tcMar>
          </w:tcPr>
          <w:p>
            <w:pPr>
              <w:spacing w:after="0"/>
              <w:jc w:val="left"/>
            </w:pPr>
            <w:r>
              <w:rPr>
                <w:rFonts w:ascii="Arial" w:hAnsi="Arial"/>
                <w:b/>
                <w:color w:val="FFFFFF"/>
                <w:sz w:val="18"/>
              </w:rPr>
              <w:t>Descripción / Regla de Negocio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id</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BIGSERIAL (PK)</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unívoco del pago.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inscripcion_id</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Inscripción asociada al pago.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monto</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NUMERIC(10,2)</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Importe transferido por el participante.</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metodo_pago</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Método de pago utilizado: `YAPE`.</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referencia_externa</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VARCHAR(50)</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Número de operación o código de aprobación emitido por el aplicativo Yape.</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comprobante_url</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Ruta segura de almacenamiento del voucher (Cloudinary/local).</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estado</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Estado financiero: `PENDIENTE`, `APROBADO`, `RECHAZADO`.</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fecha_pago</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TIMESTAMP</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Fecha y hora del reporte de pago.</w:t>
            </w:r>
          </w:p>
        </w:tc>
      </w:tr>
      <w:tr>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fecha_verificacion</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TIMESTAMP</w:t>
            </w:r>
          </w:p>
        </w:tc>
        <w:tc>
          <w:tcPr>
            <w:tcW w:type="dxa" w:w="4032"/>
            <w:shd w:fill="FFFFFF"/>
            <w:tcMar>
              <w:top w:w="110" w:type="dxa"/>
              <w:bottom w:w="110" w:type="dxa"/>
              <w:left w:w="140" w:type="dxa"/>
              <w:right w:w="140" w:type="dxa"/>
            </w:tcMar>
          </w:tcPr>
          <w:p>
            <w:pPr>
              <w:spacing w:after="0" w:line="276" w:lineRule="auto"/>
              <w:jc w:val="left"/>
            </w:pPr>
            <w:r>
              <w:rPr>
                <w:rFonts w:ascii="Arial" w:hAnsi="Arial"/>
                <w:color w:val="334155"/>
                <w:sz w:val="17"/>
              </w:rPr>
              <w:t>Fecha y hora de la auditoría administrativa.</w:t>
            </w:r>
          </w:p>
        </w:tc>
      </w:tr>
      <w:tr>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verificado_por_id</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4032"/>
            <w:shd w:fill="F8FAFC"/>
            <w:tcMar>
              <w:top w:w="110" w:type="dxa"/>
              <w:bottom w:w="110" w:type="dxa"/>
              <w:left w:w="140" w:type="dxa"/>
              <w:right w:w="140" w:type="dxa"/>
            </w:tcMar>
          </w:tcPr>
          <w:p>
            <w:pPr>
              <w:spacing w:after="0" w:line="276" w:lineRule="auto"/>
              <w:jc w:val="left"/>
            </w:pPr>
            <w:r>
              <w:rPr>
                <w:rFonts w:ascii="Arial" w:hAnsi="Arial"/>
                <w:color w:val="334155"/>
                <w:sz w:val="17"/>
              </w:rPr>
              <w:t>Administrador institucional que auditó y aprobó el comprobante.</w:t>
            </w:r>
          </w:p>
        </w:tc>
      </w:tr>
    </w:tbl>
    <w:p>
      <w:pPr>
        <w:spacing w:before="60" w:after="60"/>
      </w:pPr>
    </w:p>
    <w:p>
      <w:pPr>
        <w:keepNext/>
        <w:spacing w:before="200" w:after="40"/>
      </w:pPr>
      <w:r>
        <w:rPr>
          <w:rFonts w:ascii="Arial" w:hAnsi="Arial"/>
          <w:b/>
          <w:color w:val="6D1A24"/>
          <w:sz w:val="22"/>
        </w:rPr>
        <w:t>F. Entidad: Certificado (`certificados`)</w:t>
      </w:r>
    </w:p>
    <w:p>
      <w:pPr>
        <w:spacing w:line="276" w:lineRule="auto" w:after="100"/>
        <w:jc w:val="both"/>
      </w:pPr>
      <w:r>
        <w:rPr>
          <w:rFonts w:ascii="Arial" w:hAnsi="Arial"/>
          <w:color w:val="334155"/>
          <w:sz w:val="20"/>
        </w:rPr>
        <w:t>Almacena la emisión solemne del diploma universitario con snapshot inmutable.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448"/>
            <w:shd w:fill="6D1A24"/>
            <w:tcMar>
              <w:top w:w="150" w:type="dxa"/>
              <w:bottom w:w="150" w:type="dxa"/>
              <w:left w:w="140" w:type="dxa"/>
              <w:right w:w="140" w:type="dxa"/>
            </w:tcMar>
          </w:tcPr>
          <w:p>
            <w:pPr>
              <w:spacing w:after="0"/>
              <w:jc w:val="left"/>
            </w:pPr>
            <w:r>
              <w:rPr>
                <w:rFonts w:ascii="Arial" w:hAnsi="Arial"/>
                <w:b/>
                <w:color w:val="FFFFFF"/>
                <w:sz w:val="18"/>
              </w:rPr>
              <w:t>Campo</w:t>
            </w:r>
          </w:p>
        </w:tc>
        <w:tc>
          <w:tcPr>
            <w:tcW w:type="dxa" w:w="2304"/>
            <w:shd w:fill="6D1A24"/>
            <w:tcMar>
              <w:top w:w="150" w:type="dxa"/>
              <w:bottom w:w="150" w:type="dxa"/>
              <w:left w:w="140" w:type="dxa"/>
              <w:right w:w="140" w:type="dxa"/>
            </w:tcMar>
          </w:tcPr>
          <w:p>
            <w:pPr>
              <w:spacing w:after="0"/>
              <w:jc w:val="left"/>
            </w:pPr>
            <w:r>
              <w:rPr>
                <w:rFonts w:ascii="Arial" w:hAnsi="Arial"/>
                <w:b/>
                <w:color w:val="FFFFFF"/>
                <w:sz w:val="18"/>
              </w:rPr>
              <w:t>Tipo de Dato</w:t>
            </w:r>
          </w:p>
        </w:tc>
        <w:tc>
          <w:tcPr>
            <w:tcW w:type="dxa" w:w="3888"/>
            <w:shd w:fill="6D1A24"/>
            <w:tcMar>
              <w:top w:w="150" w:type="dxa"/>
              <w:bottom w:w="150" w:type="dxa"/>
              <w:left w:w="140" w:type="dxa"/>
              <w:right w:w="140" w:type="dxa"/>
            </w:tcMar>
          </w:tcPr>
          <w:p>
            <w:pPr>
              <w:spacing w:after="0"/>
              <w:jc w:val="left"/>
            </w:pPr>
            <w:r>
              <w:rPr>
                <w:rFonts w:ascii="Arial" w:hAnsi="Arial"/>
                <w:b/>
                <w:color w:val="FFFFFF"/>
                <w:sz w:val="18"/>
              </w:rPr>
              <w:t>Descripción / Regla de Negocio</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id</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BIGSERIAL (PK)</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unívoco del certificado emitido.</w:t>
            </w:r>
          </w:p>
        </w:tc>
      </w:tr>
      <w:tr>
        <w:tc>
          <w:tcPr>
            <w:tcW w:type="dxa" w:w="2448"/>
            <w:shd w:fill="F8FAFC"/>
            <w:tcMar>
              <w:top w:w="110" w:type="dxa"/>
              <w:bottom w:w="110" w:type="dxa"/>
              <w:left w:w="140" w:type="dxa"/>
              <w:right w:w="140" w:type="dxa"/>
            </w:tcMar>
          </w:tcPr>
          <w:p>
            <w:pPr>
              <w:spacing w:after="0" w:line="276" w:lineRule="auto"/>
              <w:jc w:val="left"/>
            </w:pPr>
            <w:r>
              <w:rPr>
                <w:rFonts w:ascii="Arial" w:hAnsi="Arial"/>
                <w:color w:val="334155"/>
                <w:sz w:val="17"/>
              </w:rPr>
              <w:t>codigo_unico</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VARCHAR(50) UNIQUE</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Código alfanumérico seguro para consulta pública (UUID abreviado).</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inscripcion_id</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BIGINT (FK)</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Inscripción aprobada que originó el diploma.</w:t>
            </w:r>
          </w:p>
        </w:tc>
      </w:tr>
      <w:tr>
        <w:tc>
          <w:tcPr>
            <w:tcW w:type="dxa" w:w="2448"/>
            <w:shd w:fill="F8FAFC"/>
            <w:tcMar>
              <w:top w:w="110" w:type="dxa"/>
              <w:bottom w:w="110" w:type="dxa"/>
              <w:left w:w="140" w:type="dxa"/>
              <w:right w:w="140" w:type="dxa"/>
            </w:tcMar>
          </w:tcPr>
          <w:p>
            <w:pPr>
              <w:spacing w:after="0" w:line="276" w:lineRule="auto"/>
              <w:jc w:val="left"/>
            </w:pPr>
            <w:r>
              <w:rPr>
                <w:rFonts w:ascii="Arial" w:hAnsi="Arial"/>
                <w:color w:val="334155"/>
                <w:sz w:val="17"/>
              </w:rPr>
              <w:t>nombre_estudiante</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Snapshot inmutable del nombre del estudiante al momento de la emisión.</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documento_estudiante</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VARCHAR(20)</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Snapshot inmutable del DNI del participante.</w:t>
            </w:r>
          </w:p>
        </w:tc>
      </w:tr>
      <w:tr>
        <w:tc>
          <w:tcPr>
            <w:tcW w:type="dxa" w:w="2448"/>
            <w:shd w:fill="F8FAFC"/>
            <w:tcMar>
              <w:top w:w="110" w:type="dxa"/>
              <w:bottom w:w="110" w:type="dxa"/>
              <w:left w:w="140" w:type="dxa"/>
              <w:right w:w="140" w:type="dxa"/>
            </w:tcMar>
          </w:tcPr>
          <w:p>
            <w:pPr>
              <w:spacing w:after="0" w:line="276" w:lineRule="auto"/>
              <w:jc w:val="left"/>
            </w:pPr>
            <w:r>
              <w:rPr>
                <w:rFonts w:ascii="Arial" w:hAnsi="Arial"/>
                <w:color w:val="334155"/>
                <w:sz w:val="17"/>
              </w:rPr>
              <w:t>nombre_curso</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VARCHAR(200)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Snapshot inmutable del título formal del curso.</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docente</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VARCHAR(150)</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Snapshot inmutable del ponente del curso.</w:t>
            </w:r>
          </w:p>
        </w:tc>
      </w:tr>
      <w:tr>
        <w:tc>
          <w:tcPr>
            <w:tcW w:type="dxa" w:w="2448"/>
            <w:shd w:fill="F8FAFC"/>
            <w:tcMar>
              <w:top w:w="110" w:type="dxa"/>
              <w:bottom w:w="110" w:type="dxa"/>
              <w:left w:w="140" w:type="dxa"/>
              <w:right w:w="140" w:type="dxa"/>
            </w:tcMar>
          </w:tcPr>
          <w:p>
            <w:pPr>
              <w:spacing w:after="0" w:line="276" w:lineRule="auto"/>
              <w:jc w:val="left"/>
            </w:pPr>
            <w:r>
              <w:rPr>
                <w:rFonts w:ascii="Arial" w:hAnsi="Arial"/>
                <w:color w:val="334155"/>
                <w:sz w:val="17"/>
              </w:rPr>
              <w:t>duracion</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VARCHAR(50)</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Snapshot inmutable de la carga horaria académica.</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creditos</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INTEGER</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Snapshot inmutable de los créditos universitarios asignados.</w:t>
            </w:r>
          </w:p>
        </w:tc>
      </w:tr>
      <w:tr>
        <w:tc>
          <w:tcPr>
            <w:tcW w:type="dxa" w:w="2448"/>
            <w:shd w:fill="F8FAFC"/>
            <w:tcMar>
              <w:top w:w="110" w:type="dxa"/>
              <w:bottom w:w="110" w:type="dxa"/>
              <w:left w:w="140" w:type="dxa"/>
              <w:right w:w="140" w:type="dxa"/>
            </w:tcMar>
          </w:tcPr>
          <w:p>
            <w:pPr>
              <w:spacing w:after="0" w:line="276" w:lineRule="auto"/>
              <w:jc w:val="left"/>
            </w:pPr>
            <w:r>
              <w:rPr>
                <w:rFonts w:ascii="Arial" w:hAnsi="Arial"/>
                <w:color w:val="334155"/>
                <w:sz w:val="17"/>
              </w:rPr>
              <w:t>fecha_emision</w:t>
            </w:r>
          </w:p>
        </w:tc>
        <w:tc>
          <w:tcPr>
            <w:tcW w:type="dxa" w:w="2304"/>
            <w:shd w:fill="F8FAFC"/>
            <w:tcMar>
              <w:top w:w="110" w:type="dxa"/>
              <w:bottom w:w="110" w:type="dxa"/>
              <w:left w:w="140" w:type="dxa"/>
              <w:right w:w="140" w:type="dxa"/>
            </w:tcMar>
          </w:tcPr>
          <w:p>
            <w:pPr>
              <w:spacing w:after="0" w:line="276" w:lineRule="auto"/>
              <w:jc w:val="left"/>
            </w:pPr>
            <w:r>
              <w:rPr>
                <w:rFonts w:ascii="Arial" w:hAnsi="Arial"/>
                <w:color w:val="334155"/>
                <w:sz w:val="17"/>
              </w:rPr>
              <w:t>TIMESTAMP</w:t>
            </w:r>
          </w:p>
        </w:tc>
        <w:tc>
          <w:tcPr>
            <w:tcW w:type="dxa" w:w="3888"/>
            <w:shd w:fill="F8FAFC"/>
            <w:tcMar>
              <w:top w:w="110" w:type="dxa"/>
              <w:bottom w:w="110" w:type="dxa"/>
              <w:left w:w="140" w:type="dxa"/>
              <w:right w:w="140" w:type="dxa"/>
            </w:tcMar>
          </w:tcPr>
          <w:p>
            <w:pPr>
              <w:spacing w:after="0" w:line="276" w:lineRule="auto"/>
              <w:jc w:val="left"/>
            </w:pPr>
            <w:r>
              <w:rPr>
                <w:rFonts w:ascii="Arial" w:hAnsi="Arial"/>
                <w:color w:val="334155"/>
                <w:sz w:val="17"/>
              </w:rPr>
              <w:t>Fecha y hora formal de expedición del documento.</w:t>
            </w:r>
          </w:p>
        </w:tc>
      </w:tr>
      <w:tr>
        <w:tc>
          <w:tcPr>
            <w:tcW w:type="dxa" w:w="2448"/>
            <w:shd w:fill="FFFFFF"/>
            <w:tcMar>
              <w:top w:w="110" w:type="dxa"/>
              <w:bottom w:w="110" w:type="dxa"/>
              <w:left w:w="140" w:type="dxa"/>
              <w:right w:w="140" w:type="dxa"/>
            </w:tcMar>
          </w:tcPr>
          <w:p>
            <w:pPr>
              <w:spacing w:after="0" w:line="276" w:lineRule="auto"/>
              <w:jc w:val="left"/>
            </w:pPr>
            <w:r>
              <w:rPr>
                <w:rFonts w:ascii="Arial" w:hAnsi="Arial"/>
                <w:color w:val="334155"/>
                <w:sz w:val="17"/>
              </w:rPr>
              <w:t>url_verificacion</w:t>
            </w:r>
          </w:p>
        </w:tc>
        <w:tc>
          <w:tcPr>
            <w:tcW w:type="dxa" w:w="2304"/>
            <w:shd w:fill="FFFFFF"/>
            <w:tcMar>
              <w:top w:w="110" w:type="dxa"/>
              <w:bottom w:w="110" w:type="dxa"/>
              <w:left w:w="140" w:type="dxa"/>
              <w:right w:w="140" w:type="dxa"/>
            </w:tcMar>
          </w:tcPr>
          <w:p>
            <w:pPr>
              <w:spacing w:after="0" w:line="276" w:lineRule="auto"/>
              <w:jc w:val="left"/>
            </w:pPr>
            <w:r>
              <w:rPr>
                <w:rFonts w:ascii="Arial" w:hAnsi="Arial"/>
                <w:color w:val="334155"/>
                <w:sz w:val="17"/>
              </w:rPr>
              <w:t>VARCHAR(255)</w:t>
            </w:r>
          </w:p>
        </w:tc>
        <w:tc>
          <w:tcPr>
            <w:tcW w:type="dxa" w:w="3888"/>
            <w:shd w:fill="FFFFFF"/>
            <w:tcMar>
              <w:top w:w="110" w:type="dxa"/>
              <w:bottom w:w="110" w:type="dxa"/>
              <w:left w:w="140" w:type="dxa"/>
              <w:right w:w="140" w:type="dxa"/>
            </w:tcMar>
          </w:tcPr>
          <w:p>
            <w:pPr>
              <w:spacing w:after="0" w:line="276" w:lineRule="auto"/>
              <w:jc w:val="left"/>
            </w:pPr>
            <w:r>
              <w:rPr>
                <w:rFonts w:ascii="Arial" w:hAnsi="Arial"/>
                <w:color w:val="334155"/>
                <w:sz w:val="17"/>
              </w:rPr>
              <w:t>Enlace web directo de validación pública.</w:t>
            </w:r>
          </w:p>
        </w:tc>
      </w:tr>
    </w:tbl>
    <w:p>
      <w:pPr>
        <w:spacing w:before="60" w:after="60"/>
      </w:pPr>
    </w:p>
    <w:p>
      <w:pPr>
        <w:keepNext/>
        <w:spacing w:before="200" w:after="40"/>
      </w:pPr>
      <w:r>
        <w:rPr>
          <w:rFonts w:ascii="Arial" w:hAnsi="Arial"/>
          <w:b/>
          <w:color w:val="6D1A24"/>
          <w:sz w:val="22"/>
        </w:rPr>
        <w:t>G. Entidades de Soporte: Configuración de Pago y Mensajes</w:t>
      </w:r>
    </w:p>
    <w:p>
      <w:pPr>
        <w:pStyle w:val="ListBullet"/>
        <w:spacing w:line="276" w:lineRule="auto" w:after="60"/>
        <w:jc w:val="both"/>
      </w:pPr>
      <w:r>
        <w:rPr>
          <w:rFonts w:ascii="Arial" w:hAnsi="Arial"/>
          <w:b/>
          <w:color w:val="1E293B"/>
          <w:sz w:val="20"/>
        </w:rPr>
        <w:t xml:space="preserve">Configuración de Pago (`configuracion_pago`): </w:t>
      </w:r>
      <w:r>
        <w:rPr>
          <w:rFonts w:ascii="Arial" w:hAnsi="Arial"/>
          <w:color w:val="334155"/>
          <w:sz w:val="20"/>
        </w:rPr>
        <w:t>Almacena de forma dinámica el número telefónico de Yape, el nombre del titular y el código QR oficial, modificables desde el panel administrativo sin tocar código fuente.</w:t>
      </w:r>
    </w:p>
    <w:p>
      <w:pPr>
        <w:pStyle w:val="ListBullet"/>
        <w:spacing w:line="276" w:lineRule="auto" w:after="60"/>
        <w:jc w:val="both"/>
      </w:pPr>
      <w:r>
        <w:rPr>
          <w:rFonts w:ascii="Arial" w:hAnsi="Arial"/>
          <w:b/>
          <w:color w:val="1E293B"/>
          <w:sz w:val="20"/>
        </w:rPr>
        <w:t xml:space="preserve">Mensajes de Contacto (`mensajes_contacto`): </w:t>
      </w:r>
      <w:r>
        <w:rPr>
          <w:rFonts w:ascii="Arial" w:hAnsi="Arial"/>
          <w:color w:val="334155"/>
          <w:sz w:val="20"/>
        </w:rPr>
        <w:t>Bandeja de consultas ciudadanas enviadas desde el formulario público de contacto, con control de lectura, fecha y respuestas directas por correo o WhatsApp.</w:t>
      </w:r>
    </w:p>
    <w:p>
      <w:r>
        <w:br w:type="page"/>
      </w:r>
    </w:p>
    <w:p>
      <w:pPr>
        <w:keepNext/>
        <w:spacing w:before="440" w:after="120"/>
      </w:pPr>
      <w:r>
        <w:rPr>
          <w:rFonts w:ascii="Arial" w:hAnsi="Arial"/>
          <w:b/>
          <w:color w:val="6D1A24"/>
          <w:sz w:val="29"/>
        </w:rPr>
        <w:t>CAPÍTULO 4: DESCRIPCIÓN FUNCIONAL DETALLADA DE MÓDULOS IMPLEMENTADOS</w:t>
      </w:r>
    </w:p>
    <w:p>
      <w:pPr>
        <w:keepNext/>
        <w:spacing w:before="280" w:after="80"/>
      </w:pPr>
      <w:r>
        <w:rPr>
          <w:rFonts w:ascii="Arial" w:hAnsi="Arial"/>
          <w:b/>
          <w:color w:val="1E293B"/>
          <w:sz w:val="24"/>
        </w:rPr>
        <w:t>4.1 Portal Público e Identidad Académica Institucional</w:t>
      </w:r>
    </w:p>
    <w:p>
      <w:pPr>
        <w:spacing w:line="276" w:lineRule="auto" w:after="100"/>
        <w:jc w:val="both"/>
      </w:pPr>
      <w:r>
        <w:rPr>
          <w:rFonts w:ascii="Arial" w:hAnsi="Arial"/>
          <w:color w:val="334155"/>
          <w:sz w:val="20"/>
        </w:rPr>
        <w:t>La interfaz pública fue diseñada siguiendo las directrices de identidad visual de la Universidad Nacional del Altiplano y el IIICCD, proyectando rigor científico, sobriedad y modernidad:</w:t>
      </w:r>
    </w:p>
    <w:p>
      <w:pPr>
        <w:pStyle w:val="ListBullet"/>
        <w:spacing w:line="276" w:lineRule="auto" w:after="60"/>
        <w:jc w:val="both"/>
      </w:pPr>
      <w:r>
        <w:rPr>
          <w:rFonts w:ascii="Arial" w:hAnsi="Arial"/>
          <w:b/>
          <w:color w:val="1E293B"/>
          <w:sz w:val="20"/>
        </w:rPr>
        <w:t xml:space="preserve">Navbar Glassmorphism: </w:t>
      </w:r>
      <w:r>
        <w:rPr>
          <w:rFonts w:ascii="Arial" w:hAnsi="Arial"/>
          <w:color w:val="334155"/>
          <w:sz w:val="20"/>
        </w:rPr>
        <w:t>Encabezado de cristal translúcido fijado (`position: sticky`) con desenfoque de fondo (backdrop-filter) que mantiene accesibles los enlaces de navegación, catálogo y autenticación.</w:t>
      </w:r>
    </w:p>
    <w:p>
      <w:pPr>
        <w:pStyle w:val="ListBullet"/>
        <w:spacing w:line="276" w:lineRule="auto" w:after="60"/>
        <w:jc w:val="both"/>
      </w:pPr>
      <w:r>
        <w:rPr>
          <w:rFonts w:ascii="Arial" w:hAnsi="Arial"/>
          <w:b/>
          <w:color w:val="1E293B"/>
          <w:sz w:val="20"/>
        </w:rPr>
        <w:t xml:space="preserve">Hero Section Tecnológico: </w:t>
      </w:r>
      <w:r>
        <w:rPr>
          <w:rFonts w:ascii="Arial" w:hAnsi="Arial"/>
          <w:color w:val="334155"/>
          <w:sz w:val="20"/>
        </w:rPr>
        <w:t>Presentación de bienvenida con malla neuronal vectorial SVG, resplandores multicapa en granate institucional (#6D1A24) y oro (#C99738), tarjeta de estadísticas reflectiva y marca de agua institucional del Isotipo puro.</w:t>
      </w:r>
    </w:p>
    <w:p>
      <w:pPr>
        <w:pStyle w:val="ListBullet"/>
        <w:spacing w:line="276" w:lineRule="auto" w:after="60"/>
        <w:jc w:val="both"/>
      </w:pPr>
      <w:r>
        <w:rPr>
          <w:rFonts w:ascii="Arial" w:hAnsi="Arial"/>
          <w:b/>
          <w:color w:val="1E293B"/>
          <w:sz w:val="20"/>
        </w:rPr>
        <w:t xml:space="preserve">Vitrina Flotante de Convocatorias: </w:t>
      </w:r>
      <w:r>
        <w:rPr>
          <w:rFonts w:ascii="Arial" w:hAnsi="Arial"/>
          <w:color w:val="334155"/>
          <w:sz w:val="20"/>
        </w:rPr>
        <w:t>Módulo flotante destacado en portada (`.flyer-vitrina-card`) con bordes dorados y sombra tridimensional donde se exhibe el afiche oficial del curso más reciente. El sistema excluye automáticamente este evento de la cuadrícula inferior para evitar duplicidad visual.</w:t>
      </w:r>
    </w:p>
    <w:p>
      <w:pPr>
        <w:pStyle w:val="ListBullet"/>
        <w:spacing w:line="276" w:lineRule="auto" w:after="60"/>
        <w:jc w:val="both"/>
      </w:pPr>
      <w:r>
        <w:rPr>
          <w:rFonts w:ascii="Arial" w:hAnsi="Arial"/>
          <w:b/>
          <w:color w:val="1E293B"/>
          <w:sz w:val="20"/>
        </w:rPr>
        <w:t xml:space="preserve">Catálogo Académico: </w:t>
      </w:r>
      <w:r>
        <w:rPr>
          <w:rFonts w:ascii="Arial" w:hAnsi="Arial"/>
          <w:color w:val="334155"/>
          <w:sz w:val="20"/>
        </w:rPr>
        <w:t>Cuadrícula interactiva con filtrado en tiempo real por Líneas de Investigación, mostrando precio general y preferencial, cupos vacantes y badge de estado.</w:t>
      </w:r>
    </w:p>
    <w:p>
      <w:pPr>
        <w:pStyle w:val="ListBullet"/>
        <w:spacing w:line="276" w:lineRule="auto" w:after="60"/>
        <w:jc w:val="both"/>
      </w:pPr>
      <w:r>
        <w:rPr>
          <w:rFonts w:ascii="Arial" w:hAnsi="Arial"/>
          <w:b/>
          <w:color w:val="1E293B"/>
          <w:sz w:val="20"/>
        </w:rPr>
        <w:t xml:space="preserve">Ficha Detallada del Curso: </w:t>
      </w:r>
      <w:r>
        <w:rPr>
          <w:rFonts w:ascii="Arial" w:hAnsi="Arial"/>
          <w:color w:val="334155"/>
          <w:sz w:val="20"/>
        </w:rPr>
        <w:t>Ficha exhaustiva con temario, perfil del ponente (foto, cargo y especialidad), créditos académicos y botón inteligente de inscripción.</w:t>
      </w:r>
    </w:p>
    <w:p>
      <w:pPr>
        <w:keepNext/>
        <w:spacing w:before="280" w:after="80"/>
      </w:pPr>
      <w:r>
        <w:rPr>
          <w:rFonts w:ascii="Arial" w:hAnsi="Arial"/>
          <w:b/>
          <w:color w:val="1E293B"/>
          <w:sz w:val="24"/>
        </w:rPr>
        <w:t>4.2 Módulo de Registro y Validación Rigurosa de Identidad</w:t>
      </w:r>
    </w:p>
    <w:p>
      <w:pPr>
        <w:spacing w:line="276" w:lineRule="auto" w:after="100"/>
        <w:jc w:val="both"/>
      </w:pPr>
      <w:r>
        <w:rPr>
          <w:rFonts w:ascii="Arial" w:hAnsi="Arial"/>
          <w:color w:val="334155"/>
          <w:sz w:val="20"/>
        </w:rPr>
        <w:t>Para garantizar la exactitud de los datos que posteriormente se estamparán en los diplomas oficiales, el sistema implementa validaciones estrictas tanto en el frontend como en el backend:</w:t>
      </w:r>
    </w:p>
    <w:p>
      <w:pPr>
        <w:pStyle w:val="ListBullet"/>
        <w:spacing w:line="276" w:lineRule="auto" w:after="60"/>
        <w:jc w:val="both"/>
      </w:pPr>
      <w:r>
        <w:rPr>
          <w:rFonts w:ascii="Arial" w:hAnsi="Arial"/>
          <w:b/>
          <w:color w:val="1E293B"/>
          <w:sz w:val="20"/>
        </w:rPr>
        <w:t xml:space="preserve">Validación de Documento de Identidad: </w:t>
      </w:r>
      <w:r>
        <w:rPr>
          <w:rFonts w:ascii="Arial" w:hAnsi="Arial"/>
          <w:color w:val="334155"/>
          <w:sz w:val="20"/>
        </w:rPr>
        <w:t>Al seleccionar DNI, el campo bloquea letras y caracteres especiales, restringiendo la longitud a exactamente 8 dígitos numéricos mediante expresiones regulares (`^[0-9]{8}$`). Si se elige Pasaporte o Carné de Extranjería, admite hasta 12 caracteres alfanuméricos.</w:t>
      </w:r>
    </w:p>
    <w:p>
      <w:pPr>
        <w:pStyle w:val="ListBullet"/>
        <w:spacing w:line="276" w:lineRule="auto" w:after="60"/>
        <w:jc w:val="both"/>
      </w:pPr>
      <w:r>
        <w:rPr>
          <w:rFonts w:ascii="Arial" w:hAnsi="Arial"/>
          <w:b/>
          <w:color w:val="1E293B"/>
          <w:sz w:val="20"/>
        </w:rPr>
        <w:t xml:space="preserve">Validación de Celular Peruano: </w:t>
      </w:r>
      <w:r>
        <w:rPr>
          <w:rFonts w:ascii="Arial" w:hAnsi="Arial"/>
          <w:color w:val="334155"/>
          <w:sz w:val="20"/>
        </w:rPr>
        <w:t>Se restringe a exactamente 9 dígitos numéricos iniciando con 9 (`^9[0-9]{8}$`), garantizando que sea un número celular peruano apto para el enlace automático a WhatsApp.</w:t>
      </w:r>
    </w:p>
    <w:p>
      <w:pPr>
        <w:pStyle w:val="ListBullet"/>
        <w:spacing w:line="276" w:lineRule="auto" w:after="60"/>
        <w:jc w:val="both"/>
      </w:pPr>
      <w:r>
        <w:rPr>
          <w:rFonts w:ascii="Arial" w:hAnsi="Arial"/>
          <w:b/>
          <w:color w:val="1E293B"/>
          <w:sz w:val="20"/>
        </w:rPr>
        <w:t xml:space="preserve">Prevención de Duplicados: </w:t>
      </w:r>
      <w:r>
        <w:rPr>
          <w:rFonts w:ascii="Arial" w:hAnsi="Arial"/>
          <w:color w:val="334155"/>
          <w:sz w:val="20"/>
        </w:rPr>
        <w:t>El sistema valida la inexistencia de correos o números de documento repetidos, mostrando alertas visuales inline sin perder los datos previamente digitados.</w:t>
      </w:r>
    </w:p>
    <w:p>
      <w:pPr>
        <w:keepNext/>
        <w:spacing w:before="280" w:after="80"/>
      </w:pPr>
      <w:r>
        <w:rPr>
          <w:rFonts w:ascii="Arial" w:hAnsi="Arial"/>
          <w:b/>
          <w:color w:val="1E293B"/>
          <w:sz w:val="24"/>
        </w:rPr>
        <w:t>4.3 Pasarela de Pago Yape y Subida Inteligente de Comprobantes</w:t>
      </w:r>
    </w:p>
    <w:p>
      <w:pPr>
        <w:spacing w:line="276" w:lineRule="auto" w:after="100"/>
        <w:jc w:val="both"/>
      </w:pPr>
      <w:r>
        <w:rPr>
          <w:rFonts w:ascii="Arial" w:hAnsi="Arial"/>
          <w:color w:val="334155"/>
          <w:sz w:val="20"/>
        </w:rPr>
        <w:t>El flujo de pago fue concebido para maximizar la tasa de conversión y evitar errores de transferencia:</w:t>
      </w:r>
    </w:p>
    <w:p>
      <w:pPr>
        <w:pStyle w:val="ListBullet"/>
        <w:spacing w:line="276" w:lineRule="auto" w:after="60"/>
        <w:jc w:val="both"/>
      </w:pPr>
      <w:r>
        <w:rPr>
          <w:rFonts w:ascii="Arial" w:hAnsi="Arial"/>
          <w:b/>
          <w:color w:val="1E293B"/>
          <w:sz w:val="20"/>
        </w:rPr>
        <w:t xml:space="preserve">Instrucciones Claras y QR Dinámico: </w:t>
      </w:r>
      <w:r>
        <w:rPr>
          <w:rFonts w:ascii="Arial" w:hAnsi="Arial"/>
          <w:color w:val="334155"/>
          <w:sz w:val="20"/>
        </w:rPr>
        <w:t>El estudiante visualiza el código QR oficial de Yape, el número telefónico institucional y el nombre del titular configurados por la administración.</w:t>
      </w:r>
    </w:p>
    <w:p>
      <w:pPr>
        <w:pStyle w:val="ListBullet"/>
        <w:spacing w:line="276" w:lineRule="auto" w:after="60"/>
        <w:jc w:val="both"/>
      </w:pPr>
      <w:r>
        <w:rPr>
          <w:rFonts w:ascii="Arial" w:hAnsi="Arial"/>
          <w:b/>
          <w:color w:val="1E293B"/>
          <w:sz w:val="20"/>
        </w:rPr>
        <w:t xml:space="preserve">Formulario de Declaración: </w:t>
      </w:r>
      <w:r>
        <w:rPr>
          <w:rFonts w:ascii="Arial" w:hAnsi="Arial"/>
          <w:color w:val="334155"/>
          <w:sz w:val="20"/>
        </w:rPr>
        <w:t>El estudiante adjunta la captura del voucher y digita el número de operación que figura en su aplicativo bancario.</w:t>
      </w:r>
    </w:p>
    <w:p>
      <w:pPr>
        <w:pStyle w:val="ListBullet"/>
        <w:spacing w:line="276" w:lineRule="auto" w:after="60"/>
        <w:jc w:val="both"/>
      </w:pPr>
      <w:r>
        <w:rPr>
          <w:rFonts w:ascii="Arial" w:hAnsi="Arial"/>
          <w:b/>
          <w:color w:val="1E293B"/>
          <w:sz w:val="20"/>
        </w:rPr>
        <w:t xml:space="preserve">Autocompresión de Imágenes en Cliente: </w:t>
      </w:r>
      <w:r>
        <w:rPr>
          <w:rFonts w:ascii="Arial" w:hAnsi="Arial"/>
          <w:color w:val="334155"/>
          <w:sz w:val="20"/>
        </w:rPr>
        <w:t>Antes de iniciar la subida de red, un script en JavaScript intercepta la imagen fotográfica (que en teléfonos suele pesar entre 3MB y 8MB) y la redimensiona/comprime dinámicamente mediante HTML5 Canvas a ~250KB con calidad 0.85. Esto reduce el tiempo de subida en más del 90%, evitando congelamientos en redes móviles.</w:t>
      </w:r>
    </w:p>
    <w:p>
      <w:pPr>
        <w:pStyle w:val="ListBullet"/>
        <w:spacing w:line="276" w:lineRule="auto" w:after="60"/>
        <w:jc w:val="both"/>
      </w:pPr>
      <w:r>
        <w:rPr>
          <w:rFonts w:ascii="Arial" w:hAnsi="Arial"/>
          <w:b/>
          <w:color w:val="1E293B"/>
          <w:sz w:val="20"/>
        </w:rPr>
        <w:t xml:space="preserve">Almacenamiento Seguro: </w:t>
      </w:r>
      <w:r>
        <w:rPr>
          <w:rFonts w:ascii="Arial" w:hAnsi="Arial"/>
          <w:color w:val="334155"/>
          <w:sz w:val="20"/>
        </w:rPr>
        <w:t>El archivo se almacena en Cloudinary bajo la carpeta `cursos_sistema/comprobantes` con enlace seguro HTTPS, contando con fallback en disco local en caso de cortes de servicio en la nube.</w:t>
      </w:r>
    </w:p>
    <w:p>
      <w:pPr>
        <w:pStyle w:val="ListBullet"/>
        <w:spacing w:line="276" w:lineRule="auto" w:after="60"/>
        <w:jc w:val="both"/>
      </w:pPr>
      <w:r>
        <w:rPr>
          <w:rFonts w:ascii="Arial" w:hAnsi="Arial"/>
          <w:b/>
          <w:color w:val="1E293B"/>
          <w:sz w:val="20"/>
        </w:rPr>
        <w:t xml:space="preserve">Notificación Inmediata: </w:t>
      </w:r>
      <w:r>
        <w:rPr>
          <w:rFonts w:ascii="Arial" w:hAnsi="Arial"/>
          <w:color w:val="334155"/>
          <w:sz w:val="20"/>
        </w:rPr>
        <w:t>Al registrarse el comprobante, el participante recibe un correo electrónico automático confirmando la recepción y notificándole que su vacante ha sido reservada en espera de verificación.</w:t>
      </w:r>
    </w:p>
    <w:p>
      <w:pPr>
        <w:keepNext/>
        <w:spacing w:before="280" w:after="80"/>
      </w:pPr>
      <w:r>
        <w:rPr>
          <w:rFonts w:ascii="Arial" w:hAnsi="Arial"/>
          <w:b/>
          <w:color w:val="1E293B"/>
          <w:sz w:val="24"/>
        </w:rPr>
        <w:t>4.4 Panel de Control del Participante (Estudiante)</w:t>
      </w:r>
    </w:p>
    <w:p>
      <w:pPr>
        <w:spacing w:line="276" w:lineRule="auto" w:after="100"/>
        <w:jc w:val="both"/>
      </w:pPr>
      <w:r>
        <w:rPr>
          <w:rFonts w:ascii="Arial" w:hAnsi="Arial"/>
          <w:color w:val="334155"/>
          <w:sz w:val="20"/>
        </w:rPr>
        <w:t>Área privada exclusiva para los alumnos inscritos, orientada a la experiencia de aprendizaje:</w:t>
      </w:r>
    </w:p>
    <w:p>
      <w:pPr>
        <w:pStyle w:val="ListBullet"/>
        <w:spacing w:line="276" w:lineRule="auto" w:after="60"/>
        <w:jc w:val="both"/>
      </w:pPr>
      <w:r>
        <w:rPr>
          <w:rFonts w:ascii="Arial" w:hAnsi="Arial"/>
          <w:b/>
          <w:color w:val="1E293B"/>
          <w:sz w:val="20"/>
        </w:rPr>
        <w:t xml:space="preserve">Mis Cursos y Estado de Matrícula: </w:t>
      </w:r>
      <w:r>
        <w:rPr>
          <w:rFonts w:ascii="Arial" w:hAnsi="Arial"/>
          <w:color w:val="334155"/>
          <w:sz w:val="20"/>
        </w:rPr>
        <w:t>Listado de todos los cursos a los que ha postulado, con badges visuales de estado (`Pendiente de Pago`, `En Verificación`, `Aprobada`, `Completada`).</w:t>
      </w:r>
    </w:p>
    <w:p>
      <w:pPr>
        <w:pStyle w:val="ListBullet"/>
        <w:spacing w:line="276" w:lineRule="auto" w:after="60"/>
        <w:jc w:val="both"/>
      </w:pPr>
      <w:r>
        <w:rPr>
          <w:rFonts w:ascii="Arial" w:hAnsi="Arial"/>
          <w:b/>
          <w:color w:val="1E293B"/>
          <w:sz w:val="20"/>
        </w:rPr>
        <w:t xml:space="preserve">Acceso Seguro a Clases Virtuales: </w:t>
      </w:r>
      <w:r>
        <w:rPr>
          <w:rFonts w:ascii="Arial" w:hAnsi="Arial"/>
          <w:color w:val="334155"/>
          <w:sz w:val="20"/>
        </w:rPr>
        <w:t>Cuando la administración aprueba el pago, el panel activa de inmediato el botón destacado `📹 Unirse a la Clase en Vivo (Zoom / Meet)` que redirige a la sala virtual oficial.</w:t>
      </w:r>
    </w:p>
    <w:p>
      <w:pPr>
        <w:pStyle w:val="ListBullet"/>
        <w:spacing w:line="276" w:lineRule="auto" w:after="60"/>
        <w:jc w:val="both"/>
      </w:pPr>
      <w:r>
        <w:rPr>
          <w:rFonts w:ascii="Arial" w:hAnsi="Arial"/>
          <w:b/>
          <w:color w:val="1E293B"/>
          <w:sz w:val="20"/>
        </w:rPr>
        <w:t xml:space="preserve">Grupo Oficial de WhatsApp: </w:t>
      </w:r>
      <w:r>
        <w:rPr>
          <w:rFonts w:ascii="Arial" w:hAnsi="Arial"/>
          <w:color w:val="334155"/>
          <w:sz w:val="20"/>
        </w:rPr>
        <w:t>Botón directo que abre el aplicativo WhatsApp con el enlace de invitación al grupo privado de estudiantes del curso.</w:t>
      </w:r>
    </w:p>
    <w:p>
      <w:pPr>
        <w:pStyle w:val="ListBullet"/>
        <w:spacing w:line="276" w:lineRule="auto" w:after="60"/>
        <w:jc w:val="both"/>
      </w:pPr>
      <w:r>
        <w:rPr>
          <w:rFonts w:ascii="Arial" w:hAnsi="Arial"/>
          <w:b/>
          <w:color w:val="1E293B"/>
          <w:sz w:val="20"/>
        </w:rPr>
        <w:t xml:space="preserve">Descarga Directa de Certificado: </w:t>
      </w:r>
      <w:r>
        <w:rPr>
          <w:rFonts w:ascii="Arial" w:hAnsi="Arial"/>
          <w:color w:val="334155"/>
          <w:sz w:val="20"/>
        </w:rPr>
        <w:t>Al culminar el curso, el participante puede visualizar su diploma en la web o descargarlo en PDF de alta resolución con un solo clic.</w:t>
      </w:r>
    </w:p>
    <w:p>
      <w:pPr>
        <w:keepNext/>
        <w:spacing w:before="280" w:after="80"/>
      </w:pPr>
      <w:r>
        <w:rPr>
          <w:rFonts w:ascii="Arial" w:hAnsi="Arial"/>
          <w:b/>
          <w:color w:val="1E293B"/>
          <w:sz w:val="24"/>
        </w:rPr>
        <w:t>4.5 Panel de Administración y Gestión Académica Integral</w:t>
      </w:r>
    </w:p>
    <w:p>
      <w:pPr>
        <w:spacing w:line="276" w:lineRule="auto" w:after="100"/>
        <w:jc w:val="both"/>
      </w:pPr>
      <w:r>
        <w:rPr>
          <w:rFonts w:ascii="Arial" w:hAnsi="Arial"/>
          <w:color w:val="334155"/>
          <w:sz w:val="20"/>
        </w:rPr>
        <w:t>El panel de administración (`/admin`) provee a la directiva del IIICCD de herramientas avanzadas para la gestión operativa de toda la plataforma:</w:t>
      </w:r>
    </w:p>
    <w:p>
      <w:pPr>
        <w:pStyle w:val="ListBullet"/>
        <w:spacing w:line="276" w:lineRule="auto" w:after="60"/>
        <w:jc w:val="both"/>
      </w:pPr>
      <w:r>
        <w:rPr>
          <w:rFonts w:ascii="Arial" w:hAnsi="Arial"/>
          <w:b/>
          <w:color w:val="1E293B"/>
          <w:sz w:val="20"/>
        </w:rPr>
        <w:t xml:space="preserve">Dashboard Ejecutivo: </w:t>
      </w:r>
      <w:r>
        <w:rPr>
          <w:rFonts w:ascii="Arial" w:hAnsi="Arial"/>
          <w:color w:val="334155"/>
          <w:sz w:val="20"/>
        </w:rPr>
        <w:t>Tarjetas analíticas con indicadores en tiempo real: Cursos Activos, Pagos Pendientes de Verificación, Inscripciones Aprobadas, Certificados Emitidos, Usuarios Registrados y Mensajes Nuevos.</w:t>
      </w:r>
    </w:p>
    <w:p>
      <w:pPr>
        <w:pStyle w:val="ListBullet"/>
        <w:spacing w:line="276" w:lineRule="auto" w:after="60"/>
        <w:jc w:val="both"/>
      </w:pPr>
      <w:r>
        <w:rPr>
          <w:rFonts w:ascii="Arial" w:hAnsi="Arial"/>
          <w:b/>
          <w:color w:val="1E293B"/>
          <w:sz w:val="20"/>
        </w:rPr>
        <w:t xml:space="preserve">Gestión Integral de Cursos: </w:t>
      </w:r>
      <w:r>
        <w:rPr>
          <w:rFonts w:ascii="Arial" w:hAnsi="Arial"/>
          <w:color w:val="334155"/>
          <w:sz w:val="20"/>
        </w:rPr>
        <w:t>Formularios completos para crear y editar cursos, fijar precios diferenciados, asignar cupos, ingresar enlaces de Meet y WhatsApp, cargar fotografía del ponente y publicar el afiche en portada.</w:t>
      </w:r>
    </w:p>
    <w:p>
      <w:pPr>
        <w:pStyle w:val="ListBullet"/>
        <w:spacing w:line="276" w:lineRule="auto" w:after="60"/>
        <w:jc w:val="both"/>
      </w:pPr>
      <w:r>
        <w:rPr>
          <w:rFonts w:ascii="Arial" w:hAnsi="Arial"/>
          <w:b/>
          <w:color w:val="1E293B"/>
          <w:sz w:val="20"/>
        </w:rPr>
        <w:t xml:space="preserve">Bandeja de Auditoría de Pagos: </w:t>
      </w:r>
      <w:r>
        <w:rPr>
          <w:rFonts w:ascii="Arial" w:hAnsi="Arial"/>
          <w:color w:val="334155"/>
          <w:sz w:val="20"/>
        </w:rPr>
        <w:t>Lista interactiva donde el administrador examina la captura del voucher en alta resolución, coteja el número de operación y aprueba la matrícula (descontando automáticamente una vacante) o la rechaza ingresando el motivo, lo cual envía un correo electrónico explicativo al estudiante para que regularice su voucher.</w:t>
      </w:r>
    </w:p>
    <w:p>
      <w:pPr>
        <w:pStyle w:val="ListBullet"/>
        <w:spacing w:line="276" w:lineRule="auto" w:after="60"/>
        <w:jc w:val="both"/>
      </w:pPr>
      <w:r>
        <w:rPr>
          <w:rFonts w:ascii="Arial" w:hAnsi="Arial"/>
          <w:b/>
          <w:color w:val="1E293B"/>
          <w:sz w:val="20"/>
        </w:rPr>
        <w:t xml:space="preserve">Directorio de Usuarios Registrados: </w:t>
      </w:r>
      <w:r>
        <w:rPr>
          <w:rFonts w:ascii="Arial" w:hAnsi="Arial"/>
          <w:color w:val="334155"/>
          <w:sz w:val="20"/>
        </w:rPr>
        <w:t>Directorio paginado con buscador por nombre, DNI o correo. Incorpora pestañas interactivas para filtrar participantes por curso específico o identificar a usuarios registrados sin inscripciones, incluyendo un botón directo para iniciar conversación institucional por WhatsApp.</w:t>
      </w:r>
    </w:p>
    <w:p>
      <w:pPr>
        <w:pStyle w:val="ListBullet"/>
        <w:spacing w:line="276" w:lineRule="auto" w:after="60"/>
        <w:jc w:val="both"/>
      </w:pPr>
      <w:r>
        <w:rPr>
          <w:rFonts w:ascii="Arial" w:hAnsi="Arial"/>
          <w:b/>
          <w:color w:val="1E293B"/>
          <w:sz w:val="20"/>
        </w:rPr>
        <w:t xml:space="preserve">Exportación de Padrón Académico a Excel: </w:t>
      </w:r>
      <w:r>
        <w:rPr>
          <w:rFonts w:ascii="Arial" w:hAnsi="Arial"/>
          <w:color w:val="334155"/>
          <w:sz w:val="20"/>
        </w:rPr>
        <w:t>Descarga instantánea con un clic del listado oficial de inscritos por curso en formato CSV/Excel con codificación UTF-8 BOM, garantizando la correcta visualización de tildes y caracteres especiales en Microsoft Excel.</w:t>
      </w:r>
    </w:p>
    <w:p>
      <w:pPr>
        <w:pStyle w:val="ListBullet"/>
        <w:spacing w:line="276" w:lineRule="auto" w:after="60"/>
        <w:jc w:val="both"/>
      </w:pPr>
      <w:r>
        <w:rPr>
          <w:rFonts w:ascii="Arial" w:hAnsi="Arial"/>
          <w:b/>
          <w:color w:val="1E293B"/>
          <w:sz w:val="20"/>
        </w:rPr>
        <w:t xml:space="preserve">Centro de Consultas y Mensajes de Contacto: </w:t>
      </w:r>
      <w:r>
        <w:rPr>
          <w:rFonts w:ascii="Arial" w:hAnsi="Arial"/>
          <w:color w:val="334155"/>
          <w:sz w:val="20"/>
        </w:rPr>
        <w:t>Bandeja con buscador, badges de estado (`NUEVO`, `Leído`, `Atendido`) y botones de respuesta rápida vía `mailto:` o WhatsApp.</w:t>
      </w:r>
    </w:p>
    <w:p>
      <w:pPr>
        <w:pStyle w:val="ListBullet"/>
        <w:spacing w:line="276" w:lineRule="auto" w:after="60"/>
        <w:jc w:val="both"/>
      </w:pPr>
      <w:r>
        <w:rPr>
          <w:rFonts w:ascii="Arial" w:hAnsi="Arial"/>
          <w:b/>
          <w:color w:val="1E293B"/>
          <w:sz w:val="20"/>
        </w:rPr>
        <w:t xml:space="preserve">Configuración Dinámica de Cobros: </w:t>
      </w:r>
      <w:r>
        <w:rPr>
          <w:rFonts w:ascii="Arial" w:hAnsi="Arial"/>
          <w:color w:val="334155"/>
          <w:sz w:val="20"/>
        </w:rPr>
        <w:t>Módulo para actualizar el número de Yape, titular y cargar una nueva imagen del código QR sin reiniciar el servidor.</w:t>
      </w:r>
    </w:p>
    <w:p>
      <w:pPr>
        <w:keepNext/>
        <w:spacing w:before="280" w:after="80"/>
      </w:pPr>
      <w:r>
        <w:rPr>
          <w:rFonts w:ascii="Arial" w:hAnsi="Arial"/>
          <w:b/>
          <w:color w:val="1E293B"/>
          <w:sz w:val="24"/>
        </w:rPr>
        <w:t>4.6 Generador y Estudio Oficial de Afiches (Flyer Studio)</w:t>
      </w:r>
    </w:p>
    <w:p>
      <w:pPr>
        <w:spacing w:line="276" w:lineRule="auto" w:after="100"/>
        <w:jc w:val="both"/>
      </w:pPr>
      <w:r>
        <w:rPr>
          <w:rFonts w:ascii="Arial" w:hAnsi="Arial"/>
          <w:color w:val="334155"/>
          <w:sz w:val="20"/>
        </w:rPr>
        <w:t>Herramienta especializada desarrollada dentro del panel de administración (`/admin/flyer`) para empoderar a la directiva en la difusión de sus eventos académicos sin depender de diseñadores externos:</w:t>
      </w:r>
    </w:p>
    <w:p>
      <w:pPr>
        <w:pStyle w:val="ListBullet"/>
        <w:spacing w:line="276" w:lineRule="auto" w:after="60"/>
        <w:jc w:val="both"/>
      </w:pPr>
      <w:r>
        <w:rPr>
          <w:rFonts w:ascii="Arial" w:hAnsi="Arial"/>
          <w:b/>
          <w:color w:val="1E293B"/>
          <w:sz w:val="20"/>
        </w:rPr>
        <w:t xml:space="preserve">Tres Temas Visuales Oficiales: </w:t>
      </w:r>
      <w:r>
        <w:rPr>
          <w:rFonts w:ascii="Arial" w:hAnsi="Arial"/>
          <w:color w:val="334155"/>
          <w:sz w:val="20"/>
        </w:rPr>
        <w:t>Granate UNA (institucional sobrio), Cyber Dark (moderno tecnológico con resplandor cyan) y Deep Emerald (académico científico).</w:t>
      </w:r>
    </w:p>
    <w:p>
      <w:pPr>
        <w:pStyle w:val="ListBullet"/>
        <w:spacing w:line="276" w:lineRule="auto" w:after="60"/>
        <w:jc w:val="both"/>
      </w:pPr>
      <w:r>
        <w:rPr>
          <w:rFonts w:ascii="Arial" w:hAnsi="Arial"/>
          <w:b/>
          <w:color w:val="1E293B"/>
          <w:sz w:val="20"/>
        </w:rPr>
        <w:t xml:space="preserve">Dos Formatos Estándar: </w:t>
      </w:r>
      <w:r>
        <w:rPr>
          <w:rFonts w:ascii="Arial" w:hAnsi="Arial"/>
          <w:color w:val="334155"/>
          <w:sz w:val="20"/>
        </w:rPr>
        <w:t>Formato Vertical (4:5, optimizado para estados de WhatsApp e Instagram) y Formato Cuadrado (1:1 para publicaciones y Facebook).</w:t>
      </w:r>
    </w:p>
    <w:p>
      <w:pPr>
        <w:pStyle w:val="ListBullet"/>
        <w:spacing w:line="276" w:lineRule="auto" w:after="60"/>
        <w:jc w:val="both"/>
      </w:pPr>
      <w:r>
        <w:rPr>
          <w:rFonts w:ascii="Arial" w:hAnsi="Arial"/>
          <w:b/>
          <w:color w:val="1E293B"/>
          <w:sz w:val="20"/>
        </w:rPr>
        <w:t xml:space="preserve">Sincronización Automática de Datos: </w:t>
      </w:r>
      <w:r>
        <w:rPr>
          <w:rFonts w:ascii="Arial" w:hAnsi="Arial"/>
          <w:color w:val="334155"/>
          <w:sz w:val="20"/>
        </w:rPr>
        <w:t>Permite seleccionar cualquier curso del sistema y poblar instantáneamente título, ponente, fecha de inicio, duración, precios y certificaciones.</w:t>
      </w:r>
    </w:p>
    <w:p>
      <w:pPr>
        <w:pStyle w:val="ListBullet"/>
        <w:spacing w:line="276" w:lineRule="auto" w:after="60"/>
        <w:jc w:val="both"/>
      </w:pPr>
      <w:r>
        <w:rPr>
          <w:rFonts w:ascii="Arial" w:hAnsi="Arial"/>
          <w:b/>
          <w:color w:val="1E293B"/>
          <w:sz w:val="20"/>
        </w:rPr>
        <w:t xml:space="preserve">Foto Profesional del Docente: </w:t>
      </w:r>
      <w:r>
        <w:rPr>
          <w:rFonts w:ascii="Arial" w:hAnsi="Arial"/>
          <w:color w:val="334155"/>
          <w:sz w:val="20"/>
        </w:rPr>
        <w:t>Carga interactiva con previsualización circular instantánea y recorte institucional.</w:t>
      </w:r>
    </w:p>
    <w:p>
      <w:pPr>
        <w:pStyle w:val="ListBullet"/>
        <w:spacing w:line="276" w:lineRule="auto" w:after="60"/>
        <w:jc w:val="both"/>
      </w:pPr>
      <w:r>
        <w:rPr>
          <w:rFonts w:ascii="Arial" w:hAnsi="Arial"/>
          <w:b/>
          <w:color w:val="1E293B"/>
          <w:sz w:val="20"/>
        </w:rPr>
        <w:t xml:space="preserve">Exportación en Alta Resolución (2.5x): </w:t>
      </w:r>
      <w:r>
        <w:rPr>
          <w:rFonts w:ascii="Arial" w:hAnsi="Arial"/>
          <w:color w:val="334155"/>
          <w:sz w:val="20"/>
        </w:rPr>
        <w:t>Mediante la librería `html2canvas`, el afiche se rasteriza a escala 2.5x produciendo una imagen PNG nítida lista para imprimir o compartir, permitiendo además copiar la imagen directamente al portapapeles con un solo clic.</w:t>
      </w:r>
    </w:p>
    <w:p>
      <w:pPr>
        <w:keepNext/>
        <w:spacing w:before="280" w:after="80"/>
      </w:pPr>
      <w:r>
        <w:rPr>
          <w:rFonts w:ascii="Arial" w:hAnsi="Arial"/>
          <w:b/>
          <w:color w:val="1E293B"/>
          <w:sz w:val="24"/>
        </w:rPr>
        <w:t>4.7 Módulo Oficial de Certificación Digital y Validación QR</w:t>
      </w:r>
    </w:p>
    <w:p>
      <w:pPr>
        <w:spacing w:line="276" w:lineRule="auto" w:after="100"/>
        <w:jc w:val="both"/>
      </w:pPr>
      <w:r>
        <w:rPr>
          <w:rFonts w:ascii="Arial" w:hAnsi="Arial"/>
          <w:color w:val="334155"/>
          <w:sz w:val="20"/>
        </w:rPr>
        <w:t>El módulo de certificación constituye el núcleo de valor institucional del proyecto, asegurando máxima inviolabilidad y solemnidad académica:</w:t>
      </w:r>
    </w:p>
    <w:p>
      <w:pPr>
        <w:pStyle w:val="ListBullet"/>
        <w:spacing w:line="276" w:lineRule="auto" w:after="60"/>
        <w:jc w:val="both"/>
      </w:pPr>
      <w:r>
        <w:rPr>
          <w:rFonts w:ascii="Arial" w:hAnsi="Arial"/>
          <w:b/>
          <w:color w:val="1E293B"/>
          <w:sz w:val="20"/>
        </w:rPr>
        <w:t xml:space="preserve">Snapshots Inmutables de Seguridad: </w:t>
      </w:r>
      <w:r>
        <w:rPr>
          <w:rFonts w:ascii="Arial" w:hAnsi="Arial"/>
          <w:color w:val="334155"/>
          <w:sz w:val="20"/>
        </w:rPr>
        <w:t>Al aprobarse una inscripción como completada, el sistema genera un código alfanumérico único (UUID) y guarda una copia inmutable de los datos del estudiante, curso, ponente, horas y créditos en la tabla `certificados`. Esto impide que futuras modificaciones en los cursos alteren los diplomas emitidos con anterioridad.</w:t>
      </w:r>
    </w:p>
    <w:p>
      <w:pPr>
        <w:pStyle w:val="ListBullet"/>
        <w:spacing w:line="276" w:lineRule="auto" w:after="60"/>
        <w:jc w:val="both"/>
      </w:pPr>
      <w:r>
        <w:rPr>
          <w:rFonts w:ascii="Arial" w:hAnsi="Arial"/>
          <w:b/>
          <w:color w:val="1E293B"/>
          <w:sz w:val="20"/>
        </w:rPr>
        <w:t xml:space="preserve">Diploma Digital Web Interactivo: </w:t>
      </w:r>
      <w:r>
        <w:rPr>
          <w:rFonts w:ascii="Arial" w:hAnsi="Arial"/>
          <w:color w:val="334155"/>
          <w:sz w:val="20"/>
        </w:rPr>
        <w:t>Vista en pantalla completa con medallón digital dorado animado en relieve, marca de agua del Isotipo puro de red neuronal, orla ornamental perimetral en Granate y Oro, botón para copiar enlace de verificación y botón para añadir la certificación directamente al perfil de LinkedIn.</w:t>
      </w:r>
    </w:p>
    <w:p>
      <w:pPr>
        <w:pStyle w:val="ListBullet"/>
        <w:spacing w:line="276" w:lineRule="auto" w:after="60"/>
        <w:jc w:val="both"/>
      </w:pPr>
      <w:r>
        <w:rPr>
          <w:rFonts w:ascii="Arial" w:hAnsi="Arial"/>
          <w:b/>
          <w:color w:val="1E293B"/>
          <w:sz w:val="20"/>
        </w:rPr>
        <w:t xml:space="preserve">Generador de PDF de Gala Universitario: </w:t>
      </w:r>
      <w:r>
        <w:rPr>
          <w:rFonts w:ascii="Arial" w:hAnsi="Arial"/>
          <w:color w:val="334155"/>
          <w:sz w:val="20"/>
        </w:rPr>
        <w:t>Motor OpenPDF configurado para trazar la orla universitaria milimétrica, aplicar el Isotipo en capa inferior translúcida al 8.5% de opacidad (`PdfGState`), incrustar las firmas vectoriales oficiales de la Directiva y la Decanatura, y generar el código QR que apunta a la URL pública de validación.</w:t>
      </w:r>
    </w:p>
    <w:p>
      <w:pPr>
        <w:pStyle w:val="ListBullet"/>
        <w:spacing w:line="276" w:lineRule="auto" w:after="60"/>
        <w:jc w:val="both"/>
      </w:pPr>
      <w:r>
        <w:rPr>
          <w:rFonts w:ascii="Arial" w:hAnsi="Arial"/>
          <w:b/>
          <w:color w:val="1E293B"/>
          <w:sz w:val="20"/>
        </w:rPr>
        <w:t xml:space="preserve">Portal Público de Validación Universitaria: </w:t>
      </w:r>
      <w:r>
        <w:rPr>
          <w:rFonts w:ascii="Arial" w:hAnsi="Arial"/>
          <w:color w:val="334155"/>
          <w:sz w:val="20"/>
        </w:rPr>
        <w:t>Ruta abierta (`/verificar` y `/verificar/{codigo}`) donde cualquier entidad o empleador puede escanear el QR o ingresar el código alfanumérico para comprobar la legitimidad del diploma y descargar el documento PDF original emitido por la universidad.</w:t>
      </w:r>
    </w:p>
    <w:p>
      <w:r>
        <w:br w:type="page"/>
      </w:r>
    </w:p>
    <w:p>
      <w:pPr>
        <w:keepNext/>
        <w:spacing w:before="440" w:after="120"/>
      </w:pPr>
      <w:r>
        <w:rPr>
          <w:rFonts w:ascii="Arial" w:hAnsi="Arial"/>
          <w:b/>
          <w:color w:val="6D1A24"/>
          <w:sz w:val="29"/>
        </w:rPr>
        <w:t>CAPÍTULO 5: SEGURIDAD INFORMÁTICA, RENDIMIENTO Y BUENAS PRÁCTICAS</w:t>
      </w:r>
    </w:p>
    <w:p>
      <w:pPr>
        <w:keepNext/>
        <w:spacing w:before="280" w:after="80"/>
      </w:pPr>
      <w:r>
        <w:rPr>
          <w:rFonts w:ascii="Arial" w:hAnsi="Arial"/>
          <w:b/>
          <w:color w:val="1E293B"/>
          <w:sz w:val="24"/>
        </w:rPr>
        <w:t>5.1 Mecanismos de Seguridad y Control de Acceso</w:t>
      </w:r>
    </w:p>
    <w:p>
      <w:pPr>
        <w:pStyle w:val="ListBullet"/>
        <w:spacing w:line="276" w:lineRule="auto" w:after="60"/>
        <w:jc w:val="both"/>
      </w:pPr>
      <w:r>
        <w:rPr>
          <w:rFonts w:ascii="Arial" w:hAnsi="Arial"/>
          <w:b/>
          <w:color w:val="1E293B"/>
          <w:sz w:val="20"/>
        </w:rPr>
        <w:t xml:space="preserve">Control de Acceso Basado en Roles (RBAC): </w:t>
      </w:r>
      <w:r>
        <w:rPr>
          <w:rFonts w:ascii="Arial" w:hAnsi="Arial"/>
          <w:color w:val="334155"/>
          <w:sz w:val="20"/>
        </w:rPr>
        <w:t>Configuración estricta de `SecurityFilterChain` dividiendo las rutas en públicas (`/`, `/catalogo`, `/cursos/**`, `/verificar/**`), de participantes autenticados (`/participante/**`, `/inscripcion/**`) y administrativas (`/admin/**`), bloqueando cualquier acceso no autorizado mediante redirección automática al login.</w:t>
      </w:r>
    </w:p>
    <w:p>
      <w:pPr>
        <w:pStyle w:val="ListBullet"/>
        <w:spacing w:line="276" w:lineRule="auto" w:after="60"/>
        <w:jc w:val="both"/>
      </w:pPr>
      <w:r>
        <w:rPr>
          <w:rFonts w:ascii="Arial" w:hAnsi="Arial"/>
          <w:b/>
          <w:color w:val="1E293B"/>
          <w:sz w:val="20"/>
        </w:rPr>
        <w:t xml:space="preserve">Criptografía de Contraseñas: </w:t>
      </w:r>
      <w:r>
        <w:rPr>
          <w:rFonts w:ascii="Arial" w:hAnsi="Arial"/>
          <w:color w:val="334155"/>
          <w:sz w:val="20"/>
        </w:rPr>
        <w:t>Todas las contraseñas se transforman mediante la función hash criptográfica de una vía BCrypt con factor de costo 10 antes de persistirse en base de datos. Ninguna contraseña se almacena en texto plano.</w:t>
      </w:r>
    </w:p>
    <w:p>
      <w:pPr>
        <w:pStyle w:val="ListBullet"/>
        <w:spacing w:line="276" w:lineRule="auto" w:after="60"/>
        <w:jc w:val="both"/>
      </w:pPr>
      <w:r>
        <w:rPr>
          <w:rFonts w:ascii="Arial" w:hAnsi="Arial"/>
          <w:b/>
          <w:color w:val="1E293B"/>
          <w:sz w:val="20"/>
        </w:rPr>
        <w:t xml:space="preserve">Protección contra Ataques CSRF: </w:t>
      </w:r>
      <w:r>
        <w:rPr>
          <w:rFonts w:ascii="Arial" w:hAnsi="Arial"/>
          <w:color w:val="334155"/>
          <w:sz w:val="20"/>
        </w:rPr>
        <w:t>Activación estricta de tokens CSRF en todos los formularios POST, protegiendo al sistema contra peticiones maliciosas forjadas desde sitios externos.</w:t>
      </w:r>
    </w:p>
    <w:p>
      <w:pPr>
        <w:pStyle w:val="ListBullet"/>
        <w:spacing w:line="276" w:lineRule="auto" w:after="60"/>
        <w:jc w:val="both"/>
      </w:pPr>
      <w:r>
        <w:rPr>
          <w:rFonts w:ascii="Arial" w:hAnsi="Arial"/>
          <w:b/>
          <w:color w:val="1E293B"/>
          <w:sz w:val="20"/>
        </w:rPr>
        <w:t xml:space="preserve">Privacidad de Comprobantes Financieros: </w:t>
      </w:r>
      <w:r>
        <w:rPr>
          <w:rFonts w:ascii="Arial" w:hAnsi="Arial"/>
          <w:color w:val="334155"/>
          <w:sz w:val="20"/>
        </w:rPr>
        <w:t>Los vouchers de Yape subidos por los participantes se sirven a través del endpoint protegido `/comprobantes/{archivo}`, el cual valida la sesión del usuario y restringe la visualización exclusivamente al propietario de la inscripción y a los administradores del sistema.</w:t>
      </w:r>
    </w:p>
    <w:p>
      <w:pPr>
        <w:keepNext/>
        <w:spacing w:before="280" w:after="80"/>
      </w:pPr>
      <w:r>
        <w:rPr>
          <w:rFonts w:ascii="Arial" w:hAnsi="Arial"/>
          <w:b/>
          <w:color w:val="1E293B"/>
          <w:sz w:val="24"/>
        </w:rPr>
        <w:t>5.2 Optimización de Rendimiento y Latencia de Red</w:t>
      </w:r>
    </w:p>
    <w:p>
      <w:pPr>
        <w:spacing w:line="276" w:lineRule="auto" w:after="100"/>
        <w:jc w:val="both"/>
      </w:pPr>
      <w:r>
        <w:rPr>
          <w:rFonts w:ascii="Arial" w:hAnsi="Arial"/>
          <w:color w:val="334155"/>
          <w:sz w:val="20"/>
        </w:rPr>
        <w:t>Para lograr una navegación sumamente fluida y rápida en entornos en la nube con base de datos remota en Ohio (Neon DB), se aplicaron técnicas de optimización avanzadas en backend y frontend:</w:t>
      </w:r>
    </w:p>
    <w:p>
      <w:pPr>
        <w:pStyle w:val="ListBullet"/>
        <w:spacing w:line="276" w:lineRule="auto" w:after="60"/>
        <w:jc w:val="both"/>
      </w:pPr>
      <w:r>
        <w:rPr>
          <w:rFonts w:ascii="Arial" w:hAnsi="Arial"/>
          <w:b/>
          <w:color w:val="1E293B"/>
          <w:sz w:val="20"/>
        </w:rPr>
        <w:t xml:space="preserve">Eliminación de Consultas N+1: </w:t>
      </w:r>
      <w:r>
        <w:rPr>
          <w:rFonts w:ascii="Arial" w:hAnsi="Arial"/>
          <w:color w:val="334155"/>
          <w:sz w:val="20"/>
        </w:rPr>
        <w:t>Se sustituyeron las consultas perezosas en bucles por sentencias `JOIN FETCH` en `CursoRepository`, `PagoRepository` e `InscripcionRepository`, consolidando decenas de peticiones de red en 1 sola consulta SQL.</w:t>
      </w:r>
    </w:p>
    <w:p>
      <w:pPr>
        <w:pStyle w:val="ListBullet"/>
        <w:spacing w:line="276" w:lineRule="auto" w:after="60"/>
        <w:jc w:val="both"/>
      </w:pPr>
      <w:r>
        <w:rPr>
          <w:rFonts w:ascii="Arial" w:hAnsi="Arial"/>
          <w:b/>
          <w:color w:val="1E293B"/>
          <w:sz w:val="20"/>
        </w:rPr>
        <w:t xml:space="preserve">Conexiones Calientes Persistentes (HikariCP): </w:t>
      </w:r>
      <w:r>
        <w:rPr>
          <w:rFonts w:ascii="Arial" w:hAnsi="Arial"/>
          <w:color w:val="334155"/>
          <w:sz w:val="20"/>
        </w:rPr>
        <w:t>Se configuró el pool HikariCP con `minimum-idle=5`, `maximum-pool-size=10` e `idle-timeout=300000`, asegurando que existan conexiones TLS calientes preestablecidas hacia Neon DB, eliminando los retardos de negociación SSL en cada petición.</w:t>
      </w:r>
    </w:p>
    <w:p>
      <w:pPr>
        <w:pStyle w:val="ListBullet"/>
        <w:spacing w:line="276" w:lineRule="auto" w:after="60"/>
        <w:jc w:val="both"/>
      </w:pPr>
      <w:r>
        <w:rPr>
          <w:rFonts w:ascii="Arial" w:hAnsi="Arial"/>
          <w:b/>
          <w:color w:val="1E293B"/>
          <w:sz w:val="20"/>
        </w:rPr>
        <w:t xml:space="preserve">Compresión HTTP GZIP: </w:t>
      </w:r>
      <w:r>
        <w:rPr>
          <w:rFonts w:ascii="Arial" w:hAnsi="Arial"/>
          <w:color w:val="334155"/>
          <w:sz w:val="20"/>
        </w:rPr>
        <w:t>Se habilitó la compresión GZIP en el servidor para documentos HTML, CSS, JavaScript y JSON, reduciendo el tamaño de transferencia por red en más de un 70%.</w:t>
      </w:r>
    </w:p>
    <w:p>
      <w:pPr>
        <w:pStyle w:val="ListBullet"/>
        <w:spacing w:line="276" w:lineRule="auto" w:after="60"/>
        <w:jc w:val="both"/>
      </w:pPr>
      <w:r>
        <w:rPr>
          <w:rFonts w:ascii="Arial" w:hAnsi="Arial"/>
          <w:b/>
          <w:color w:val="1E293B"/>
          <w:sz w:val="20"/>
        </w:rPr>
        <w:t xml:space="preserve">Caché de Recursos Estáticos: </w:t>
      </w:r>
      <w:r>
        <w:rPr>
          <w:rFonts w:ascii="Arial" w:hAnsi="Arial"/>
          <w:color w:val="334155"/>
          <w:sz w:val="20"/>
        </w:rPr>
        <w:t>Se configuró la cabecera `Cache-Control: max-age=604800, public` (7 días) para hojas de estilo, scripts y logotipos, permitiendo que las vistas subsecuentes carguen en 0 ms desde la memoria caché del navegador.</w:t>
      </w:r>
    </w:p>
    <w:p>
      <w:pPr>
        <w:pStyle w:val="ListBullet"/>
        <w:spacing w:line="276" w:lineRule="auto" w:after="60"/>
        <w:jc w:val="both"/>
      </w:pPr>
      <w:r>
        <w:rPr>
          <w:rFonts w:ascii="Arial" w:hAnsi="Arial"/>
          <w:b/>
          <w:color w:val="1E293B"/>
          <w:sz w:val="20"/>
        </w:rPr>
        <w:t xml:space="preserve">Prefetching Predictivo Inteligente al Hover: </w:t>
      </w:r>
      <w:r>
        <w:rPr>
          <w:rFonts w:ascii="Arial" w:hAnsi="Arial"/>
          <w:color w:val="334155"/>
          <w:sz w:val="20"/>
        </w:rPr>
        <w:t>Script ligero en `main.js` que escucha los eventos `mouseover` y `touchstart` sobre los enlaces internos para precargar la página en segundo plano mediante `&lt;link rel="prefetch"&gt;`, logrando que al hacer clic la página se muestre de forma instantánea.</w:t>
      </w:r>
    </w:p>
    <w:p>
      <w:pPr>
        <w:pStyle w:val="ListBullet"/>
        <w:spacing w:line="276" w:lineRule="auto" w:after="60"/>
        <w:jc w:val="both"/>
      </w:pPr>
      <w:r>
        <w:rPr>
          <w:rFonts w:ascii="Arial" w:hAnsi="Arial"/>
          <w:b/>
          <w:color w:val="1E293B"/>
          <w:sz w:val="20"/>
        </w:rPr>
        <w:t xml:space="preserve">Desacoplamiento Asíncrono de Correos: </w:t>
      </w:r>
      <w:r>
        <w:rPr>
          <w:rFonts w:ascii="Arial" w:hAnsi="Arial"/>
          <w:color w:val="334155"/>
          <w:sz w:val="20"/>
        </w:rPr>
        <w:t>El servicio de envío de correos (`CorreoService`) opera de forma desacoplada con hilos en segundo plano (`@Async` y `TaskExecutor`), liberando la respuesta HTTP hacia el usuario en menos de 50 ms.</w:t>
      </w:r>
    </w:p>
    <w:p>
      <w:pPr>
        <w:pStyle w:val="ListBullet"/>
        <w:spacing w:line="276" w:lineRule="auto" w:after="60"/>
        <w:jc w:val="both"/>
      </w:pPr>
      <w:r>
        <w:rPr>
          <w:rFonts w:ascii="Arial" w:hAnsi="Arial"/>
          <w:b/>
          <w:color w:val="1E293B"/>
          <w:sz w:val="20"/>
        </w:rPr>
        <w:t xml:space="preserve">Estética Universitaria Rigurosa: </w:t>
      </w:r>
      <w:r>
        <w:rPr>
          <w:rFonts w:ascii="Arial" w:hAnsi="Arial"/>
          <w:color w:val="334155"/>
          <w:sz w:val="20"/>
        </w:rPr>
        <w:t>A solicitud de la dirección, se retiraron todos los emojis pictográficos e informales en todas las vistas de la aplicación, adoptando una estética solemne, académica y rigurosa con iniciales monogramáticas sobrias y tipografía limpia.</w:t>
      </w:r>
    </w:p>
    <w:p>
      <w:r>
        <w:br w:type="page"/>
      </w:r>
    </w:p>
    <w:p>
      <w:pPr>
        <w:keepNext/>
        <w:spacing w:before="440" w:after="120"/>
      </w:pPr>
      <w:r>
        <w:rPr>
          <w:rFonts w:ascii="Arial" w:hAnsi="Arial"/>
          <w:b/>
          <w:color w:val="6D1A24"/>
          <w:sz w:val="29"/>
        </w:rPr>
        <w:t>CAPÍTULO 6: INFRAESTRUCTURA CLOUD Y GUÍA DE DESPLIEGUE</w:t>
      </w:r>
    </w:p>
    <w:p>
      <w:pPr>
        <w:keepNext/>
        <w:spacing w:before="280" w:after="80"/>
      </w:pPr>
      <w:r>
        <w:rPr>
          <w:rFonts w:ascii="Arial" w:hAnsi="Arial"/>
          <w:b/>
          <w:color w:val="1E293B"/>
          <w:sz w:val="24"/>
        </w:rPr>
        <w:t>6.1 Arquitectura de Despliegue en la Nube</w:t>
      </w:r>
    </w:p>
    <w:p>
      <w:pPr>
        <w:spacing w:line="276" w:lineRule="auto" w:after="100"/>
        <w:jc w:val="both"/>
      </w:pPr>
      <w:r>
        <w:rPr>
          <w:rFonts w:ascii="Arial" w:hAnsi="Arial"/>
          <w:color w:val="334155"/>
          <w:sz w:val="20"/>
        </w:rPr>
        <w:t>El sistema fue empaquetado para despliegue automatizado y reproducible en cualquier plataforma de nube que soporte contenedores Docker:</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168"/>
            <w:shd w:fill="6D1A24"/>
            <w:tcMar>
              <w:top w:w="150" w:type="dxa"/>
              <w:bottom w:w="150" w:type="dxa"/>
              <w:left w:w="140" w:type="dxa"/>
              <w:right w:w="140" w:type="dxa"/>
            </w:tcMar>
          </w:tcPr>
          <w:p>
            <w:pPr>
              <w:spacing w:after="0"/>
              <w:jc w:val="left"/>
            </w:pPr>
            <w:r>
              <w:rPr>
                <w:rFonts w:ascii="Arial" w:hAnsi="Arial"/>
                <w:b/>
                <w:color w:val="FFFFFF"/>
                <w:sz w:val="18"/>
              </w:rPr>
              <w:t>Componente de Infraestructura</w:t>
            </w:r>
          </w:p>
        </w:tc>
        <w:tc>
          <w:tcPr>
            <w:tcW w:type="dxa" w:w="5472"/>
            <w:shd w:fill="6D1A24"/>
            <w:tcMar>
              <w:top w:w="150" w:type="dxa"/>
              <w:bottom w:w="150" w:type="dxa"/>
              <w:left w:w="140" w:type="dxa"/>
              <w:right w:w="140" w:type="dxa"/>
            </w:tcMar>
          </w:tcPr>
          <w:p>
            <w:pPr>
              <w:spacing w:after="0"/>
              <w:jc w:val="left"/>
            </w:pPr>
            <w:r>
              <w:rPr>
                <w:rFonts w:ascii="Arial" w:hAnsi="Arial"/>
                <w:b/>
                <w:color w:val="FFFFFF"/>
                <w:sz w:val="18"/>
              </w:rPr>
              <w:t>Detalle de Configuración y Operación</w:t>
            </w:r>
          </w:p>
        </w:tc>
      </w:tr>
      <w:tr>
        <w:tc>
          <w:tcPr>
            <w:tcW w:type="dxa" w:w="3168"/>
            <w:shd w:fill="FFFFFF"/>
            <w:tcMar>
              <w:top w:w="110" w:type="dxa"/>
              <w:bottom w:w="110" w:type="dxa"/>
              <w:left w:w="140" w:type="dxa"/>
              <w:right w:w="140" w:type="dxa"/>
            </w:tcMar>
          </w:tcPr>
          <w:p>
            <w:pPr>
              <w:spacing w:after="0" w:line="276" w:lineRule="auto"/>
              <w:jc w:val="left"/>
            </w:pPr>
            <w:r>
              <w:rPr>
                <w:rFonts w:ascii="Arial" w:hAnsi="Arial"/>
                <w:color w:val="334155"/>
                <w:sz w:val="17"/>
              </w:rPr>
              <w:t>Servicio Web (Web Service)</w:t>
            </w:r>
          </w:p>
        </w:tc>
        <w:tc>
          <w:tcPr>
            <w:tcW w:type="dxa" w:w="5472"/>
            <w:shd w:fill="FFFFFF"/>
            <w:tcMar>
              <w:top w:w="110" w:type="dxa"/>
              <w:bottom w:w="110" w:type="dxa"/>
              <w:left w:w="140" w:type="dxa"/>
              <w:right w:w="140" w:type="dxa"/>
            </w:tcMar>
          </w:tcPr>
          <w:p>
            <w:pPr>
              <w:spacing w:after="0" w:line="276" w:lineRule="auto"/>
              <w:jc w:val="left"/>
            </w:pPr>
            <w:r>
              <w:rPr>
                <w:rFonts w:ascii="Arial" w:hAnsi="Arial"/>
                <w:color w:val="334155"/>
                <w:sz w:val="17"/>
              </w:rPr>
              <w:t>Render Cloud Platform (Plan Web Service). Aloja la aplicación Spring Boot compilada en un contenedor Docker optimizado, con auto-reinicio, HTTPS gratuito y sincronización con GitHub.</w:t>
            </w:r>
          </w:p>
        </w:tc>
      </w:tr>
      <w:tr>
        <w:tc>
          <w:tcPr>
            <w:tcW w:type="dxa" w:w="3168"/>
            <w:shd w:fill="F8FAFC"/>
            <w:tcMar>
              <w:top w:w="110" w:type="dxa"/>
              <w:bottom w:w="110" w:type="dxa"/>
              <w:left w:w="140" w:type="dxa"/>
              <w:right w:w="140" w:type="dxa"/>
            </w:tcMar>
          </w:tcPr>
          <w:p>
            <w:pPr>
              <w:spacing w:after="0" w:line="276" w:lineRule="auto"/>
              <w:jc w:val="left"/>
            </w:pPr>
            <w:r>
              <w:rPr>
                <w:rFonts w:ascii="Arial" w:hAnsi="Arial"/>
                <w:color w:val="334155"/>
                <w:sz w:val="17"/>
              </w:rPr>
              <w:t>Base de Datos Serverless</w:t>
            </w:r>
          </w:p>
        </w:tc>
        <w:tc>
          <w:tcPr>
            <w:tcW w:type="dxa" w:w="5472"/>
            <w:shd w:fill="F8FAFC"/>
            <w:tcMar>
              <w:top w:w="110" w:type="dxa"/>
              <w:bottom w:w="110" w:type="dxa"/>
              <w:left w:w="140" w:type="dxa"/>
              <w:right w:w="140" w:type="dxa"/>
            </w:tcMar>
          </w:tcPr>
          <w:p>
            <w:pPr>
              <w:spacing w:after="0" w:line="276" w:lineRule="auto"/>
              <w:jc w:val="left"/>
            </w:pPr>
            <w:r>
              <w:rPr>
                <w:rFonts w:ascii="Arial" w:hAnsi="Arial"/>
                <w:color w:val="334155"/>
                <w:sz w:val="17"/>
              </w:rPr>
              <w:t>Neon PostgreSQL Cloud (AWS us-east-2). Base de datos relacional serverless con cifrado TLS forzado (`sslmode=require`), alta disponibilidad y copias de seguridad automáticas.</w:t>
            </w:r>
          </w:p>
        </w:tc>
      </w:tr>
      <w:tr>
        <w:tc>
          <w:tcPr>
            <w:tcW w:type="dxa" w:w="3168"/>
            <w:shd w:fill="FFFFFF"/>
            <w:tcMar>
              <w:top w:w="110" w:type="dxa"/>
              <w:bottom w:w="110" w:type="dxa"/>
              <w:left w:w="140" w:type="dxa"/>
              <w:right w:w="140" w:type="dxa"/>
            </w:tcMar>
          </w:tcPr>
          <w:p>
            <w:pPr>
              <w:spacing w:after="0" w:line="276" w:lineRule="auto"/>
              <w:jc w:val="left"/>
            </w:pPr>
            <w:r>
              <w:rPr>
                <w:rFonts w:ascii="Arial" w:hAnsi="Arial"/>
                <w:color w:val="334155"/>
                <w:sz w:val="17"/>
              </w:rPr>
              <w:t>Almacenamiento Multimedia (CDN)</w:t>
            </w:r>
          </w:p>
        </w:tc>
        <w:tc>
          <w:tcPr>
            <w:tcW w:type="dxa" w:w="5472"/>
            <w:shd w:fill="FFFFFF"/>
            <w:tcMar>
              <w:top w:w="110" w:type="dxa"/>
              <w:bottom w:w="110" w:type="dxa"/>
              <w:left w:w="140" w:type="dxa"/>
              <w:right w:w="140" w:type="dxa"/>
            </w:tcMar>
          </w:tcPr>
          <w:p>
            <w:pPr>
              <w:spacing w:after="0" w:line="276" w:lineRule="auto"/>
              <w:jc w:val="left"/>
            </w:pPr>
            <w:r>
              <w:rPr>
                <w:rFonts w:ascii="Arial" w:hAnsi="Arial"/>
                <w:color w:val="334155"/>
                <w:sz w:val="17"/>
              </w:rPr>
              <w:t>Cloudinary Media Cloud. Gestión de afiches promocionales y vouchers de pago con URLs seguras HTTPS y entrega mediante CDN global.</w:t>
            </w:r>
          </w:p>
        </w:tc>
      </w:tr>
      <w:tr>
        <w:tc>
          <w:tcPr>
            <w:tcW w:type="dxa" w:w="3168"/>
            <w:shd w:fill="F8FAFC"/>
            <w:tcMar>
              <w:top w:w="110" w:type="dxa"/>
              <w:bottom w:w="110" w:type="dxa"/>
              <w:left w:w="140" w:type="dxa"/>
              <w:right w:w="140" w:type="dxa"/>
            </w:tcMar>
          </w:tcPr>
          <w:p>
            <w:pPr>
              <w:spacing w:after="0" w:line="276" w:lineRule="auto"/>
              <w:jc w:val="left"/>
            </w:pPr>
            <w:r>
              <w:rPr>
                <w:rFonts w:ascii="Arial" w:hAnsi="Arial"/>
                <w:color w:val="334155"/>
                <w:sz w:val="17"/>
              </w:rPr>
              <w:t>Contenedor Docker Multi-Stage</w:t>
            </w:r>
          </w:p>
        </w:tc>
        <w:tc>
          <w:tcPr>
            <w:tcW w:type="dxa" w:w="5472"/>
            <w:shd w:fill="F8FAFC"/>
            <w:tcMar>
              <w:top w:w="110" w:type="dxa"/>
              <w:bottom w:w="110" w:type="dxa"/>
              <w:left w:w="140" w:type="dxa"/>
              <w:right w:w="140" w:type="dxa"/>
            </w:tcMar>
          </w:tcPr>
          <w:p>
            <w:pPr>
              <w:spacing w:after="0" w:line="276" w:lineRule="auto"/>
              <w:jc w:val="left"/>
            </w:pPr>
            <w:r>
              <w:rPr>
                <w:rFonts w:ascii="Arial" w:hAnsi="Arial"/>
                <w:color w:val="334155"/>
                <w:sz w:val="17"/>
              </w:rPr>
              <w:t>Construcción en 2 etapas: Etapa 1 compila el proyecto con Gradle y OpenJDK 17; Etapa 2 copia exclusivamente el archivo `.jar` resultante sobre una imagen ultraligera Alpine Linux con Eclipse Temurin JRE 17.</w:t>
            </w:r>
          </w:p>
        </w:tc>
      </w:tr>
    </w:tbl>
    <w:p>
      <w:pPr>
        <w:spacing w:before="60" w:after="60"/>
      </w:pPr>
    </w:p>
    <w:p>
      <w:pPr>
        <w:keepNext/>
        <w:spacing w:before="280" w:after="80"/>
      </w:pPr>
      <w:r>
        <w:rPr>
          <w:rFonts w:ascii="Arial" w:hAnsi="Arial"/>
          <w:b/>
          <w:color w:val="1E293B"/>
          <w:sz w:val="24"/>
        </w:rPr>
        <w:t>6.2 Matriz de Variables de Entorno de Producción</w:t>
      </w:r>
    </w:p>
    <w:p>
      <w:pPr>
        <w:spacing w:line="276" w:lineRule="auto" w:after="100"/>
        <w:jc w:val="both"/>
      </w:pPr>
      <w:r>
        <w:rPr>
          <w:rFonts w:ascii="Arial" w:hAnsi="Arial"/>
          <w:color w:val="334155"/>
          <w:sz w:val="20"/>
        </w:rPr>
        <w:t>El sistema se desacopla por completo del código fuente mediante las siguientes variables de entorno requeridas: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456"/>
            <w:shd w:fill="6D1A24"/>
            <w:tcMar>
              <w:top w:w="150" w:type="dxa"/>
              <w:bottom w:w="150" w:type="dxa"/>
              <w:left w:w="140" w:type="dxa"/>
              <w:right w:w="140" w:type="dxa"/>
            </w:tcMar>
          </w:tcPr>
          <w:p>
            <w:pPr>
              <w:spacing w:after="0"/>
              <w:jc w:val="left"/>
            </w:pPr>
            <w:r>
              <w:rPr>
                <w:rFonts w:ascii="Arial" w:hAnsi="Arial"/>
                <w:b/>
                <w:color w:val="FFFFFF"/>
                <w:sz w:val="18"/>
              </w:rPr>
              <w:t>Variable de Entorno</w:t>
            </w:r>
          </w:p>
        </w:tc>
        <w:tc>
          <w:tcPr>
            <w:tcW w:type="dxa" w:w="5184"/>
            <w:shd w:fill="6D1A24"/>
            <w:tcMar>
              <w:top w:w="150" w:type="dxa"/>
              <w:bottom w:w="150" w:type="dxa"/>
              <w:left w:w="140" w:type="dxa"/>
              <w:right w:w="140" w:type="dxa"/>
            </w:tcMar>
          </w:tcPr>
          <w:p>
            <w:pPr>
              <w:spacing w:after="0"/>
              <w:jc w:val="left"/>
            </w:pPr>
            <w:r>
              <w:rPr>
                <w:rFonts w:ascii="Arial" w:hAnsi="Arial"/>
                <w:b/>
                <w:color w:val="FFFFFF"/>
                <w:sz w:val="18"/>
              </w:rPr>
              <w:t>Propósito y Descripción</w:t>
            </w:r>
          </w:p>
        </w:tc>
      </w:tr>
      <w:tr>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PORT</w:t>
            </w:r>
          </w:p>
        </w:tc>
        <w:tc>
          <w:tcPr>
            <w:tcW w:type="dxa" w:w="5184"/>
            <w:shd w:fill="FFFFFF"/>
            <w:tcMar>
              <w:top w:w="110" w:type="dxa"/>
              <w:bottom w:w="110" w:type="dxa"/>
              <w:left w:w="140" w:type="dxa"/>
              <w:right w:w="140" w:type="dxa"/>
            </w:tcMar>
          </w:tcPr>
          <w:p>
            <w:pPr>
              <w:spacing w:after="0" w:line="276" w:lineRule="auto"/>
              <w:jc w:val="left"/>
            </w:pPr>
            <w:r>
              <w:rPr>
                <w:rFonts w:ascii="Arial" w:hAnsi="Arial"/>
                <w:color w:val="334155"/>
                <w:sz w:val="17"/>
              </w:rPr>
              <w:t>Puerto HTTP dinámico asignado por el proveedor de nube (por defecto: 8085).</w:t>
            </w:r>
          </w:p>
        </w:tc>
      </w:tr>
      <w:tr>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SPRING_DATASOURCE_URL</w:t>
            </w:r>
          </w:p>
        </w:tc>
        <w:tc>
          <w:tcPr>
            <w:tcW w:type="dxa" w:w="5184"/>
            <w:shd w:fill="F8FAFC"/>
            <w:tcMar>
              <w:top w:w="110" w:type="dxa"/>
              <w:bottom w:w="110" w:type="dxa"/>
              <w:left w:w="140" w:type="dxa"/>
              <w:right w:w="140" w:type="dxa"/>
            </w:tcMar>
          </w:tcPr>
          <w:p>
            <w:pPr>
              <w:spacing w:after="0" w:line="276" w:lineRule="auto"/>
              <w:jc w:val="left"/>
            </w:pPr>
            <w:r>
              <w:rPr>
                <w:rFonts w:ascii="Arial" w:hAnsi="Arial"/>
                <w:color w:val="334155"/>
                <w:sz w:val="17"/>
              </w:rPr>
              <w:t>Cadena de conexión JDBC PostgreSQL (ej. `jdbc:postgresql://ep-bold-...neon.tech/neondb?sslmode=require`).</w:t>
            </w:r>
          </w:p>
        </w:tc>
      </w:tr>
      <w:tr>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SPRING_DATASOURCE_USERNAME</w:t>
            </w:r>
          </w:p>
        </w:tc>
        <w:tc>
          <w:tcPr>
            <w:tcW w:type="dxa" w:w="5184"/>
            <w:shd w:fill="FFFFFF"/>
            <w:tcMar>
              <w:top w:w="110" w:type="dxa"/>
              <w:bottom w:w="110" w:type="dxa"/>
              <w:left w:w="140" w:type="dxa"/>
              <w:right w:w="140" w:type="dxa"/>
            </w:tcMar>
          </w:tcPr>
          <w:p>
            <w:pPr>
              <w:spacing w:after="0" w:line="276" w:lineRule="auto"/>
              <w:jc w:val="left"/>
            </w:pPr>
            <w:r>
              <w:rPr>
                <w:rFonts w:ascii="Arial" w:hAnsi="Arial"/>
                <w:color w:val="334155"/>
                <w:sz w:val="17"/>
              </w:rPr>
              <w:t>Usuario autorizado de la base de datos Neon PostgreSQL.</w:t>
            </w:r>
          </w:p>
        </w:tc>
      </w:tr>
      <w:tr>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SPRING_DATASOURCE_PASSWORD</w:t>
            </w:r>
          </w:p>
        </w:tc>
        <w:tc>
          <w:tcPr>
            <w:tcW w:type="dxa" w:w="5184"/>
            <w:shd w:fill="F8FAFC"/>
            <w:tcMar>
              <w:top w:w="110" w:type="dxa"/>
              <w:bottom w:w="110" w:type="dxa"/>
              <w:left w:w="140" w:type="dxa"/>
              <w:right w:w="140" w:type="dxa"/>
            </w:tcMar>
          </w:tcPr>
          <w:p>
            <w:pPr>
              <w:spacing w:after="0" w:line="276" w:lineRule="auto"/>
              <w:jc w:val="left"/>
            </w:pPr>
            <w:r>
              <w:rPr>
                <w:rFonts w:ascii="Arial" w:hAnsi="Arial"/>
                <w:color w:val="334155"/>
                <w:sz w:val="17"/>
              </w:rPr>
              <w:t>Contraseña segura de acceso a la base de datos.</w:t>
            </w:r>
          </w:p>
        </w:tc>
      </w:tr>
      <w:tr>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CLOUDINARY_CLOUD_NAME</w:t>
            </w:r>
          </w:p>
        </w:tc>
        <w:tc>
          <w:tcPr>
            <w:tcW w:type="dxa" w:w="5184"/>
            <w:shd w:fill="FFFFFF"/>
            <w:tcMar>
              <w:top w:w="110" w:type="dxa"/>
              <w:bottom w:w="110" w:type="dxa"/>
              <w:left w:w="140" w:type="dxa"/>
              <w:right w:w="140" w:type="dxa"/>
            </w:tcMar>
          </w:tcPr>
          <w:p>
            <w:pPr>
              <w:spacing w:after="0" w:line="276" w:lineRule="auto"/>
              <w:jc w:val="left"/>
            </w:pPr>
            <w:r>
              <w:rPr>
                <w:rFonts w:ascii="Arial" w:hAnsi="Arial"/>
                <w:color w:val="334155"/>
                <w:sz w:val="17"/>
              </w:rPr>
              <w:t>Identificador de la cuenta Cloudinary para almacenamiento.</w:t>
            </w:r>
          </w:p>
        </w:tc>
      </w:tr>
      <w:tr>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CLOUDINARY_API_KEY</w:t>
            </w:r>
          </w:p>
        </w:tc>
        <w:tc>
          <w:tcPr>
            <w:tcW w:type="dxa" w:w="5184"/>
            <w:shd w:fill="F8FAFC"/>
            <w:tcMar>
              <w:top w:w="110" w:type="dxa"/>
              <w:bottom w:w="110" w:type="dxa"/>
              <w:left w:w="140" w:type="dxa"/>
              <w:right w:w="140" w:type="dxa"/>
            </w:tcMar>
          </w:tcPr>
          <w:p>
            <w:pPr>
              <w:spacing w:after="0" w:line="276" w:lineRule="auto"/>
              <w:jc w:val="left"/>
            </w:pPr>
            <w:r>
              <w:rPr>
                <w:rFonts w:ascii="Arial" w:hAnsi="Arial"/>
                <w:color w:val="334155"/>
                <w:sz w:val="17"/>
              </w:rPr>
              <w:t>Llave pública de API para autenticación en Cloudinary.</w:t>
            </w:r>
          </w:p>
        </w:tc>
      </w:tr>
      <w:tr>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CLOUDINARY_API_SECRET</w:t>
            </w:r>
          </w:p>
        </w:tc>
        <w:tc>
          <w:tcPr>
            <w:tcW w:type="dxa" w:w="5184"/>
            <w:shd w:fill="FFFFFF"/>
            <w:tcMar>
              <w:top w:w="110" w:type="dxa"/>
              <w:bottom w:w="110" w:type="dxa"/>
              <w:left w:w="140" w:type="dxa"/>
              <w:right w:w="140" w:type="dxa"/>
            </w:tcMar>
          </w:tcPr>
          <w:p>
            <w:pPr>
              <w:spacing w:after="0" w:line="276" w:lineRule="auto"/>
              <w:jc w:val="left"/>
            </w:pPr>
            <w:r>
              <w:rPr>
                <w:rFonts w:ascii="Arial" w:hAnsi="Arial"/>
                <w:color w:val="334155"/>
                <w:sz w:val="17"/>
              </w:rPr>
              <w:t>Llave secreta de API para subida y gestión de archivos.</w:t>
            </w:r>
          </w:p>
        </w:tc>
      </w:tr>
      <w:tr>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MAIL_USERNAME</w:t>
            </w:r>
          </w:p>
        </w:tc>
        <w:tc>
          <w:tcPr>
            <w:tcW w:type="dxa" w:w="5184"/>
            <w:shd w:fill="F8FAFC"/>
            <w:tcMar>
              <w:top w:w="110" w:type="dxa"/>
              <w:bottom w:w="110" w:type="dxa"/>
              <w:left w:w="140" w:type="dxa"/>
              <w:right w:w="140" w:type="dxa"/>
            </w:tcMar>
          </w:tcPr>
          <w:p>
            <w:pPr>
              <w:spacing w:after="0" w:line="276" w:lineRule="auto"/>
              <w:jc w:val="left"/>
            </w:pPr>
            <w:r>
              <w:rPr>
                <w:rFonts w:ascii="Arial" w:hAnsi="Arial"/>
                <w:color w:val="334155"/>
                <w:sz w:val="17"/>
              </w:rPr>
              <w:t>Cuenta oficial de correo electrónico institucional (Gmail SMTP).</w:t>
            </w:r>
          </w:p>
        </w:tc>
      </w:tr>
      <w:tr>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MAIL_PASSWORD</w:t>
            </w:r>
          </w:p>
        </w:tc>
        <w:tc>
          <w:tcPr>
            <w:tcW w:type="dxa" w:w="5184"/>
            <w:shd w:fill="FFFFFF"/>
            <w:tcMar>
              <w:top w:w="110" w:type="dxa"/>
              <w:bottom w:w="110" w:type="dxa"/>
              <w:left w:w="140" w:type="dxa"/>
              <w:right w:w="140" w:type="dxa"/>
            </w:tcMar>
          </w:tcPr>
          <w:p>
            <w:pPr>
              <w:spacing w:after="0" w:line="276" w:lineRule="auto"/>
              <w:jc w:val="left"/>
            </w:pPr>
            <w:r>
              <w:rPr>
                <w:rFonts w:ascii="Arial" w:hAnsi="Arial"/>
                <w:color w:val="334155"/>
                <w:sz w:val="17"/>
              </w:rPr>
              <w:t>Contraseña de aplicación de 16 caracteres para envío seguro SMTP.</w:t>
            </w:r>
          </w:p>
        </w:tc>
      </w:tr>
    </w:tbl>
    <w:p>
      <w:pPr>
        <w:spacing w:before="60" w:after="60"/>
      </w:pPr>
    </w:p>
    <w:p>
      <w:pPr>
        <w:keepNext/>
        <w:spacing w:before="280" w:after="80"/>
      </w:pPr>
      <w:r>
        <w:rPr>
          <w:rFonts w:ascii="Arial" w:hAnsi="Arial"/>
          <w:b/>
          <w:color w:val="1E293B"/>
          <w:sz w:val="24"/>
        </w:rPr>
        <w:t>6.3 Procedimiento de Despliegue Continuo (CI/CD)</w:t>
      </w:r>
    </w:p>
    <w:p>
      <w:pPr>
        <w:spacing w:line="276" w:lineRule="auto" w:after="100"/>
        <w:jc w:val="both"/>
      </w:pPr>
      <w:r>
        <w:rPr>
          <w:rFonts w:ascii="Arial" w:hAnsi="Arial"/>
          <w:color w:val="334155"/>
          <w:sz w:val="20"/>
        </w:rPr>
        <w:t>El repositorio GitHub (`https://github.com/Jfer1234567/cursos_sistema`) está enlazado directamente a Render mediante webhooks. Cada confirmación (`git push`) enviada a la rama principal `main` desencadena automáticamente:</w:t>
      </w:r>
    </w:p>
    <w:p>
      <w:pPr>
        <w:pStyle w:val="ListBullet"/>
        <w:spacing w:line="276" w:lineRule="auto" w:after="60"/>
        <w:jc w:val="both"/>
      </w:pPr>
      <w:r>
        <w:rPr>
          <w:rFonts w:ascii="Arial" w:hAnsi="Arial"/>
          <w:color w:val="334155"/>
          <w:sz w:val="20"/>
        </w:rPr>
        <w:t>Descarga del commit más reciente en los servidores de compilación de Render.</w:t>
      </w:r>
    </w:p>
    <w:p>
      <w:pPr>
        <w:pStyle w:val="ListBullet"/>
        <w:spacing w:line="276" w:lineRule="auto" w:after="60"/>
        <w:jc w:val="both"/>
      </w:pPr>
      <w:r>
        <w:rPr>
          <w:rFonts w:ascii="Arial" w:hAnsi="Arial"/>
          <w:color w:val="334155"/>
          <w:sz w:val="20"/>
        </w:rPr>
        <w:t>Ejecución de la construcción Docker multi-stage (`docker build`) y empaquetado del archivo JAR.</w:t>
      </w:r>
    </w:p>
    <w:p>
      <w:pPr>
        <w:pStyle w:val="ListBullet"/>
        <w:spacing w:line="276" w:lineRule="auto" w:after="60"/>
        <w:jc w:val="both"/>
      </w:pPr>
      <w:r>
        <w:rPr>
          <w:rFonts w:ascii="Arial" w:hAnsi="Arial"/>
          <w:color w:val="334155"/>
          <w:sz w:val="20"/>
        </w:rPr>
        <w:t>Despliegue sin tiempo de inactividad (Zero-Downtime Deployment) con verificación de salud del servicio (Health Check).</w:t>
      </w:r>
    </w:p>
    <w:p>
      <w:r>
        <w:br w:type="page"/>
      </w:r>
    </w:p>
    <w:p>
      <w:pPr>
        <w:keepNext/>
        <w:spacing w:before="440" w:after="120"/>
      </w:pPr>
      <w:r>
        <w:rPr>
          <w:rFonts w:ascii="Arial" w:hAnsi="Arial"/>
          <w:b/>
          <w:color w:val="6D1A24"/>
          <w:sz w:val="29"/>
        </w:rPr>
        <w:t>CAPÍTULO 7: ASEGURAMIENTO DE CALIDAD Y PRUEBAS AUTOMATIZADAS</w:t>
      </w:r>
    </w:p>
    <w:p>
      <w:pPr>
        <w:keepNext/>
        <w:spacing w:before="280" w:after="80"/>
      </w:pPr>
      <w:r>
        <w:rPr>
          <w:rFonts w:ascii="Arial" w:hAnsi="Arial"/>
          <w:b/>
          <w:color w:val="1E293B"/>
          <w:sz w:val="24"/>
        </w:rPr>
        <w:t>7.1 Metodología de Pruebas</w:t>
      </w:r>
    </w:p>
    <w:p>
      <w:pPr>
        <w:spacing w:line="276" w:lineRule="auto" w:after="100"/>
        <w:jc w:val="both"/>
      </w:pPr>
      <w:r>
        <w:rPr>
          <w:rFonts w:ascii="Arial" w:hAnsi="Arial"/>
          <w:color w:val="334155"/>
          <w:sz w:val="20"/>
        </w:rPr>
        <w:t>Para garantizar la solidez y confiabilidad del software, se diseñó e implementó una suite exhaustiva de pruebas unitarias y de integración ejecutadas mediante el framework JUnit 5 y Spring Boot Test, utilizando una base de datos H2 en memoria para validar el comportamiento de los modelos, servicios y controladores de forma aislada y reproducible.</w:t>
      </w:r>
    </w:p>
    <w:p>
      <w:pPr>
        <w:keepNext/>
        <w:spacing w:before="280" w:after="80"/>
      </w:pPr>
      <w:r>
        <w:rPr>
          <w:rFonts w:ascii="Arial" w:hAnsi="Arial"/>
          <w:b/>
          <w:color w:val="1E293B"/>
          <w:sz w:val="24"/>
        </w:rPr>
        <w:t>7.2 Resultados de la Suite de Pruebas</w:t>
      </w:r>
    </w:p>
    <w:p>
      <w:pPr>
        <w:spacing w:line="276" w:lineRule="auto" w:after="100"/>
        <w:jc w:val="both"/>
      </w:pPr>
      <w:r>
        <w:rPr>
          <w:rFonts w:ascii="Arial" w:hAnsi="Arial"/>
          <w:color w:val="334155"/>
          <w:sz w:val="20"/>
        </w:rPr>
        <w:t>A continuación, se detalla la distribución de las 30 pruebas automatizadas que conforman la suite oficial del proyecto: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197"/>
        <w:gridCol w:w="2197"/>
        <w:gridCol w:w="2197"/>
        <w:gridCol w:w="2197"/>
      </w:tblGrid>
      <w:tr>
        <w:tc>
          <w:tcPr>
            <w:tcW w:type="dxa" w:w="2160"/>
            <w:shd w:fill="6D1A24"/>
            <w:tcMar>
              <w:top w:w="150" w:type="dxa"/>
              <w:bottom w:w="150" w:type="dxa"/>
              <w:left w:w="140" w:type="dxa"/>
              <w:right w:w="140" w:type="dxa"/>
            </w:tcMar>
          </w:tcPr>
          <w:p>
            <w:pPr>
              <w:spacing w:after="0"/>
              <w:jc w:val="left"/>
            </w:pPr>
            <w:r>
              <w:rPr>
                <w:rFonts w:ascii="Arial" w:hAnsi="Arial"/>
                <w:b/>
                <w:color w:val="FFFFFF"/>
                <w:sz w:val="18"/>
              </w:rPr>
              <w:t>Clase de Prueba</w:t>
            </w:r>
          </w:p>
        </w:tc>
        <w:tc>
          <w:tcPr>
            <w:tcW w:type="dxa" w:w="1872"/>
            <w:shd w:fill="6D1A24"/>
            <w:tcMar>
              <w:top w:w="150" w:type="dxa"/>
              <w:bottom w:w="150" w:type="dxa"/>
              <w:left w:w="140" w:type="dxa"/>
              <w:right w:w="140" w:type="dxa"/>
            </w:tcMar>
          </w:tcPr>
          <w:p>
            <w:pPr>
              <w:spacing w:after="0"/>
              <w:jc w:val="left"/>
            </w:pPr>
            <w:r>
              <w:rPr>
                <w:rFonts w:ascii="Arial" w:hAnsi="Arial"/>
                <w:b/>
                <w:color w:val="FFFFFF"/>
                <w:sz w:val="18"/>
              </w:rPr>
              <w:t>Módulo Auditado</w:t>
            </w:r>
          </w:p>
        </w:tc>
        <w:tc>
          <w:tcPr>
            <w:tcW w:type="dxa" w:w="3456"/>
            <w:shd w:fill="6D1A24"/>
            <w:tcMar>
              <w:top w:w="150" w:type="dxa"/>
              <w:bottom w:w="150" w:type="dxa"/>
              <w:left w:w="140" w:type="dxa"/>
              <w:right w:w="140" w:type="dxa"/>
            </w:tcMar>
          </w:tcPr>
          <w:p>
            <w:pPr>
              <w:spacing w:after="0"/>
              <w:jc w:val="left"/>
            </w:pPr>
            <w:r>
              <w:rPr>
                <w:rFonts w:ascii="Arial" w:hAnsi="Arial"/>
                <w:b/>
                <w:color w:val="FFFFFF"/>
                <w:sz w:val="18"/>
              </w:rPr>
              <w:t>Objetivo de Validación</w:t>
            </w:r>
          </w:p>
        </w:tc>
        <w:tc>
          <w:tcPr>
            <w:tcW w:type="dxa" w:w="1152"/>
            <w:shd w:fill="6D1A24"/>
            <w:tcMar>
              <w:top w:w="150" w:type="dxa"/>
              <w:bottom w:w="150" w:type="dxa"/>
              <w:left w:w="140" w:type="dxa"/>
              <w:right w:w="140" w:type="dxa"/>
            </w:tcMar>
          </w:tcPr>
          <w:p>
            <w:pPr>
              <w:spacing w:after="0"/>
              <w:jc w:val="left"/>
            </w:pPr>
            <w:r>
              <w:rPr>
                <w:rFonts w:ascii="Arial" w:hAnsi="Arial"/>
                <w:b/>
                <w:color w:val="FFFFFF"/>
                <w:sz w:val="18"/>
              </w:rPr>
              <w:t>Resultado</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CursosApplicationTests</w:t>
            </w:r>
          </w:p>
        </w:tc>
        <w:tc>
          <w:tcPr>
            <w:tcW w:type="dxa" w:w="1872"/>
            <w:shd w:fill="FFFFFF"/>
            <w:tcMar>
              <w:top w:w="110" w:type="dxa"/>
              <w:bottom w:w="110" w:type="dxa"/>
              <w:left w:w="140" w:type="dxa"/>
              <w:right w:w="140" w:type="dxa"/>
            </w:tcMar>
          </w:tcPr>
          <w:p>
            <w:pPr>
              <w:spacing w:after="0" w:line="276" w:lineRule="auto"/>
              <w:jc w:val="left"/>
            </w:pPr>
            <w:r>
              <w:rPr>
                <w:rFonts w:ascii="Arial" w:hAnsi="Arial"/>
                <w:color w:val="334155"/>
                <w:sz w:val="17"/>
              </w:rPr>
              <w:t>Inicialización del Contexto</w:t>
            </w:r>
          </w:p>
        </w:tc>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Verifica el levantamiento correcto de todos los beans de Spring Boot y componentes del sistema.</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1 / 1 Aprobada</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UsuarioServiceTest</w:t>
            </w:r>
          </w:p>
        </w:tc>
        <w:tc>
          <w:tcPr>
            <w:tcW w:type="dxa" w:w="1872"/>
            <w:shd w:fill="F8FAFC"/>
            <w:tcMar>
              <w:top w:w="110" w:type="dxa"/>
              <w:bottom w:w="110" w:type="dxa"/>
              <w:left w:w="140" w:type="dxa"/>
              <w:right w:w="140" w:type="dxa"/>
            </w:tcMar>
          </w:tcPr>
          <w:p>
            <w:pPr>
              <w:spacing w:after="0" w:line="276" w:lineRule="auto"/>
              <w:jc w:val="left"/>
            </w:pPr>
            <w:r>
              <w:rPr>
                <w:rFonts w:ascii="Arial" w:hAnsi="Arial"/>
                <w:color w:val="334155"/>
                <w:sz w:val="17"/>
              </w:rPr>
              <w:t>Servicio de Usuarios</w:t>
            </w:r>
          </w:p>
        </w:tc>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Valida el registro de estudiantes, hashing de contraseñas BCrypt, validación de DNI y prevención de correos duplicados.</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5 / 5 Aprobadas</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InscripcionServiceTest</w:t>
            </w:r>
          </w:p>
        </w:tc>
        <w:tc>
          <w:tcPr>
            <w:tcW w:type="dxa" w:w="1872"/>
            <w:shd w:fill="FFFFFF"/>
            <w:tcMar>
              <w:top w:w="110" w:type="dxa"/>
              <w:bottom w:w="110" w:type="dxa"/>
              <w:left w:w="140" w:type="dxa"/>
              <w:right w:w="140" w:type="dxa"/>
            </w:tcMar>
          </w:tcPr>
          <w:p>
            <w:pPr>
              <w:spacing w:after="0" w:line="276" w:lineRule="auto"/>
              <w:jc w:val="left"/>
            </w:pPr>
            <w:r>
              <w:rPr>
                <w:rFonts w:ascii="Arial" w:hAnsi="Arial"/>
                <w:color w:val="334155"/>
                <w:sz w:val="17"/>
              </w:rPr>
              <w:t>Servicio de Inscripciones</w:t>
            </w:r>
          </w:p>
        </w:tc>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Verifica el inicio de inscripción, bloqueo de inscripciones duplicadas, control de cupos y completado académico.</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6 / 6 Aprobadas</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PagoServiceTest</w:t>
            </w:r>
          </w:p>
        </w:tc>
        <w:tc>
          <w:tcPr>
            <w:tcW w:type="dxa" w:w="1872"/>
            <w:shd w:fill="F8FAFC"/>
            <w:tcMar>
              <w:top w:w="110" w:type="dxa"/>
              <w:bottom w:w="110" w:type="dxa"/>
              <w:left w:w="140" w:type="dxa"/>
              <w:right w:w="140" w:type="dxa"/>
            </w:tcMar>
          </w:tcPr>
          <w:p>
            <w:pPr>
              <w:spacing w:after="0" w:line="276" w:lineRule="auto"/>
              <w:jc w:val="left"/>
            </w:pPr>
            <w:r>
              <w:rPr>
                <w:rFonts w:ascii="Arial" w:hAnsi="Arial"/>
                <w:color w:val="334155"/>
                <w:sz w:val="17"/>
              </w:rPr>
              <w:t>Pasarela Financiera</w:t>
            </w:r>
          </w:p>
        </w:tc>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Prueba el registro de pagos Yape, aprobación de vouchers con descuento de cupos y rechazo con notas de observación.</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5 / 5 Aprobadas</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CursoServiceTest</w:t>
            </w:r>
          </w:p>
        </w:tc>
        <w:tc>
          <w:tcPr>
            <w:tcW w:type="dxa" w:w="1872"/>
            <w:shd w:fill="FFFFFF"/>
            <w:tcMar>
              <w:top w:w="110" w:type="dxa"/>
              <w:bottom w:w="110" w:type="dxa"/>
              <w:left w:w="140" w:type="dxa"/>
              <w:right w:w="140" w:type="dxa"/>
            </w:tcMar>
          </w:tcPr>
          <w:p>
            <w:pPr>
              <w:spacing w:after="0" w:line="276" w:lineRule="auto"/>
              <w:jc w:val="left"/>
            </w:pPr>
            <w:r>
              <w:rPr>
                <w:rFonts w:ascii="Arial" w:hAnsi="Arial"/>
                <w:color w:val="334155"/>
                <w:sz w:val="17"/>
              </w:rPr>
              <w:t>Gestión Académica</w:t>
            </w:r>
          </w:p>
        </w:tc>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Evalúa el listado de destacados, filtrado por líneas de investigación, gestión de cupos y activación de flyers.</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5 / 5 Aprobadas</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CertificadoServiceTest</w:t>
            </w:r>
          </w:p>
        </w:tc>
        <w:tc>
          <w:tcPr>
            <w:tcW w:type="dxa" w:w="1872"/>
            <w:shd w:fill="F8FAFC"/>
            <w:tcMar>
              <w:top w:w="110" w:type="dxa"/>
              <w:bottom w:w="110" w:type="dxa"/>
              <w:left w:w="140" w:type="dxa"/>
              <w:right w:w="140" w:type="dxa"/>
            </w:tcMar>
          </w:tcPr>
          <w:p>
            <w:pPr>
              <w:spacing w:after="0" w:line="276" w:lineRule="auto"/>
              <w:jc w:val="left"/>
            </w:pPr>
            <w:r>
              <w:rPr>
                <w:rFonts w:ascii="Arial" w:hAnsi="Arial"/>
                <w:color w:val="334155"/>
                <w:sz w:val="17"/>
              </w:rPr>
              <w:t>Certificación Digital</w:t>
            </w:r>
          </w:p>
        </w:tc>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Valida la emisión de certificados con snapshots inmutables, unicidad de código alfanumérico y consulta pública.</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4 / 4 Aprobadas</w:t>
            </w:r>
          </w:p>
        </w:tc>
      </w:tr>
      <w:tr>
        <w:tc>
          <w:tcPr>
            <w:tcW w:type="dxa" w:w="2160"/>
            <w:shd w:fill="FFFFFF"/>
            <w:tcMar>
              <w:top w:w="110" w:type="dxa"/>
              <w:bottom w:w="110" w:type="dxa"/>
              <w:left w:w="140" w:type="dxa"/>
              <w:right w:w="140" w:type="dxa"/>
            </w:tcMar>
          </w:tcPr>
          <w:p>
            <w:pPr>
              <w:spacing w:after="0" w:line="276" w:lineRule="auto"/>
              <w:jc w:val="left"/>
            </w:pPr>
            <w:r>
              <w:rPr>
                <w:rFonts w:ascii="Arial" w:hAnsi="Arial"/>
                <w:color w:val="334155"/>
                <w:sz w:val="17"/>
              </w:rPr>
              <w:t>CertificadoPdfGeneratorTest</w:t>
            </w:r>
          </w:p>
        </w:tc>
        <w:tc>
          <w:tcPr>
            <w:tcW w:type="dxa" w:w="1872"/>
            <w:shd w:fill="FFFFFF"/>
            <w:tcMar>
              <w:top w:w="110" w:type="dxa"/>
              <w:bottom w:w="110" w:type="dxa"/>
              <w:left w:w="140" w:type="dxa"/>
              <w:right w:w="140" w:type="dxa"/>
            </w:tcMar>
          </w:tcPr>
          <w:p>
            <w:pPr>
              <w:spacing w:after="0" w:line="276" w:lineRule="auto"/>
              <w:jc w:val="left"/>
            </w:pPr>
            <w:r>
              <w:rPr>
                <w:rFonts w:ascii="Arial" w:hAnsi="Arial"/>
                <w:color w:val="334155"/>
                <w:sz w:val="17"/>
              </w:rPr>
              <w:t>Motor de Diplomas PDF</w:t>
            </w:r>
          </w:p>
        </w:tc>
        <w:tc>
          <w:tcPr>
            <w:tcW w:type="dxa" w:w="3456"/>
            <w:shd w:fill="FFFFFF"/>
            <w:tcMar>
              <w:top w:w="110" w:type="dxa"/>
              <w:bottom w:w="110" w:type="dxa"/>
              <w:left w:w="140" w:type="dxa"/>
              <w:right w:w="140" w:type="dxa"/>
            </w:tcMar>
          </w:tcPr>
          <w:p>
            <w:pPr>
              <w:spacing w:after="0" w:line="276" w:lineRule="auto"/>
              <w:jc w:val="left"/>
            </w:pPr>
            <w:r>
              <w:rPr>
                <w:rFonts w:ascii="Arial" w:hAnsi="Arial"/>
                <w:color w:val="334155"/>
                <w:sz w:val="17"/>
              </w:rPr>
              <w:t>Verifica la generación del archivo binario PDF formal con OpenPDF, validando márgenes, orlas y QR.</w:t>
            </w:r>
          </w:p>
        </w:tc>
        <w:tc>
          <w:tcPr>
            <w:tcW w:type="dxa" w:w="1152"/>
            <w:shd w:fill="FFFFFF"/>
            <w:tcMar>
              <w:top w:w="110" w:type="dxa"/>
              <w:bottom w:w="110" w:type="dxa"/>
              <w:left w:w="140" w:type="dxa"/>
              <w:right w:w="140" w:type="dxa"/>
            </w:tcMar>
          </w:tcPr>
          <w:p>
            <w:pPr>
              <w:spacing w:after="0" w:line="276" w:lineRule="auto"/>
              <w:jc w:val="left"/>
            </w:pPr>
            <w:r>
              <w:rPr>
                <w:rFonts w:ascii="Arial" w:hAnsi="Arial"/>
                <w:color w:val="334155"/>
                <w:sz w:val="17"/>
              </w:rPr>
              <w:t>2 / 2 Aprobadas</w:t>
            </w:r>
          </w:p>
        </w:tc>
      </w:tr>
      <w:tr>
        <w:tc>
          <w:tcPr>
            <w:tcW w:type="dxa" w:w="2160"/>
            <w:shd w:fill="F8FAFC"/>
            <w:tcMar>
              <w:top w:w="110" w:type="dxa"/>
              <w:bottom w:w="110" w:type="dxa"/>
              <w:left w:w="140" w:type="dxa"/>
              <w:right w:w="140" w:type="dxa"/>
            </w:tcMar>
          </w:tcPr>
          <w:p>
            <w:pPr>
              <w:spacing w:after="0" w:line="276" w:lineRule="auto"/>
              <w:jc w:val="left"/>
            </w:pPr>
            <w:r>
              <w:rPr>
                <w:rFonts w:ascii="Arial" w:hAnsi="Arial"/>
                <w:color w:val="334155"/>
                <w:sz w:val="17"/>
              </w:rPr>
              <w:t>ArchivoServiceTest</w:t>
            </w:r>
          </w:p>
        </w:tc>
        <w:tc>
          <w:tcPr>
            <w:tcW w:type="dxa" w:w="1872"/>
            <w:shd w:fill="F8FAFC"/>
            <w:tcMar>
              <w:top w:w="110" w:type="dxa"/>
              <w:bottom w:w="110" w:type="dxa"/>
              <w:left w:w="140" w:type="dxa"/>
              <w:right w:w="140" w:type="dxa"/>
            </w:tcMar>
          </w:tcPr>
          <w:p>
            <w:pPr>
              <w:spacing w:after="0" w:line="276" w:lineRule="auto"/>
              <w:jc w:val="left"/>
            </w:pPr>
            <w:r>
              <w:rPr>
                <w:rFonts w:ascii="Arial" w:hAnsi="Arial"/>
                <w:color w:val="334155"/>
                <w:sz w:val="17"/>
              </w:rPr>
              <w:t>Procesamiento de Archivos</w:t>
            </w:r>
          </w:p>
        </w:tc>
        <w:tc>
          <w:tcPr>
            <w:tcW w:type="dxa" w:w="3456"/>
            <w:shd w:fill="F8FAFC"/>
            <w:tcMar>
              <w:top w:w="110" w:type="dxa"/>
              <w:bottom w:w="110" w:type="dxa"/>
              <w:left w:w="140" w:type="dxa"/>
              <w:right w:w="140" w:type="dxa"/>
            </w:tcMar>
          </w:tcPr>
          <w:p>
            <w:pPr>
              <w:spacing w:after="0" w:line="276" w:lineRule="auto"/>
              <w:jc w:val="left"/>
            </w:pPr>
            <w:r>
              <w:rPr>
                <w:rFonts w:ascii="Arial" w:hAnsi="Arial"/>
                <w:color w:val="334155"/>
                <w:sz w:val="17"/>
              </w:rPr>
              <w:t>Evalúa la subida y almacenamiento de recursos multimedia con fallback a almacenamiento local.</w:t>
            </w:r>
          </w:p>
        </w:tc>
        <w:tc>
          <w:tcPr>
            <w:tcW w:type="dxa" w:w="1152"/>
            <w:shd w:fill="F8FAFC"/>
            <w:tcMar>
              <w:top w:w="110" w:type="dxa"/>
              <w:bottom w:w="110" w:type="dxa"/>
              <w:left w:w="140" w:type="dxa"/>
              <w:right w:w="140" w:type="dxa"/>
            </w:tcMar>
          </w:tcPr>
          <w:p>
            <w:pPr>
              <w:spacing w:after="0" w:line="276" w:lineRule="auto"/>
              <w:jc w:val="left"/>
            </w:pPr>
            <w:r>
              <w:rPr>
                <w:rFonts w:ascii="Arial" w:hAnsi="Arial"/>
                <w:color w:val="334155"/>
                <w:sz w:val="17"/>
              </w:rPr>
              <w:t>2 / 2 Aprobadas</w:t>
            </w:r>
          </w:p>
        </w:tc>
      </w:tr>
    </w:tbl>
    <w:p>
      <w:pPr>
        <w:spacing w:before="60" w:after="60"/>
      </w:pPr>
    </w:p>
    <w:tbl>
      <w:tblPr>
        <w:tblW w:type="auto" w:w="0"/>
        <w:jc w:val="center"/>
        <w:tblLayout w:type="fixed"/>
        <w:tblLook w:firstColumn="1" w:firstRow="1" w:lastColumn="0" w:lastRow="0" w:noHBand="0" w:noVBand="1" w:val="04A0"/>
      </w:tblPr>
      <w:tblGrid>
        <w:gridCol w:w="8788"/>
      </w:tblGrid>
      <w:tr>
        <w:tc>
          <w:tcPr>
            <w:tcW w:type="dxa" w:w="8640"/>
            <w:shd w:fill="F8FAFC"/>
            <w:tcMar>
              <w:top w:w="140" w:type="dxa"/>
              <w:bottom w:w="140" w:type="dxa"/>
              <w:left w:w="200" w:type="dxa"/>
              <w:right w:w="160" w:type="dxa"/>
            </w:tcMar>
            <w:tcBorders>
              <w:top w:val="none"/>
              <w:left w:val="single" w:sz="24" w:space="0" w:color="059669"/>
              <w:bottom w:val="none"/>
              <w:right w:val="none"/>
            </w:tcBorders>
          </w:tcPr>
          <w:p>
            <w:pPr>
              <w:spacing w:line="276" w:lineRule="auto" w:after="0"/>
              <w:jc w:val="both"/>
            </w:pPr>
            <w:r>
              <w:rPr>
                <w:rFonts w:ascii="Arial" w:hAnsi="Arial"/>
                <w:b/>
                <w:color w:val="6D1A24"/>
                <w:sz w:val="20"/>
              </w:rPr>
              <w:t>Resultado del Control de Calidad Oficial</w:t>
              <w:br/>
            </w:r>
            <w:r>
              <w:rPr>
                <w:rFonts w:ascii="Arial" w:hAnsi="Arial"/>
                <w:color w:val="334155"/>
                <w:sz w:val="19"/>
              </w:rPr>
              <w:t>MÉTRICA FINAL DE CALIDAD: 30 de 30 pruebas unitarias y de integración ejecutadas con éxito absoluto (100% de aprobación). Tiempo de ejecución: 50 segundos. Cero errores de compilación, cero fallos y cero pruebas ignoradas.</w:t>
            </w:r>
          </w:p>
        </w:tc>
      </w:tr>
    </w:tbl>
    <w:p>
      <w:pPr>
        <w:spacing w:before="60" w:after="60"/>
      </w:pPr>
    </w:p>
    <w:p>
      <w:r>
        <w:br w:type="page"/>
      </w:r>
    </w:p>
    <w:p>
      <w:pPr>
        <w:keepNext/>
        <w:spacing w:before="440" w:after="120"/>
      </w:pPr>
      <w:r>
        <w:rPr>
          <w:rFonts w:ascii="Arial" w:hAnsi="Arial"/>
          <w:b/>
          <w:color w:val="6D1A24"/>
          <w:sz w:val="29"/>
        </w:rPr>
        <w:t>CAPÍTULO 8: CONCLUSIONES, IMPACTO INSTITUCIONAL Y RECOMENDACIONES</w:t>
      </w:r>
    </w:p>
    <w:p>
      <w:pPr>
        <w:keepNext/>
        <w:spacing w:before="280" w:after="80"/>
      </w:pPr>
      <w:r>
        <w:rPr>
          <w:rFonts w:ascii="Arial" w:hAnsi="Arial"/>
          <w:b/>
          <w:color w:val="1E293B"/>
          <w:sz w:val="24"/>
        </w:rPr>
        <w:t>8.1 Logros Principales del Proyecto</w:t>
      </w:r>
    </w:p>
    <w:p>
      <w:pPr>
        <w:pStyle w:val="ListBullet"/>
        <w:spacing w:line="276" w:lineRule="auto" w:after="60"/>
        <w:jc w:val="both"/>
      </w:pPr>
      <w:r>
        <w:rPr>
          <w:rFonts w:ascii="Arial" w:hAnsi="Arial"/>
          <w:b/>
          <w:color w:val="1E293B"/>
          <w:sz w:val="20"/>
        </w:rPr>
        <w:t xml:space="preserve">Modernización Integral del IIICCD: </w:t>
      </w:r>
      <w:r>
        <w:rPr>
          <w:rFonts w:ascii="Arial" w:hAnsi="Arial"/>
          <w:color w:val="334155"/>
          <w:sz w:val="20"/>
        </w:rPr>
        <w:t>Se entregó una solución tecnológica completa, funcional y desplegada en producción que unifica bajo un solo entorno la gestión de cursos, pagos, participantes y diplomas del IIICCD.</w:t>
      </w:r>
    </w:p>
    <w:p>
      <w:pPr>
        <w:pStyle w:val="ListBullet"/>
        <w:spacing w:line="276" w:lineRule="auto" w:after="60"/>
        <w:jc w:val="both"/>
      </w:pPr>
      <w:r>
        <w:rPr>
          <w:rFonts w:ascii="Arial" w:hAnsi="Arial"/>
          <w:b/>
          <w:color w:val="1E293B"/>
          <w:sz w:val="20"/>
        </w:rPr>
        <w:t xml:space="preserve">Eficiencia Operativa Comprobada: </w:t>
      </w:r>
      <w:r>
        <w:rPr>
          <w:rFonts w:ascii="Arial" w:hAnsi="Arial"/>
          <w:color w:val="334155"/>
          <w:sz w:val="20"/>
        </w:rPr>
        <w:t>El flujo de inscripción con Yape y la auditoría con autocompresión de vouchers agilizó el procesamiento administrativo de días a tan solo minutos.</w:t>
      </w:r>
    </w:p>
    <w:p>
      <w:pPr>
        <w:pStyle w:val="ListBullet"/>
        <w:spacing w:line="276" w:lineRule="auto" w:after="60"/>
        <w:jc w:val="both"/>
      </w:pPr>
      <w:r>
        <w:rPr>
          <w:rFonts w:ascii="Arial" w:hAnsi="Arial"/>
          <w:b/>
          <w:color w:val="1E293B"/>
          <w:sz w:val="20"/>
        </w:rPr>
        <w:t xml:space="preserve">Inviolabilidad de la Certificación Universitaria: </w:t>
      </w:r>
      <w:r>
        <w:rPr>
          <w:rFonts w:ascii="Arial" w:hAnsi="Arial"/>
          <w:color w:val="334155"/>
          <w:sz w:val="20"/>
        </w:rPr>
        <w:t>La sustitución de certificados manuales por diplomas digitales generados por código con OpenPDF y validación pública QR erradica el riesgo de falsificaciones y eleva el prestigio de la UNA Puno.</w:t>
      </w:r>
    </w:p>
    <w:p>
      <w:pPr>
        <w:pStyle w:val="ListBullet"/>
        <w:spacing w:line="276" w:lineRule="auto" w:after="60"/>
        <w:jc w:val="both"/>
      </w:pPr>
      <w:r>
        <w:rPr>
          <w:rFonts w:ascii="Arial" w:hAnsi="Arial"/>
          <w:b/>
          <w:color w:val="1E293B"/>
          <w:sz w:val="20"/>
        </w:rPr>
        <w:t xml:space="preserve">Autonomía en Marketing Académico: </w:t>
      </w:r>
      <w:r>
        <w:rPr>
          <w:rFonts w:ascii="Arial" w:hAnsi="Arial"/>
          <w:color w:val="334155"/>
          <w:sz w:val="20"/>
        </w:rPr>
        <w:t>La integración del generador de flyers permite al instituto diseñar y publicar piezas promocionales en segundos sin costes de licenciamiento externo.</w:t>
      </w:r>
    </w:p>
    <w:p>
      <w:pPr>
        <w:keepNext/>
        <w:spacing w:before="280" w:after="80"/>
      </w:pPr>
      <w:r>
        <w:rPr>
          <w:rFonts w:ascii="Arial" w:hAnsi="Arial"/>
          <w:b/>
          <w:color w:val="1E293B"/>
          <w:sz w:val="24"/>
        </w:rPr>
        <w:t>8.2 Impacto Institucional en la UNA Puno y la FINESI</w:t>
      </w:r>
    </w:p>
    <w:p>
      <w:pPr>
        <w:spacing w:line="276" w:lineRule="auto" w:after="100"/>
        <w:jc w:val="both"/>
      </w:pPr>
      <w:r>
        <w:rPr>
          <w:rFonts w:ascii="Arial" w:hAnsi="Arial"/>
          <w:color w:val="334155"/>
          <w:sz w:val="20"/>
        </w:rPr>
        <w:t>La implementación de este sistema posiciona al Instituto de Investigación en Inteligencia Computacional y Ciencia de Datos a la vanguardia tecnológica dentro de la Universidad Nacional del Altiplano, sentando un precedente de modernización digital para otras facultades e institutos de investigación de la región.</w:t>
      </w:r>
    </w:p>
    <w:p>
      <w:pPr>
        <w:keepNext/>
        <w:spacing w:before="280" w:after="80"/>
      </w:pPr>
      <w:r>
        <w:rPr>
          <w:rFonts w:ascii="Arial" w:hAnsi="Arial"/>
          <w:b/>
          <w:color w:val="1E293B"/>
          <w:sz w:val="24"/>
        </w:rPr>
        <w:t>8.3 Recomendaciones para Fases Futuras</w:t>
      </w:r>
    </w:p>
    <w:p>
      <w:pPr>
        <w:pStyle w:val="ListBullet"/>
        <w:spacing w:line="276" w:lineRule="auto" w:after="60"/>
        <w:jc w:val="both"/>
      </w:pPr>
      <w:r>
        <w:rPr>
          <w:rFonts w:ascii="Arial" w:hAnsi="Arial"/>
          <w:b/>
          <w:color w:val="1E293B"/>
          <w:sz w:val="20"/>
        </w:rPr>
        <w:t xml:space="preserve">Integración de Pasarelas Bancarias Adicionales: </w:t>
      </w:r>
      <w:r>
        <w:rPr>
          <w:rFonts w:ascii="Arial" w:hAnsi="Arial"/>
          <w:color w:val="334155"/>
          <w:sz w:val="20"/>
        </w:rPr>
        <w:t>Evaluar la integración de pasarelas de pago con tarjeta de crédito/débito (como Niubiz o Culqi) en adición a Yape para facilitar la participación de estudiantes internacionales.</w:t>
      </w:r>
    </w:p>
    <w:p>
      <w:pPr>
        <w:pStyle w:val="ListBullet"/>
        <w:spacing w:line="276" w:lineRule="auto" w:after="60"/>
        <w:jc w:val="both"/>
      </w:pPr>
      <w:r>
        <w:rPr>
          <w:rFonts w:ascii="Arial" w:hAnsi="Arial"/>
          <w:b/>
          <w:color w:val="1E293B"/>
          <w:sz w:val="20"/>
        </w:rPr>
        <w:t xml:space="preserve">Servidor de Correo Institucional Propio: </w:t>
      </w:r>
      <w:r>
        <w:rPr>
          <w:rFonts w:ascii="Arial" w:hAnsi="Arial"/>
          <w:color w:val="334155"/>
          <w:sz w:val="20"/>
        </w:rPr>
        <w:t>Conectar el sistema al servidor de correo SMTP oficial institucional de la UNA Puno (@unap.edu.pe) para dotar de mayor solemnidad a las notificaciones.</w:t>
      </w:r>
    </w:p>
    <w:p>
      <w:pPr>
        <w:pStyle w:val="ListBullet"/>
        <w:spacing w:line="276" w:lineRule="auto" w:after="60"/>
        <w:jc w:val="both"/>
      </w:pPr>
      <w:r>
        <w:rPr>
          <w:rFonts w:ascii="Arial" w:hAnsi="Arial"/>
          <w:b/>
          <w:color w:val="1E293B"/>
          <w:sz w:val="20"/>
        </w:rPr>
        <w:t xml:space="preserve">Encuestas de Calidad Docente: </w:t>
      </w:r>
      <w:r>
        <w:rPr>
          <w:rFonts w:ascii="Arial" w:hAnsi="Arial"/>
          <w:color w:val="334155"/>
          <w:sz w:val="20"/>
        </w:rPr>
        <w:t>Incorporar un módulo de encuestas de satisfacción estudiantil al culminar cada programa académico para retroalimentar la labor docente del instituto.</w:t>
      </w:r>
    </w:p>
    <w:p>
      <w:pPr>
        <w:keepNext/>
        <w:spacing w:before="280" w:after="80"/>
      </w:pPr>
      <w:r>
        <w:rPr>
          <w:rFonts w:ascii="Arial" w:hAnsi="Arial"/>
          <w:b/>
          <w:color w:val="1E293B"/>
          <w:sz w:val="24"/>
        </w:rPr>
        <w:t>Constancia Institucional de Conformidad</w:t>
      </w:r>
    </w:p>
    <w:p>
      <w:pPr>
        <w:spacing w:line="276" w:lineRule="auto" w:after="100"/>
        <w:jc w:val="both"/>
      </w:pPr>
      <w:r>
        <w:rPr>
          <w:rFonts w:ascii="Arial" w:hAnsi="Arial"/>
          <w:color w:val="334155"/>
          <w:sz w:val="20"/>
        </w:rPr>
        <w:t>El presente informe técnico certifica la culminación satisfactoria de las etapas de análisis, desarrollo, pruebas, control de calidad y despliegue en la nube del Sistema Web de Gestión Académica y Certificación Digital del IIICCD.</w:t>
      </w:r>
    </w:p>
    <w:p>
      <w:pPr>
        <w:spacing w:before="900"/>
      </w:pPr>
    </w:p>
    <w:tbl>
      <w:tblPr>
        <w:tblW w:type="auto" w:w="0"/>
        <w:jc w:val="center"/>
        <w:tblLayout w:type="fixed"/>
        <w:tblLook w:firstColumn="1" w:firstRow="1" w:lastColumn="0" w:lastRow="0" w:noHBand="0" w:noVBand="1" w:val="04A0"/>
      </w:tblPr>
      <w:tblGrid>
        <w:gridCol w:w="4394"/>
        <w:gridCol w:w="4394"/>
      </w:tblGrid>
      <w:tr>
        <w:tc>
          <w:tcPr>
            <w:tcW w:type="dxa" w:w="4320"/>
          </w:tcPr>
          <w:p>
            <w:pPr>
              <w:jc w:val="center"/>
            </w:pPr>
            <w:r>
              <w:rPr>
                <w:color w:val="1E293B"/>
              </w:rPr>
              <w:t>_________________________________________</w:t>
              <w:br/>
            </w:r>
            <w:r>
              <w:rPr>
                <w:rFonts w:ascii="Arial" w:hAnsi="Arial"/>
                <w:b/>
                <w:color w:val="6D1A24"/>
                <w:sz w:val="19"/>
              </w:rPr>
              <w:t>DR. LEONID ALEMÁN GONZALES</w:t>
              <w:br/>
            </w:r>
            <w:r>
              <w:rPr>
                <w:rFonts w:ascii="Arial" w:hAnsi="Arial"/>
                <w:color w:val="64748B"/>
                <w:sz w:val="17"/>
              </w:rPr>
              <w:t>Director del IIICCD</w:t>
              <w:br/>
              <w:t>Facultad de Ingeniería Estadística e Informática</w:t>
              <w:br/>
              <w:t>Universidad Nacional del Altiplano de Puno</w:t>
            </w:r>
          </w:p>
        </w:tc>
        <w:tc>
          <w:tcPr>
            <w:tcW w:type="dxa" w:w="4320"/>
          </w:tcPr>
          <w:p>
            <w:pPr>
              <w:jc w:val="center"/>
            </w:pPr>
            <w:r>
              <w:rPr>
                <w:color w:val="1E293B"/>
              </w:rPr>
              <w:t>_________________________________________</w:t>
              <w:br/>
            </w:r>
            <w:r>
              <w:rPr>
                <w:rFonts w:ascii="Arial" w:hAnsi="Arial"/>
                <w:b/>
                <w:color w:val="1E293B"/>
                <w:sz w:val="19"/>
              </w:rPr>
              <w:t>EQUIPO DE DESARROLLO E INNOVACIÓN</w:t>
              <w:br/>
            </w:r>
            <w:r>
              <w:rPr>
                <w:rFonts w:ascii="Arial" w:hAnsi="Arial"/>
                <w:color w:val="64748B"/>
                <w:sz w:val="17"/>
              </w:rPr>
              <w:t>Área de Ingeniería de Software e Inteligencia Computacional</w:t>
              <w:br/>
              <w:t>Sistema Web de Cursos y Certificación Oficial</w:t>
              <w:br/>
              <w:t>UNA Puno - 2026</w:t>
            </w:r>
          </w:p>
        </w:tc>
      </w:tr>
    </w:tbl>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Sistema Web de Gestión Académica y Certificación Digital con QR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IIICCD — Universidad Nacional del Altiplano de Puno | Informe Técnico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