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6D1A24"/>
          <w:sz w:val="26"/>
        </w:rPr>
        <w:t>UNIVERSIDAD NACIONAL DEL ALTIPLANO DE PUNO</w:t>
        <w:br/>
      </w:r>
      <w:r>
        <w:rPr>
          <w:rFonts w:ascii="Arial" w:hAnsi="Arial"/>
          <w:b/>
          <w:color w:val="1E293B"/>
          <w:sz w:val="22"/>
        </w:rPr>
        <w:t>FACULTAD DE INGENIERÍA ESTADÍSTICA E INFORMÁTICA</w:t>
        <w:br/>
      </w:r>
      <w:r>
        <w:rPr>
          <w:rFonts w:ascii="Arial" w:hAnsi="Arial"/>
          <w:b/>
          <w:color w:val="C99738"/>
          <w:sz w:val="20"/>
        </w:rPr>
        <w:t>INSTITUTO DE INVESTIGACIÓN EN INTELIGENCIA COMPUTACIONAL Y CIENCIA DE DATOS (IIICCD)</w:t>
      </w:r>
    </w:p>
    <w:p>
      <w:pPr>
        <w:spacing w:before="280" w:after="280"/>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logo-iiiccd.jpeg"/>
                    <pic:cNvPicPr/>
                  </pic:nvPicPr>
                  <pic:blipFill>
                    <a:blip r:embed="rId11"/>
                    <a:stretch>
                      <a:fillRect/>
                    </a:stretch>
                  </pic:blipFill>
                  <pic:spPr>
                    <a:xfrm>
                      <a:off x="0" y="0"/>
                      <a:ext cx="1737360" cy="1737360"/>
                    </a:xfrm>
                    <a:prstGeom prst="rect"/>
                  </pic:spPr>
                </pic:pic>
              </a:graphicData>
            </a:graphic>
          </wp:inline>
        </w:drawing>
      </w:r>
    </w:p>
    <w:p>
      <w:pPr>
        <w:spacing w:before="160" w:after="120"/>
        <w:jc w:val="center"/>
      </w:pPr>
      <w:r>
        <w:rPr>
          <w:rFonts w:ascii="Arial" w:hAnsi="Arial"/>
          <w:b/>
          <w:color w:val="6D1A24"/>
          <w:sz w:val="26"/>
        </w:rPr>
        <w:t>INFORME TÉCNICO DE ARQUITECTURA, DESARROLLO E IMPLEMENTACIÓN DEL SISTEMA WEB INTEGRAL DE GESTIÓN ACADÉMICA, INSCRIPCIONES, PASARELA YAPE Y CERTIFICACIÓN DIGITAL CON VALIDACIÓN QR</w:t>
      </w:r>
    </w:p>
    <w:p>
      <w:pPr>
        <w:spacing w:before="0" w:after="360"/>
        <w:jc w:val="center"/>
      </w:pPr>
      <w:r>
        <w:rPr>
          <w:rFonts w:ascii="Arial" w:hAnsi="Arial"/>
          <w:color w:val="1E293B"/>
          <w:sz w:val="20"/>
        </w:rPr>
        <w:t>Especificación de Requerimientos (IEEE 830), Modelo Relacional de Base de Datos, Auditoría Financiera de Vouchers y Emisión Solemne de Diplomas con Snapshots Inmutables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3168"/>
            <w:shd w:fill="F8FAFC"/>
            <w:tcMar>
              <w:top w:w="70" w:type="dxa"/>
              <w:bottom w:w="70" w:type="dxa"/>
              <w:left w:w="90" w:type="dxa"/>
              <w:right w:w="90" w:type="dxa"/>
            </w:tcMar>
          </w:tcPr>
          <w:p>
            <w:pPr>
              <w:spacing w:after="0"/>
              <w:jc w:val="right"/>
            </w:pPr>
            <w:r>
              <w:rPr>
                <w:rFonts w:ascii="Arial" w:hAnsi="Arial"/>
                <w:b/>
                <w:color w:val="1E293B"/>
                <w:sz w:val="17"/>
              </w:rPr>
              <w:t>Institución Patrocinadora:</w:t>
            </w:r>
          </w:p>
        </w:tc>
        <w:tc>
          <w:tcPr>
            <w:tcW w:type="dxa" w:w="5472"/>
            <w:shd w:fill="FFFFFF"/>
            <w:tcMar>
              <w:top w:w="70" w:type="dxa"/>
              <w:bottom w:w="70" w:type="dxa"/>
              <w:left w:w="90" w:type="dxa"/>
              <w:right w:w="90" w:type="dxa"/>
            </w:tcMar>
          </w:tcPr>
          <w:p>
            <w:pPr>
              <w:spacing w:after="0"/>
              <w:jc w:val="left"/>
            </w:pPr>
            <w:r>
              <w:rPr>
                <w:rFonts w:ascii="Arial" w:hAnsi="Arial"/>
                <w:color w:val="334155"/>
                <w:sz w:val="17"/>
              </w:rPr>
              <w:t>Universidad Nacional del Altiplano de Puno (UNA Puno)</w:t>
            </w:r>
          </w:p>
        </w:tc>
      </w:tr>
      <w:tr>
        <w:tc>
          <w:tcPr>
            <w:tcW w:type="dxa" w:w="3168"/>
            <w:shd w:fill="F8FAFC"/>
            <w:tcMar>
              <w:top w:w="70" w:type="dxa"/>
              <w:bottom w:w="70" w:type="dxa"/>
              <w:left w:w="90" w:type="dxa"/>
              <w:right w:w="90" w:type="dxa"/>
            </w:tcMar>
          </w:tcPr>
          <w:p>
            <w:pPr>
              <w:spacing w:after="0"/>
              <w:jc w:val="right"/>
            </w:pPr>
            <w:r>
              <w:rPr>
                <w:rFonts w:ascii="Arial" w:hAnsi="Arial"/>
                <w:b/>
                <w:color w:val="1E293B"/>
                <w:sz w:val="17"/>
              </w:rPr>
              <w:t>Unidad Académica Responsable:</w:t>
            </w:r>
          </w:p>
        </w:tc>
        <w:tc>
          <w:tcPr>
            <w:tcW w:type="dxa" w:w="5472"/>
            <w:shd w:fill="FFFFFF"/>
            <w:tcMar>
              <w:top w:w="70" w:type="dxa"/>
              <w:bottom w:w="70" w:type="dxa"/>
              <w:left w:w="90" w:type="dxa"/>
              <w:right w:w="90" w:type="dxa"/>
            </w:tcMar>
          </w:tcPr>
          <w:p>
            <w:pPr>
              <w:spacing w:after="0"/>
              <w:jc w:val="left"/>
            </w:pPr>
            <w:r>
              <w:rPr>
                <w:rFonts w:ascii="Arial" w:hAnsi="Arial"/>
                <w:color w:val="334155"/>
                <w:sz w:val="17"/>
              </w:rPr>
              <w:t>Instituto de Investigación en Inteligencia Computacional (IIICCD - FINESI)</w:t>
            </w:r>
          </w:p>
        </w:tc>
      </w:tr>
      <w:tr>
        <w:tc>
          <w:tcPr>
            <w:tcW w:type="dxa" w:w="3168"/>
            <w:shd w:fill="F8FAFC"/>
            <w:tcMar>
              <w:top w:w="70" w:type="dxa"/>
              <w:bottom w:w="70" w:type="dxa"/>
              <w:left w:w="90" w:type="dxa"/>
              <w:right w:w="90" w:type="dxa"/>
            </w:tcMar>
          </w:tcPr>
          <w:p>
            <w:pPr>
              <w:spacing w:after="0"/>
              <w:jc w:val="right"/>
            </w:pPr>
            <w:r>
              <w:rPr>
                <w:rFonts w:ascii="Arial" w:hAnsi="Arial"/>
                <w:b/>
                <w:color w:val="1E293B"/>
                <w:sz w:val="17"/>
              </w:rPr>
              <w:t>Director del Instituto:</w:t>
            </w:r>
          </w:p>
        </w:tc>
        <w:tc>
          <w:tcPr>
            <w:tcW w:type="dxa" w:w="5472"/>
            <w:shd w:fill="FFFFFF"/>
            <w:tcMar>
              <w:top w:w="70" w:type="dxa"/>
              <w:bottom w:w="70" w:type="dxa"/>
              <w:left w:w="90" w:type="dxa"/>
              <w:right w:w="90" w:type="dxa"/>
            </w:tcMar>
          </w:tcPr>
          <w:p>
            <w:pPr>
              <w:spacing w:after="0"/>
              <w:jc w:val="left"/>
            </w:pPr>
            <w:r>
              <w:rPr>
                <w:rFonts w:ascii="Arial" w:hAnsi="Arial"/>
                <w:color w:val="334155"/>
                <w:sz w:val="17"/>
              </w:rPr>
              <w:t>Dr. Leonid Alemán Gonzales</w:t>
            </w:r>
          </w:p>
        </w:tc>
      </w:tr>
      <w:tr>
        <w:tc>
          <w:tcPr>
            <w:tcW w:type="dxa" w:w="3168"/>
            <w:shd w:fill="F8FAFC"/>
            <w:tcMar>
              <w:top w:w="70" w:type="dxa"/>
              <w:bottom w:w="70" w:type="dxa"/>
              <w:left w:w="90" w:type="dxa"/>
              <w:right w:w="90" w:type="dxa"/>
            </w:tcMar>
          </w:tcPr>
          <w:p>
            <w:pPr>
              <w:spacing w:after="0"/>
              <w:jc w:val="right"/>
            </w:pPr>
            <w:r>
              <w:rPr>
                <w:rFonts w:ascii="Arial" w:hAnsi="Arial"/>
                <w:b/>
                <w:color w:val="1E293B"/>
                <w:sz w:val="17"/>
              </w:rPr>
              <w:t>Versión del Software:</w:t>
            </w:r>
          </w:p>
        </w:tc>
        <w:tc>
          <w:tcPr>
            <w:tcW w:type="dxa" w:w="5472"/>
            <w:shd w:fill="FFFFFF"/>
            <w:tcMar>
              <w:top w:w="70" w:type="dxa"/>
              <w:bottom w:w="70" w:type="dxa"/>
              <w:left w:w="90" w:type="dxa"/>
              <w:right w:w="90" w:type="dxa"/>
            </w:tcMar>
          </w:tcPr>
          <w:p>
            <w:pPr>
              <w:spacing w:after="0"/>
              <w:jc w:val="left"/>
            </w:pPr>
            <w:r>
              <w:rPr>
                <w:rFonts w:ascii="Arial" w:hAnsi="Arial"/>
                <w:color w:val="334155"/>
                <w:sz w:val="17"/>
              </w:rPr>
              <w:t>Versión 1.0.0 (Release Cloud Producción)</w:t>
            </w:r>
          </w:p>
        </w:tc>
      </w:tr>
      <w:tr>
        <w:tc>
          <w:tcPr>
            <w:tcW w:type="dxa" w:w="3168"/>
            <w:shd w:fill="F8FAFC"/>
            <w:tcMar>
              <w:top w:w="70" w:type="dxa"/>
              <w:bottom w:w="70" w:type="dxa"/>
              <w:left w:w="90" w:type="dxa"/>
              <w:right w:w="90" w:type="dxa"/>
            </w:tcMar>
          </w:tcPr>
          <w:p>
            <w:pPr>
              <w:spacing w:after="0"/>
              <w:jc w:val="right"/>
            </w:pPr>
            <w:r>
              <w:rPr>
                <w:rFonts w:ascii="Arial" w:hAnsi="Arial"/>
                <w:b/>
                <w:color w:val="1E293B"/>
                <w:sz w:val="17"/>
              </w:rPr>
              <w:t>Repositorio Oficial GitHub:</w:t>
            </w:r>
          </w:p>
        </w:tc>
        <w:tc>
          <w:tcPr>
            <w:tcW w:type="dxa" w:w="5472"/>
            <w:shd w:fill="FFFFFF"/>
            <w:tcMar>
              <w:top w:w="70" w:type="dxa"/>
              <w:bottom w:w="70" w:type="dxa"/>
              <w:left w:w="90" w:type="dxa"/>
              <w:right w:w="90" w:type="dxa"/>
            </w:tcMar>
          </w:tcPr>
          <w:p>
            <w:pPr>
              <w:spacing w:after="0"/>
              <w:jc w:val="left"/>
            </w:pPr>
            <w:r>
              <w:rPr>
                <w:rFonts w:ascii="Arial" w:hAnsi="Arial"/>
                <w:color w:val="334155"/>
                <w:sz w:val="17"/>
              </w:rPr>
              <w:t>https://github.com/Jfer1234567/cursos_sistema</w:t>
            </w:r>
          </w:p>
        </w:tc>
      </w:tr>
      <w:tr>
        <w:tc>
          <w:tcPr>
            <w:tcW w:type="dxa" w:w="3168"/>
            <w:shd w:fill="F8FAFC"/>
            <w:tcMar>
              <w:top w:w="70" w:type="dxa"/>
              <w:bottom w:w="70" w:type="dxa"/>
              <w:left w:w="90" w:type="dxa"/>
              <w:right w:w="90" w:type="dxa"/>
            </w:tcMar>
          </w:tcPr>
          <w:p>
            <w:pPr>
              <w:spacing w:after="0"/>
              <w:jc w:val="right"/>
            </w:pPr>
            <w:r>
              <w:rPr>
                <w:rFonts w:ascii="Arial" w:hAnsi="Arial"/>
                <w:b/>
                <w:color w:val="1E293B"/>
                <w:sz w:val="17"/>
              </w:rPr>
              <w:t>Entorno Desplegado en la Nube:</w:t>
            </w:r>
          </w:p>
        </w:tc>
        <w:tc>
          <w:tcPr>
            <w:tcW w:type="dxa" w:w="5472"/>
            <w:shd w:fill="FFFFFF"/>
            <w:tcMar>
              <w:top w:w="70" w:type="dxa"/>
              <w:bottom w:w="70" w:type="dxa"/>
              <w:left w:w="90" w:type="dxa"/>
              <w:right w:w="90" w:type="dxa"/>
            </w:tcMar>
          </w:tcPr>
          <w:p>
            <w:pPr>
              <w:spacing w:after="0"/>
              <w:jc w:val="left"/>
            </w:pPr>
            <w:r>
              <w:rPr>
                <w:rFonts w:ascii="Arial" w:hAnsi="Arial"/>
                <w:color w:val="334155"/>
                <w:sz w:val="17"/>
              </w:rPr>
              <w:t>https://cursos-sistema.onrender.com (Web Service + Neon PostgreSQL)</w:t>
            </w:r>
          </w:p>
        </w:tc>
      </w:tr>
    </w:tbl>
    <w:p>
      <w:pPr>
        <w:spacing w:before="400"/>
        <w:jc w:val="center"/>
      </w:pPr>
      <w:r>
        <w:rPr>
          <w:rFonts w:ascii="Arial" w:hAnsi="Arial"/>
          <w:b/>
          <w:color w:val="64748B"/>
          <w:sz w:val="18"/>
        </w:rPr>
        <w:t>Puno, Perú — Octubre de 2026</w:t>
      </w:r>
    </w:p>
    <w:p>
      <w:r>
        <w:br w:type="page"/>
      </w:r>
    </w:p>
    <w:p>
      <w:pPr>
        <w:keepNext/>
        <w:spacing w:before="440" w:after="120"/>
      </w:pPr>
      <w:r>
        <w:rPr>
          <w:rFonts w:ascii="Arial" w:hAnsi="Arial"/>
          <w:b/>
          <w:color w:val="6D1A24"/>
          <w:sz w:val="28"/>
        </w:rPr>
        <w:t>ÍNDICE GENERAL DEL DOCUMENTO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1728"/>
            <w:shd w:fill="6D1A24"/>
            <w:tcMar>
              <w:top w:w="140" w:type="dxa"/>
              <w:bottom w:w="140" w:type="dxa"/>
              <w:left w:w="120" w:type="dxa"/>
              <w:right w:w="120" w:type="dxa"/>
            </w:tcMar>
          </w:tcPr>
          <w:p>
            <w:pPr>
              <w:spacing w:after="0"/>
              <w:jc w:val="left"/>
            </w:pPr>
            <w:r>
              <w:rPr>
                <w:rFonts w:ascii="Arial" w:hAnsi="Arial"/>
                <w:b/>
                <w:color w:val="FFFFFF"/>
                <w:sz w:val="17"/>
              </w:rPr>
              <w:t>Sección</w:t>
            </w:r>
          </w:p>
        </w:tc>
        <w:tc>
          <w:tcPr>
            <w:tcW w:type="dxa" w:w="5760"/>
            <w:shd w:fill="6D1A24"/>
            <w:tcMar>
              <w:top w:w="140" w:type="dxa"/>
              <w:bottom w:w="140" w:type="dxa"/>
              <w:left w:w="120" w:type="dxa"/>
              <w:right w:w="120" w:type="dxa"/>
            </w:tcMar>
          </w:tcPr>
          <w:p>
            <w:pPr>
              <w:spacing w:after="0"/>
              <w:jc w:val="left"/>
            </w:pPr>
            <w:r>
              <w:rPr>
                <w:rFonts w:ascii="Arial" w:hAnsi="Arial"/>
                <w:b/>
                <w:color w:val="FFFFFF"/>
                <w:sz w:val="17"/>
              </w:rPr>
              <w:t>Contenido Temático</w:t>
            </w:r>
          </w:p>
        </w:tc>
        <w:tc>
          <w:tcPr>
            <w:tcW w:type="dxa" w:w="1152"/>
            <w:shd w:fill="6D1A24"/>
            <w:tcMar>
              <w:top w:w="140" w:type="dxa"/>
              <w:bottom w:w="140" w:type="dxa"/>
              <w:left w:w="120" w:type="dxa"/>
              <w:right w:w="120" w:type="dxa"/>
            </w:tcMar>
          </w:tcPr>
          <w:p>
            <w:pPr>
              <w:spacing w:after="0"/>
              <w:jc w:val="left"/>
            </w:pPr>
            <w:r>
              <w:rPr>
                <w:rFonts w:ascii="Arial" w:hAnsi="Arial"/>
                <w:b/>
                <w:color w:val="FFFFFF"/>
                <w:sz w:val="17"/>
              </w:rPr>
              <w:t>Referencia</w:t>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Capítulo 1</w:t>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Resumen Ejecutivo y Objetivos del Proyecto</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Pág. 3</w:t>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Capítulo 2</w:t>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Especificación Formal de Requerimientos de Software (IEEE 830)</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Pág. 4</w:t>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2.1 Requerimientos Funcionales del Sistema (RF-01 a RF-22)</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2.2 Requerimientos No Funcionales del Sistema (RNF-01 a RNF-10)</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2.3 Matriz de Trazabilidad Requerimientos vs Componentes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Capítulo 3</w:t>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Arquitectura del Sistema y Stack Tecnológico de Vanguardia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Pág. 7</w:t>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Capítulo 4</w:t>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Modelado de Datos, Gráfica ERD y Diccionario de Entidades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Pág. 9</w:t>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4.1 Diagrama Gráfico Entidad-Relación (PostgreSQL 16)</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4.2 Análisis de Cardinalidades y Reglas de Integridad Referencial</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4.3 Diccionario Detallado de Tablas y Atributos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Capítulo 5</w:t>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Descripción Funcional Detallada de Módulos Implementados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Pág. 12</w:t>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5.1 Portal Público, Identidad Académica y Vitrina de Convocatorias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5.2 Módulo de Registro y Validación Rigurosa de Identidad (DNI/Celular)</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5.3 Pasarela de Pago Yape y Subida Inteligente de Comprobantes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5.4 Panel de Control del Participante (Mis Cursos, Meet, WhatsApp)</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5.5 Panel de Administración y Gestión Académica Integral</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5.6 Módulo Oficial de Certificación Digital y Validación Pública QR</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5.7 Generador y Estudio Oficial de Afiches Publicitarios (Flyer Studio)</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Capítulo 6</w:t>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Seguridad Informática, Rendimiento y Buenas Prácticas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Pág. 18</w:t>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Capítulo 7</w:t>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Infraestructura Cloud, Despliegue Continuo y Mantenimiento</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Pág. 20</w:t>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Capítulo 8</w:t>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Aseguramiento de Calidad y Pruebas Automatizadas (100%)</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Pág. 22</w:t>
            </w:r>
          </w:p>
        </w:tc>
      </w:tr>
      <w:tr>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Capítulo 9</w:t>
            </w:r>
          </w:p>
        </w:tc>
        <w:tc>
          <w:tcPr>
            <w:tcW w:type="dxa" w:w="5760"/>
            <w:shd w:fill="F8FAFC"/>
            <w:tcMar>
              <w:top w:w="100" w:type="dxa"/>
              <w:bottom w:w="100" w:type="dxa"/>
              <w:left w:w="120" w:type="dxa"/>
              <w:right w:w="120" w:type="dxa"/>
            </w:tcMar>
          </w:tcPr>
          <w:p>
            <w:pPr>
              <w:spacing w:after="0" w:line="276" w:lineRule="auto"/>
              <w:jc w:val="left"/>
            </w:pPr>
            <w:r>
              <w:rPr>
                <w:rFonts w:ascii="Arial" w:hAnsi="Arial"/>
                <w:color w:val="334155"/>
                <w:sz w:val="16"/>
              </w:rPr>
              <w:t>Conclusiones, Impacto Institucional y Recomendaciones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Pág. 23</w:t>
            </w:r>
          </w:p>
        </w:tc>
      </w:tr>
      <w:tr>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Sección Final</w:t>
            </w:r>
          </w:p>
        </w:tc>
        <w:tc>
          <w:tcPr>
            <w:tcW w:type="dxa" w:w="5760"/>
            <w:shd w:fill="FFFFFF"/>
            <w:tcMar>
              <w:top w:w="100" w:type="dxa"/>
              <w:bottom w:w="100" w:type="dxa"/>
              <w:left w:w="120" w:type="dxa"/>
              <w:right w:w="120" w:type="dxa"/>
            </w:tcMar>
          </w:tcPr>
          <w:p>
            <w:pPr>
              <w:spacing w:after="0" w:line="276" w:lineRule="auto"/>
              <w:jc w:val="left"/>
            </w:pPr>
            <w:r>
              <w:rPr>
                <w:rFonts w:ascii="Arial" w:hAnsi="Arial"/>
                <w:color w:val="334155"/>
                <w:sz w:val="16"/>
              </w:rPr>
              <w:t>Constancia Institucional de Conformidad y Firmas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Pág. 24</w:t>
            </w:r>
          </w:p>
        </w:tc>
      </w:tr>
    </w:tbl>
    <w:p>
      <w:pPr>
        <w:spacing w:before="60" w:after="60"/>
      </w:pPr>
    </w:p>
    <w:p>
      <w:r>
        <w:br w:type="page"/>
      </w:r>
    </w:p>
    <w:p>
      <w:pPr>
        <w:keepNext/>
        <w:spacing w:before="440" w:after="120"/>
      </w:pPr>
      <w:r>
        <w:rPr>
          <w:rFonts w:ascii="Arial" w:hAnsi="Arial"/>
          <w:b/>
          <w:color w:val="6D1A24"/>
          <w:sz w:val="28"/>
        </w:rPr>
        <w:t>CAPÍTULO 1: RESUMEN EJECUTIVO Y OBJETIVOS DEL PROYECTO</w:t>
      </w:r>
    </w:p>
    <w:p>
      <w:pPr>
        <w:keepNext/>
        <w:spacing w:before="280" w:after="80"/>
      </w:pPr>
      <w:r>
        <w:rPr>
          <w:rFonts w:ascii="Arial" w:hAnsi="Arial"/>
          <w:b/>
          <w:color w:val="1E293B"/>
          <w:sz w:val="23"/>
        </w:rPr>
        <w:t>1.1 Introducción</w:t>
      </w:r>
    </w:p>
    <w:p>
      <w:pPr>
        <w:spacing w:line="276" w:lineRule="auto" w:after="100"/>
        <w:jc w:val="both"/>
      </w:pPr>
      <w:r>
        <w:rPr>
          <w:rFonts w:ascii="Arial" w:hAnsi="Arial"/>
          <w:color w:val="334155"/>
          <w:sz w:val="19"/>
        </w:rPr>
        <w:t>El presente informe técnico expone el diseño, desarrollo, modelado de base de datos, pruebas y puesta en producción del Sistema Web Oficial de Gestión Académica, Inscripciones y Certificación Digital para el Instituto de Investigación en Inteligencia Computacional y Ciencia de Datos (IIICCD), órgano adscrito a la Facultad de Ingeniería Estadística e Informática (FINESI) de la Universidad Nacional del Altiplano de Puno (UNA Puno).</w:t>
      </w:r>
    </w:p>
    <w:p>
      <w:pPr>
        <w:keepNext/>
        <w:spacing w:before="280" w:after="80"/>
      </w:pPr>
      <w:r>
        <w:rPr>
          <w:rFonts w:ascii="Arial" w:hAnsi="Arial"/>
          <w:b/>
          <w:color w:val="1E293B"/>
          <w:sz w:val="23"/>
        </w:rPr>
        <w:t>1.2 Justificación Institucional y Problemática Previa</w:t>
      </w:r>
    </w:p>
    <w:p>
      <w:pPr>
        <w:spacing w:line="276" w:lineRule="auto" w:after="100"/>
        <w:jc w:val="both"/>
      </w:pPr>
      <w:r>
        <w:rPr>
          <w:rFonts w:ascii="Arial" w:hAnsi="Arial"/>
          <w:color w:val="334155"/>
          <w:sz w:val="19"/>
        </w:rPr>
        <w:t>Con anterioridad a la implementación del sistema, los procesos del instituto presentaban las siguientes debilidades críticas:</w:t>
      </w:r>
    </w:p>
    <w:p>
      <w:pPr>
        <w:pStyle w:val="ListBullet"/>
        <w:spacing w:line="276" w:lineRule="auto" w:after="60"/>
        <w:jc w:val="both"/>
      </w:pPr>
      <w:r>
        <w:rPr>
          <w:rFonts w:ascii="Arial" w:hAnsi="Arial"/>
          <w:b/>
          <w:color w:val="1E293B"/>
          <w:sz w:val="19"/>
        </w:rPr>
        <w:t xml:space="preserve">Matrícula Manual: </w:t>
      </w:r>
      <w:r>
        <w:rPr>
          <w:rFonts w:ascii="Arial" w:hAnsi="Arial"/>
          <w:color w:val="334155"/>
          <w:sz w:val="19"/>
        </w:rPr>
        <w:t>Dispersión de inscripciones en Google Forms y mensajes privados de WhatsApp, causando descontrol y pérdida de información.</w:t>
      </w:r>
    </w:p>
    <w:p>
      <w:pPr>
        <w:pStyle w:val="ListBullet"/>
        <w:spacing w:line="276" w:lineRule="auto" w:after="60"/>
        <w:jc w:val="both"/>
      </w:pPr>
      <w:r>
        <w:rPr>
          <w:rFonts w:ascii="Arial" w:hAnsi="Arial"/>
          <w:b/>
          <w:color w:val="1E293B"/>
          <w:sz w:val="19"/>
        </w:rPr>
        <w:t xml:space="preserve">Auditoría Financiera Ineficiente: </w:t>
      </w:r>
      <w:r>
        <w:rPr>
          <w:rFonts w:ascii="Arial" w:hAnsi="Arial"/>
          <w:color w:val="334155"/>
          <w:sz w:val="19"/>
        </w:rPr>
        <w:t>Cotejo manual de vouchers de Yape en chats, con alto riesgo de reutilización fraudulenta o montos no coincidentes.</w:t>
      </w:r>
    </w:p>
    <w:p>
      <w:pPr>
        <w:pStyle w:val="ListBullet"/>
        <w:spacing w:line="276" w:lineRule="auto" w:after="60"/>
        <w:jc w:val="both"/>
      </w:pPr>
      <w:r>
        <w:rPr>
          <w:rFonts w:ascii="Arial" w:hAnsi="Arial"/>
          <w:b/>
          <w:color w:val="1E293B"/>
          <w:sz w:val="19"/>
        </w:rPr>
        <w:t xml:space="preserve">Emisión Vulnerable: </w:t>
      </w:r>
      <w:r>
        <w:rPr>
          <w:rFonts w:ascii="Arial" w:hAnsi="Arial"/>
          <w:color w:val="334155"/>
          <w:sz w:val="19"/>
        </w:rPr>
        <w:t>Elaboración manual de certificados en software de diseño gráfico, con demoras de semanas y errores tipográficos en nombres y DNI.</w:t>
      </w:r>
    </w:p>
    <w:p>
      <w:pPr>
        <w:pStyle w:val="ListBullet"/>
        <w:spacing w:line="276" w:lineRule="auto" w:after="60"/>
        <w:jc w:val="both"/>
      </w:pPr>
      <w:r>
        <w:rPr>
          <w:rFonts w:ascii="Arial" w:hAnsi="Arial"/>
          <w:b/>
          <w:color w:val="1E293B"/>
          <w:sz w:val="19"/>
        </w:rPr>
        <w:t xml:space="preserve">Cero Trazabilidad Pública: </w:t>
      </w:r>
      <w:r>
        <w:rPr>
          <w:rFonts w:ascii="Arial" w:hAnsi="Arial"/>
          <w:color w:val="334155"/>
          <w:sz w:val="19"/>
        </w:rPr>
        <w:t>Inexistencia de un portal público de consulta QR para que empleadores y universidades verifiquen la autenticidad de los diplomas.</w:t>
      </w:r>
    </w:p>
    <w:p>
      <w:pPr>
        <w:keepNext/>
        <w:spacing w:before="280" w:after="80"/>
      </w:pPr>
      <w:r>
        <w:rPr>
          <w:rFonts w:ascii="Arial" w:hAnsi="Arial"/>
          <w:b/>
          <w:color w:val="1E293B"/>
          <w:sz w:val="23"/>
        </w:rPr>
        <w:t>1.3 Objetivos del Proyecto</w:t>
      </w:r>
    </w:p>
    <w:p>
      <w:pPr>
        <w:spacing w:line="276" w:lineRule="auto" w:after="100"/>
        <w:jc w:val="both"/>
      </w:pPr>
      <w:r>
        <w:rPr>
          <w:rFonts w:ascii="Arial" w:hAnsi="Arial"/>
          <w:color w:val="334155"/>
          <w:sz w:val="19"/>
        </w:rPr>
        <w:t>Objetivo General:</w:t>
      </w:r>
    </w:p>
    <w:p>
      <w:pPr>
        <w:spacing w:line="276" w:lineRule="auto" w:after="100"/>
        <w:jc w:val="both"/>
      </w:pPr>
      <w:r>
        <w:rPr>
          <w:rFonts w:ascii="Arial" w:hAnsi="Arial"/>
          <w:color w:val="334155"/>
          <w:sz w:val="19"/>
        </w:rPr>
        <w:t>Desarrollar e implementar una plataforma web institucional integral para el IIICCD - UNA Puno que automatice la gestión de cursos, el proceso de inscripción y pago mediante Yape, el control de accesos a clases virtuales y la emisión de certificados digitales auditables con validación QR.</w:t>
      </w:r>
    </w:p>
    <w:p>
      <w:pPr>
        <w:spacing w:line="276" w:lineRule="auto" w:after="100"/>
        <w:jc w:val="both"/>
      </w:pPr>
      <w:r>
        <w:rPr>
          <w:rFonts w:ascii="Arial" w:hAnsi="Arial"/>
          <w:color w:val="334155"/>
          <w:sz w:val="19"/>
        </w:rPr>
        <w:t>Objetivos Específicos:</w:t>
      </w:r>
    </w:p>
    <w:p>
      <w:pPr>
        <w:pStyle w:val="ListBullet"/>
        <w:spacing w:line="276" w:lineRule="auto" w:after="60"/>
        <w:jc w:val="both"/>
      </w:pPr>
      <w:r>
        <w:rPr>
          <w:rFonts w:ascii="Arial" w:hAnsi="Arial"/>
          <w:color w:val="334155"/>
          <w:sz w:val="19"/>
        </w:rPr>
        <w:t>Levantar y documentar formalmente los requerimientos funcionales y no funcionales bajo el estándar internacional IEEE 830.</w:t>
      </w:r>
    </w:p>
    <w:p>
      <w:pPr>
        <w:pStyle w:val="ListBullet"/>
        <w:spacing w:line="276" w:lineRule="auto" w:after="60"/>
        <w:jc w:val="both"/>
      </w:pPr>
      <w:r>
        <w:rPr>
          <w:rFonts w:ascii="Arial" w:hAnsi="Arial"/>
          <w:color w:val="334155"/>
          <w:sz w:val="19"/>
        </w:rPr>
        <w:t>Diseñar y normalizar el modelo de base de datos relacional en PostgreSQL 16 con integridad referencial e índices optimizados.</w:t>
      </w:r>
    </w:p>
    <w:p>
      <w:pPr>
        <w:pStyle w:val="ListBullet"/>
        <w:spacing w:line="276" w:lineRule="auto" w:after="60"/>
        <w:jc w:val="both"/>
      </w:pPr>
      <w:r>
        <w:rPr>
          <w:rFonts w:ascii="Arial" w:hAnsi="Arial"/>
          <w:color w:val="334155"/>
          <w:sz w:val="19"/>
        </w:rPr>
        <w:t>Implementar la pasarela de pago Yape con carga segura de vouchers y compresión automática en el navegador (Canvas).</w:t>
      </w:r>
    </w:p>
    <w:p>
      <w:pPr>
        <w:pStyle w:val="ListBullet"/>
        <w:spacing w:line="276" w:lineRule="auto" w:after="60"/>
        <w:jc w:val="both"/>
      </w:pPr>
      <w:r>
        <w:rPr>
          <w:rFonts w:ascii="Arial" w:hAnsi="Arial"/>
          <w:color w:val="334155"/>
          <w:sz w:val="19"/>
        </w:rPr>
        <w:t>Construir el generador y estudio oficial de afiches (Flyer Studio) con 3 temas institucionales y descarga PNG a 2.5x.</w:t>
      </w:r>
    </w:p>
    <w:p>
      <w:pPr>
        <w:pStyle w:val="ListBullet"/>
        <w:spacing w:line="276" w:lineRule="auto" w:after="60"/>
        <w:jc w:val="both"/>
      </w:pPr>
      <w:r>
        <w:rPr>
          <w:rFonts w:ascii="Arial" w:hAnsi="Arial"/>
          <w:color w:val="334155"/>
          <w:sz w:val="19"/>
        </w:rPr>
        <w:t>Desarrollar el motor de diplomas PDF con OpenPDF (marcas de agua vectoriales, firmas oficiales y código QR de validación pública).</w:t>
      </w:r>
    </w:p>
    <w:p>
      <w:pPr>
        <w:pStyle w:val="ListBullet"/>
        <w:spacing w:line="276" w:lineRule="auto" w:after="60"/>
        <w:jc w:val="both"/>
      </w:pPr>
      <w:r>
        <w:rPr>
          <w:rFonts w:ascii="Arial" w:hAnsi="Arial"/>
          <w:color w:val="334155"/>
          <w:sz w:val="19"/>
        </w:rPr>
        <w:t>Desplegar la infraestructura en la nube con Docker multi-stage, Neon PostgreSQL Serverless y Cloudinary CDN.</w:t>
      </w:r>
    </w:p>
    <w:p>
      <w:r>
        <w:br w:type="page"/>
      </w:r>
    </w:p>
    <w:p>
      <w:pPr>
        <w:keepNext/>
        <w:spacing w:before="440" w:after="120"/>
      </w:pPr>
      <w:r>
        <w:rPr>
          <w:rFonts w:ascii="Arial" w:hAnsi="Arial"/>
          <w:b/>
          <w:color w:val="6D1A24"/>
          <w:sz w:val="28"/>
        </w:rPr>
        <w:t>CAPÍTULO 2: ESPECIFICACIÓN FORMAL DE REQUERIMIENTOS DE SOFTWARE (IEEE 830)</w:t>
      </w:r>
    </w:p>
    <w:p>
      <w:pPr>
        <w:keepNext/>
        <w:spacing w:before="280" w:after="80"/>
      </w:pPr>
      <w:r>
        <w:rPr>
          <w:rFonts w:ascii="Arial" w:hAnsi="Arial"/>
          <w:b/>
          <w:color w:val="1E293B"/>
          <w:sz w:val="23"/>
        </w:rPr>
        <w:t>2.1 Metodología de Requerimientos</w:t>
      </w:r>
    </w:p>
    <w:p>
      <w:pPr>
        <w:spacing w:line="276" w:lineRule="auto" w:after="100"/>
        <w:jc w:val="both"/>
      </w:pPr>
      <w:r>
        <w:rPr>
          <w:rFonts w:ascii="Arial" w:hAnsi="Arial"/>
          <w:color w:val="334155"/>
          <w:sz w:val="19"/>
        </w:rPr>
        <w:t>Para garantizar un desarrollo riguroso y alineado con los estándares de ingeniería de software, los requerimientos del sistema fueron especificados siguiendo la norma internacional IEEE 830 (Recommended Practice for Software Requirements Specifications). Se clasificaron en Requerimientos Funcionales (RF), que definen el comportamiento y servicios del sistema, y Requerimientos No Funcionales (RNF), que establecen los atributos de calidad, rendimiento, seguridad y restricciones de la plataforma.</w:t>
      </w:r>
    </w:p>
    <w:p>
      <w:pPr>
        <w:keepNext/>
        <w:spacing w:before="280" w:after="80"/>
      </w:pPr>
      <w:r>
        <w:rPr>
          <w:rFonts w:ascii="Arial" w:hAnsi="Arial"/>
          <w:b/>
          <w:color w:val="1E293B"/>
          <w:sz w:val="23"/>
        </w:rPr>
        <w:t>2.2 Catálogo de Requerimientos Funcionales (RF)</w:t>
      </w:r>
    </w:p>
    <w:p>
      <w:pPr>
        <w:spacing w:line="276" w:lineRule="auto" w:after="100"/>
        <w:jc w:val="both"/>
      </w:pPr>
      <w:r>
        <w:rPr>
          <w:rFonts w:ascii="Arial" w:hAnsi="Arial"/>
          <w:color w:val="334155"/>
          <w:sz w:val="19"/>
        </w:rPr>
        <w:t>A continuación, se presenta la matriz completa de los 22 requerimientos funcionales implementados y verificados al 100%:</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758"/>
        <w:gridCol w:w="1758"/>
        <w:gridCol w:w="1758"/>
        <w:gridCol w:w="1758"/>
        <w:gridCol w:w="1758"/>
      </w:tblGrid>
      <w:tr>
        <w:tc>
          <w:tcPr>
            <w:tcW w:type="dxa" w:w="1152"/>
            <w:shd w:fill="6D1A24"/>
            <w:tcMar>
              <w:top w:w="140" w:type="dxa"/>
              <w:bottom w:w="140" w:type="dxa"/>
              <w:left w:w="120" w:type="dxa"/>
              <w:right w:w="120" w:type="dxa"/>
            </w:tcMar>
          </w:tcPr>
          <w:p>
            <w:pPr>
              <w:spacing w:after="0"/>
              <w:jc w:val="left"/>
            </w:pPr>
            <w:r>
              <w:rPr>
                <w:rFonts w:ascii="Arial" w:hAnsi="Arial"/>
                <w:b/>
                <w:color w:val="FFFFFF"/>
                <w:sz w:val="17"/>
              </w:rPr>
              <w:t>Código</w:t>
            </w:r>
          </w:p>
        </w:tc>
        <w:tc>
          <w:tcPr>
            <w:tcW w:type="dxa" w:w="1728"/>
            <w:shd w:fill="6D1A24"/>
            <w:tcMar>
              <w:top w:w="140" w:type="dxa"/>
              <w:bottom w:w="140" w:type="dxa"/>
              <w:left w:w="120" w:type="dxa"/>
              <w:right w:w="120" w:type="dxa"/>
            </w:tcMar>
          </w:tcPr>
          <w:p>
            <w:pPr>
              <w:spacing w:after="0"/>
              <w:jc w:val="left"/>
            </w:pPr>
            <w:r>
              <w:rPr>
                <w:rFonts w:ascii="Arial" w:hAnsi="Arial"/>
                <w:b/>
                <w:color w:val="FFFFFF"/>
                <w:sz w:val="17"/>
              </w:rPr>
              <w:t>Módulo</w:t>
            </w:r>
          </w:p>
        </w:tc>
        <w:tc>
          <w:tcPr>
            <w:tcW w:type="dxa" w:w="4320"/>
            <w:shd w:fill="6D1A24"/>
            <w:tcMar>
              <w:top w:w="140" w:type="dxa"/>
              <w:bottom w:w="140" w:type="dxa"/>
              <w:left w:w="120" w:type="dxa"/>
              <w:right w:w="120" w:type="dxa"/>
            </w:tcMar>
          </w:tcPr>
          <w:p>
            <w:pPr>
              <w:spacing w:after="0"/>
              <w:jc w:val="left"/>
            </w:pPr>
            <w:r>
              <w:rPr>
                <w:rFonts w:ascii="Arial" w:hAnsi="Arial"/>
                <w:b/>
                <w:color w:val="FFFFFF"/>
                <w:sz w:val="17"/>
              </w:rPr>
              <w:t>Descripción del Requerimiento Funcional</w:t>
            </w:r>
          </w:p>
        </w:tc>
        <w:tc>
          <w:tcPr>
            <w:tcW w:type="dxa" w:w="1152"/>
            <w:shd w:fill="6D1A24"/>
            <w:tcMar>
              <w:top w:w="140" w:type="dxa"/>
              <w:bottom w:w="140" w:type="dxa"/>
              <w:left w:w="120" w:type="dxa"/>
              <w:right w:w="120" w:type="dxa"/>
            </w:tcMar>
          </w:tcPr>
          <w:p>
            <w:pPr>
              <w:spacing w:after="0"/>
              <w:jc w:val="left"/>
            </w:pPr>
            <w:r>
              <w:rPr>
                <w:rFonts w:ascii="Arial" w:hAnsi="Arial"/>
                <w:b/>
                <w:color w:val="FFFFFF"/>
                <w:sz w:val="17"/>
              </w:rPr>
              <w:t>Prioridad</w:t>
            </w:r>
          </w:p>
        </w:tc>
        <w:tc>
          <w:tcPr>
            <w:tcW w:type="dxa" w:w="1152"/>
            <w:shd w:fill="6D1A24"/>
            <w:tcMar>
              <w:top w:w="140" w:type="dxa"/>
              <w:bottom w:w="140" w:type="dxa"/>
              <w:left w:w="120" w:type="dxa"/>
              <w:right w:w="120" w:type="dxa"/>
            </w:tcMar>
          </w:tcPr>
          <w:p>
            <w:pPr>
              <w:spacing w:after="0"/>
              <w:jc w:val="left"/>
            </w:pPr>
            <w:r>
              <w:rPr>
                <w:rFonts w:ascii="Arial" w:hAnsi="Arial"/>
                <w:b/>
                <w:color w:val="FFFFFF"/>
                <w:sz w:val="17"/>
              </w:rPr>
              <w:t>Actor</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RF-01</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Portal Público</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Visualización de la página principal con presentación institucional, estadísticas, marcas de agua del isotipo neural y vitrina flotante del afiche oficial más reciente.</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Público</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RF-02</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Catálogo Académico</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Exploración y filtrado interactivo de cursos y convocatorias activas clasificadas por Líneas de Investigación (Inteligencia Computacional, Ciencia de Datos, Tecnologías Emergentes).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Público</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RF-03</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Ficha del Curso</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Visualización del perfil del ponente (foto, grado y cargo), temario, carga horaria, créditos universitarios y tarifas diferenciadas (Comunidad UNA vs General).</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Público</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RF-04</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Registro Estricto</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Registro de usuarios con validación obligatoria de DNI peruano (exactamente 8 dígitos numéricos) o documento extranjero (hasta 12 alfanuméricos) y teléfono móvil peruano (9 dígitos).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Postulante</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RF-05</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Autenticación y Sesión</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Inicio de sesión seguro mediante correo y contraseña encriptada con BCrypt, con redirección automática basada en roles (Participante vs Administrador).</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Todos</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RF-06</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Solicitud de Matrícula</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Iniciación de matrícula en un curso publicado con validación de vacantes disponibles y bloqueo formal de postulaciones duplicadas.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Participante</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RF-07</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Pasarela Yape Dinámica</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Presentación de instrucciones de pago con código QR, número telefónico institucional y titular configurables dinámicamente desde el panel administrativo.</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Participante</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RF-08</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Carga de Comprobante</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Subida de la captura del voucher de Yape con autocompresión en cliente (HTML5 Canvas) a ~250KB y registro obligatorio del número de operación bancario.</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Participante</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RF-09</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Panel del Participante</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Dashboard personal que lista el estado de todas las inscripciones del estudiante (`Pendiente`, `En Verificación`, `Aprobada`, `Rechazada`, `Completada`).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Participante</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RF-10</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Acceso a Sala Virtual</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Habilitación automática y protegida de los botones `📹 Unirse a la Clase (Zoom/Meet)` y `💬 Grupo de WhatsApp` exclusivamente para alumnos con pago aprobado.</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Participante</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RF-11</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Descarga de Diplomas</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Visualización web del diploma digital de honor y descarga directa del certificado oficial en formato PDF de alta resolución firmado por la directiva.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Participante</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RF-12</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Dashboard Ejecutivo</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Panel con indicadores analíticos en tiempo real: cursos activos, pagos pendientes, alumnos aprobados, diplomas emitidos, usuarios registrados y mensajes nuevos.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Administrador</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RF-13</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Gestión de Cursos (CRUD)</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Creación, edición y control de estado de cursos (`Borrador`, `Publicado`, `En Curso`, `Finalizado`), precios diferenciados, cupos, enlaces virtuales y afiches.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Administrador</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RF-14</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Auditoría de Vouchers</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Bandeja de verificación de pagos con inspección visual del voucher en alta definición, aprobación con descuento automático de cupos, o rechazo motivado.</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Administrador</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RF-15</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Alertas Asíncronas Mail</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Despacho de notificaciones por correo electrónico al estudiante al registrarse el voucher, al ser aprobado (con enlace a clase) o al ser observado.</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Media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Sistema</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RF-16</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Directorio de Usuarios</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Módulo paginado con buscador por nombre, DNI o correo, filtros por curso o sin cursos, y botón para enlace directo a conversación de WhatsApp institucional.</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Media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Administrador</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RF-17</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Exportación a Excel</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Descarga con un clic del padrón oficial de inscritos por curso en archivo CSV/Excel con codificación UTF-8 BOM para soporte nativo de tildes en Microsoft Excel.</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Administrador</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RF-18</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Flyer Studio Oficial</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Generador interactivo de afiches publicitarios con 3 temas institucionales (Granate, Cyber Dark, Esmeralda), recorte circular de foto y renderizado PNG 2.5x.</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Media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Administrador</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RF-19</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Certificación Inmutable</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Emisión automatizada de certificados al completar el curso, creando un snapshot histórico inmutable de los datos del estudiante, curso, ponente y créditos.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Sistema</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RF-20</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Validación Pública QR</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Portal público `/verificar` y `/verificar/{codigo}` que permite a empleadores escanear el QR o ingresar el código alfanumérico para certificar autenticidad.</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Alta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Público</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RF-21</w:t>
            </w:r>
          </w:p>
        </w:tc>
        <w:tc>
          <w:tcPr>
            <w:tcW w:type="dxa" w:w="1728"/>
            <w:shd w:fill="FFFFFF"/>
            <w:tcMar>
              <w:top w:w="100" w:type="dxa"/>
              <w:bottom w:w="100" w:type="dxa"/>
              <w:left w:w="120" w:type="dxa"/>
              <w:right w:w="120" w:type="dxa"/>
            </w:tcMar>
          </w:tcPr>
          <w:p>
            <w:pPr>
              <w:spacing w:after="0" w:line="276" w:lineRule="auto"/>
              <w:jc w:val="left"/>
            </w:pPr>
            <w:r>
              <w:rPr>
                <w:rFonts w:ascii="Arial" w:hAnsi="Arial"/>
                <w:color w:val="334155"/>
                <w:sz w:val="16"/>
              </w:rPr>
              <w:t>Centro de Mensajes</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Procesamiento de consultas ciudadanas desde `/contacto`, con registro en base de datos, notificación por correo y respuestas directas vía mail o WhatsApp.</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Media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Público/Admin</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RF-22</w:t>
            </w:r>
          </w:p>
        </w:tc>
        <w:tc>
          <w:tcPr>
            <w:tcW w:type="dxa" w:w="1728"/>
            <w:shd w:fill="F8FAFC"/>
            <w:tcMar>
              <w:top w:w="100" w:type="dxa"/>
              <w:bottom w:w="100" w:type="dxa"/>
              <w:left w:w="120" w:type="dxa"/>
              <w:right w:w="120" w:type="dxa"/>
            </w:tcMar>
          </w:tcPr>
          <w:p>
            <w:pPr>
              <w:spacing w:after="0" w:line="276" w:lineRule="auto"/>
              <w:jc w:val="left"/>
            </w:pPr>
            <w:r>
              <w:rPr>
                <w:rFonts w:ascii="Arial" w:hAnsi="Arial"/>
                <w:color w:val="334155"/>
                <w:sz w:val="16"/>
              </w:rPr>
              <w:t>Configuración de Cobros</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Módulo administrativo para modificar el número de Yape, titular y cargar un nuevo código QR sin reiniciar la aplicación ni tocar código.</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Media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Administrador</w:t>
            </w:r>
          </w:p>
        </w:tc>
      </w:tr>
    </w:tbl>
    <w:p>
      <w:pPr>
        <w:spacing w:before="60" w:after="60"/>
      </w:pPr>
    </w:p>
    <w:p>
      <w:pPr>
        <w:keepNext/>
        <w:spacing w:before="280" w:after="80"/>
      </w:pPr>
      <w:r>
        <w:rPr>
          <w:rFonts w:ascii="Arial" w:hAnsi="Arial"/>
          <w:b/>
          <w:color w:val="1E293B"/>
          <w:sz w:val="23"/>
        </w:rPr>
        <w:t>2.3 Catálogo de Requerimientos No Funcionales (RNF)</w:t>
      </w:r>
    </w:p>
    <w:p>
      <w:pPr>
        <w:spacing w:line="276" w:lineRule="auto" w:after="100"/>
        <w:jc w:val="both"/>
      </w:pPr>
      <w:r>
        <w:rPr>
          <w:rFonts w:ascii="Arial" w:hAnsi="Arial"/>
          <w:color w:val="334155"/>
          <w:sz w:val="19"/>
        </w:rPr>
        <w:t>A continuación, se especifican los 10 requerimientos no funcionales y atributos de calidad del sistema: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197"/>
        <w:gridCol w:w="2197"/>
        <w:gridCol w:w="2197"/>
        <w:gridCol w:w="2197"/>
      </w:tblGrid>
      <w:tr>
        <w:tc>
          <w:tcPr>
            <w:tcW w:type="dxa" w:w="1152"/>
            <w:shd w:fill="6D1A24"/>
            <w:tcMar>
              <w:top w:w="140" w:type="dxa"/>
              <w:bottom w:w="140" w:type="dxa"/>
              <w:left w:w="120" w:type="dxa"/>
              <w:right w:w="120" w:type="dxa"/>
            </w:tcMar>
          </w:tcPr>
          <w:p>
            <w:pPr>
              <w:spacing w:after="0"/>
              <w:jc w:val="left"/>
            </w:pPr>
            <w:r>
              <w:rPr>
                <w:rFonts w:ascii="Arial" w:hAnsi="Arial"/>
                <w:b/>
                <w:color w:val="FFFFFF"/>
                <w:sz w:val="17"/>
              </w:rPr>
              <w:t>Código</w:t>
            </w:r>
          </w:p>
        </w:tc>
        <w:tc>
          <w:tcPr>
            <w:tcW w:type="dxa" w:w="2016"/>
            <w:shd w:fill="6D1A24"/>
            <w:tcMar>
              <w:top w:w="140" w:type="dxa"/>
              <w:bottom w:w="140" w:type="dxa"/>
              <w:left w:w="120" w:type="dxa"/>
              <w:right w:w="120" w:type="dxa"/>
            </w:tcMar>
          </w:tcPr>
          <w:p>
            <w:pPr>
              <w:spacing w:after="0"/>
              <w:jc w:val="left"/>
            </w:pPr>
            <w:r>
              <w:rPr>
                <w:rFonts w:ascii="Arial" w:hAnsi="Arial"/>
                <w:b/>
                <w:color w:val="FFFFFF"/>
                <w:sz w:val="17"/>
              </w:rPr>
              <w:t>Categoría</w:t>
            </w:r>
          </w:p>
        </w:tc>
        <w:tc>
          <w:tcPr>
            <w:tcW w:type="dxa" w:w="4032"/>
            <w:shd w:fill="6D1A24"/>
            <w:tcMar>
              <w:top w:w="140" w:type="dxa"/>
              <w:bottom w:w="140" w:type="dxa"/>
              <w:left w:w="120" w:type="dxa"/>
              <w:right w:w="120" w:type="dxa"/>
            </w:tcMar>
          </w:tcPr>
          <w:p>
            <w:pPr>
              <w:spacing w:after="0"/>
              <w:jc w:val="left"/>
            </w:pPr>
            <w:r>
              <w:rPr>
                <w:rFonts w:ascii="Arial" w:hAnsi="Arial"/>
                <w:b/>
                <w:color w:val="FFFFFF"/>
                <w:sz w:val="17"/>
              </w:rPr>
              <w:t>Descripción y Criterio de Aceptación</w:t>
            </w:r>
          </w:p>
        </w:tc>
        <w:tc>
          <w:tcPr>
            <w:tcW w:type="dxa" w:w="2016"/>
            <w:shd w:fill="6D1A24"/>
            <w:tcMar>
              <w:top w:w="140" w:type="dxa"/>
              <w:bottom w:w="140" w:type="dxa"/>
              <w:left w:w="120" w:type="dxa"/>
              <w:right w:w="120" w:type="dxa"/>
            </w:tcMar>
          </w:tcPr>
          <w:p>
            <w:pPr>
              <w:spacing w:after="0"/>
              <w:jc w:val="left"/>
            </w:pPr>
            <w:r>
              <w:rPr>
                <w:rFonts w:ascii="Arial" w:hAnsi="Arial"/>
                <w:b/>
                <w:color w:val="FFFFFF"/>
                <w:sz w:val="17"/>
              </w:rPr>
              <w:t>Métrica / Estándar</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RNF-01</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Rendimiento</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Tiempo de respuesta en navegación inferior a 100 ms gracias a prefetching predictivo en frontend y caché en memoria RAM en Spring Boot.</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Latencia &lt; 100 ms</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RNF-02</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Seguridad Criptográfica</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Almacenamiento de contraseñas mediante algoritmo hash BCrypt con factor de costo 10. Protección activa contra ataques CSRF y Clickjacking.</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BCrypt Cost 10 / CSRF On</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RNF-03</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Control de Acceso (RBAC)</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Separación estricta de privilegios basada en roles (`ROLE_PARTICIPANTE`, `ROLE_ADMIN`). Redirección y bloqueo inmediato a peticiones no autorizadas.</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Spring Security 6</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RNF-04</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Integridad Histórica</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Garantía de inmutabilidad de certificados emitidos mediante snapshots desacoplados de la entidad curso, impidiendo adulteraciones posteriores.</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Snapshot Inmutable</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RNF-05</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Disponibilidad Cloud</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Disponibilidad del servicio del 99.5% mediante contenedorización Docker en Render y base de datos distribuida serverless en Neon PostgreSQL.</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Uptime 99.5%</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RNF-06</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Resiliencia Multimedia</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Almacenamiento dual de afiches y comprobantes en Cloudinary CDN con fallback automático en disco local en caso de fallos de conexión externa.</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Dual Storage / Fallback</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RNF-07</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Diseño Responsivo</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Interfaz visual completamente adaptable a resoluciones móviles (smartphones), tablets y pantallas de escritorio (Desktop Full HD / 2K).</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WCAG 2.1 / Responsive</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RNF-08</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Estética Solemne</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Diseño sobrio y académico representativo de la UNA Puno, con erradicación total de emojis informales, empleando tipografía limpia e iconos SVG.</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Identidad UNA Puno</w:t>
            </w:r>
          </w:p>
        </w:tc>
      </w:tr>
      <w:tr>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RNF-09</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Compatibilidad de Datos</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Exportación de padrones en formato CSV delimitado por punto y coma con cabecera UTF-8 BOM, garantizando compatibilidad nativa con Microsoft Excel.</w:t>
            </w:r>
          </w:p>
        </w:tc>
        <w:tc>
          <w:tcPr>
            <w:tcW w:type="dxa" w:w="2016"/>
            <w:shd w:fill="FFFFFF"/>
            <w:tcMar>
              <w:top w:w="100" w:type="dxa"/>
              <w:bottom w:w="100" w:type="dxa"/>
              <w:left w:w="120" w:type="dxa"/>
              <w:right w:w="120" w:type="dxa"/>
            </w:tcMar>
          </w:tcPr>
          <w:p>
            <w:pPr>
              <w:spacing w:after="0" w:line="276" w:lineRule="auto"/>
              <w:jc w:val="left"/>
            </w:pPr>
            <w:r>
              <w:rPr>
                <w:rFonts w:ascii="Arial" w:hAnsi="Arial"/>
                <w:color w:val="334155"/>
                <w:sz w:val="16"/>
              </w:rPr>
              <w:t>RFC 4180 / UTF-8 BOM</w:t>
            </w:r>
          </w:p>
        </w:tc>
      </w:tr>
      <w:tr>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RNF-10</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Mantenibilidad</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Arquitectura en capas (Layered Architecture) con bajo acoplamiento y alta cohesión, documentada y respaldada por 30 pruebas automatizadas.</w:t>
            </w:r>
          </w:p>
        </w:tc>
        <w:tc>
          <w:tcPr>
            <w:tcW w:type="dxa" w:w="2016"/>
            <w:shd w:fill="F8FAFC"/>
            <w:tcMar>
              <w:top w:w="100" w:type="dxa"/>
              <w:bottom w:w="100" w:type="dxa"/>
              <w:left w:w="120" w:type="dxa"/>
              <w:right w:w="120" w:type="dxa"/>
            </w:tcMar>
          </w:tcPr>
          <w:p>
            <w:pPr>
              <w:spacing w:after="0" w:line="276" w:lineRule="auto"/>
              <w:jc w:val="left"/>
            </w:pPr>
            <w:r>
              <w:rPr>
                <w:rFonts w:ascii="Arial" w:hAnsi="Arial"/>
                <w:color w:val="334155"/>
                <w:sz w:val="16"/>
              </w:rPr>
              <w:t>JUnit 5 (100% Pass)</w:t>
            </w:r>
          </w:p>
        </w:tc>
      </w:tr>
    </w:tbl>
    <w:p>
      <w:pPr>
        <w:spacing w:before="60" w:after="60"/>
      </w:pPr>
    </w:p>
    <w:p>
      <w:r>
        <w:br w:type="page"/>
      </w:r>
    </w:p>
    <w:p>
      <w:pPr>
        <w:keepNext/>
        <w:spacing w:before="440" w:after="120"/>
      </w:pPr>
      <w:r>
        <w:rPr>
          <w:rFonts w:ascii="Arial" w:hAnsi="Arial"/>
          <w:b/>
          <w:color w:val="6D1A24"/>
          <w:sz w:val="28"/>
        </w:rPr>
        <w:t>CAPÍTULO 3: ARQUITECTURA DEL SISTEMA Y STACK TECNOLÓGICO</w:t>
      </w:r>
    </w:p>
    <w:p>
      <w:pPr>
        <w:keepNext/>
        <w:spacing w:before="280" w:after="80"/>
      </w:pPr>
      <w:r>
        <w:rPr>
          <w:rFonts w:ascii="Arial" w:hAnsi="Arial"/>
          <w:b/>
          <w:color w:val="1E293B"/>
          <w:sz w:val="23"/>
        </w:rPr>
        <w:t>3.1 Arquitectura en Capas (Layered MVC)</w:t>
      </w:r>
    </w:p>
    <w:p>
      <w:pPr>
        <w:spacing w:line="276" w:lineRule="auto" w:after="100"/>
        <w:jc w:val="both"/>
      </w:pPr>
      <w:r>
        <w:rPr>
          <w:rFonts w:ascii="Arial" w:hAnsi="Arial"/>
          <w:color w:val="334155"/>
          <w:sz w:val="19"/>
        </w:rPr>
        <w:t>El sistema fue construido bajo una arquitectura modular en capas que separa de forma nítida la interfaz de usuario, los controladores de flujo, la lógica de negocio y el acceso a datos relacionales:</w:t>
      </w:r>
    </w:p>
    <w:p>
      <w:pPr>
        <w:pStyle w:val="ListBullet"/>
        <w:spacing w:line="276" w:lineRule="auto" w:after="60"/>
        <w:jc w:val="both"/>
      </w:pPr>
      <w:r>
        <w:rPr>
          <w:rFonts w:ascii="Arial" w:hAnsi="Arial"/>
          <w:b/>
          <w:color w:val="1E293B"/>
          <w:sz w:val="19"/>
        </w:rPr>
        <w:t xml:space="preserve">Capa de Presentación: </w:t>
      </w:r>
      <w:r>
        <w:rPr>
          <w:rFonts w:ascii="Arial" w:hAnsi="Arial"/>
          <w:color w:val="334155"/>
          <w:sz w:val="19"/>
        </w:rPr>
        <w:t>Vistas Thymeleaf 3 con HTML5 semántico, CSS Modular (variables institucionales) y JavaScript Vanilla para máxima velocidad sin sobrecarga de frameworks.</w:t>
      </w:r>
    </w:p>
    <w:p>
      <w:pPr>
        <w:pStyle w:val="ListBullet"/>
        <w:spacing w:line="276" w:lineRule="auto" w:after="60"/>
        <w:jc w:val="both"/>
      </w:pPr>
      <w:r>
        <w:rPr>
          <w:rFonts w:ascii="Arial" w:hAnsi="Arial"/>
          <w:b/>
          <w:color w:val="1E293B"/>
          <w:sz w:val="19"/>
        </w:rPr>
        <w:t xml:space="preserve">Capa de Controladores: </w:t>
      </w:r>
      <w:r>
        <w:rPr>
          <w:rFonts w:ascii="Arial" w:hAnsi="Arial"/>
          <w:color w:val="334155"/>
          <w:sz w:val="19"/>
        </w:rPr>
        <w:t>Controladores Spring MVC organizados por contexto (`PublicController`, `AuthController`, `ParticipanteController`, `AdminCursoController`, `CertificadoController`).</w:t>
      </w:r>
    </w:p>
    <w:p>
      <w:pPr>
        <w:pStyle w:val="ListBullet"/>
        <w:spacing w:line="276" w:lineRule="auto" w:after="60"/>
        <w:jc w:val="both"/>
      </w:pPr>
      <w:r>
        <w:rPr>
          <w:rFonts w:ascii="Arial" w:hAnsi="Arial"/>
          <w:b/>
          <w:color w:val="1E293B"/>
          <w:sz w:val="19"/>
        </w:rPr>
        <w:t xml:space="preserve">Capa de Servicios de Negocio: </w:t>
      </w:r>
      <w:r>
        <w:rPr>
          <w:rFonts w:ascii="Arial" w:hAnsi="Arial"/>
          <w:color w:val="334155"/>
          <w:sz w:val="19"/>
        </w:rPr>
        <w:t>Servicios Spring (`CursoService`, `InscripcionService`, `PagoService`, `CertificadoService`, `CorreoService`) con control transaccional declarativo (`@Transactional`).</w:t>
      </w:r>
    </w:p>
    <w:p>
      <w:pPr>
        <w:pStyle w:val="ListBullet"/>
        <w:spacing w:line="276" w:lineRule="auto" w:after="60"/>
        <w:jc w:val="both"/>
      </w:pPr>
      <w:r>
        <w:rPr>
          <w:rFonts w:ascii="Arial" w:hAnsi="Arial"/>
          <w:b/>
          <w:color w:val="1E293B"/>
          <w:sz w:val="19"/>
        </w:rPr>
        <w:t xml:space="preserve">Capa de Acceso a Datos: </w:t>
      </w:r>
      <w:r>
        <w:rPr>
          <w:rFonts w:ascii="Arial" w:hAnsi="Arial"/>
          <w:color w:val="334155"/>
          <w:sz w:val="19"/>
        </w:rPr>
        <w:t>Repositorios Spring Data JPA basados en Hibernate 6 con consultas optimizadas mediante `JOIN FETCH` para eliminar el problema N+1.</w:t>
      </w:r>
    </w:p>
    <w:p>
      <w:pPr>
        <w:pStyle w:val="ListBullet"/>
        <w:spacing w:line="276" w:lineRule="auto" w:after="60"/>
        <w:jc w:val="both"/>
      </w:pPr>
      <w:r>
        <w:rPr>
          <w:rFonts w:ascii="Arial" w:hAnsi="Arial"/>
          <w:b/>
          <w:color w:val="1E293B"/>
          <w:sz w:val="19"/>
        </w:rPr>
        <w:t xml:space="preserve">Capa de Persistencia y Nube: </w:t>
      </w:r>
      <w:r>
        <w:rPr>
          <w:rFonts w:ascii="Arial" w:hAnsi="Arial"/>
          <w:color w:val="334155"/>
          <w:sz w:val="19"/>
        </w:rPr>
        <w:t>Base de datos relacional PostgreSQL 16 sobre Neon Serverless y almacenamiento distribuido en Cloudinary CDN.</w:t>
      </w:r>
    </w:p>
    <w:p>
      <w:pPr>
        <w:keepNext/>
        <w:spacing w:before="280" w:after="80"/>
      </w:pPr>
      <w:r>
        <w:rPr>
          <w:rFonts w:ascii="Arial" w:hAnsi="Arial"/>
          <w:b/>
          <w:color w:val="1E293B"/>
          <w:sz w:val="23"/>
        </w:rPr>
        <w:t>3.2 Stack Tecnológico Enterprise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160"/>
            <w:shd w:fill="6D1A24"/>
            <w:tcMar>
              <w:top w:w="140" w:type="dxa"/>
              <w:bottom w:w="140" w:type="dxa"/>
              <w:left w:w="120" w:type="dxa"/>
              <w:right w:w="120" w:type="dxa"/>
            </w:tcMar>
          </w:tcPr>
          <w:p>
            <w:pPr>
              <w:spacing w:after="0"/>
              <w:jc w:val="left"/>
            </w:pPr>
            <w:r>
              <w:rPr>
                <w:rFonts w:ascii="Arial" w:hAnsi="Arial"/>
                <w:b/>
                <w:color w:val="FFFFFF"/>
                <w:sz w:val="17"/>
              </w:rPr>
              <w:t>Tecnología</w:t>
            </w:r>
          </w:p>
        </w:tc>
        <w:tc>
          <w:tcPr>
            <w:tcW w:type="dxa" w:w="2160"/>
            <w:shd w:fill="6D1A24"/>
            <w:tcMar>
              <w:top w:w="140" w:type="dxa"/>
              <w:bottom w:w="140" w:type="dxa"/>
              <w:left w:w="120" w:type="dxa"/>
              <w:right w:w="120" w:type="dxa"/>
            </w:tcMar>
          </w:tcPr>
          <w:p>
            <w:pPr>
              <w:spacing w:after="0"/>
              <w:jc w:val="left"/>
            </w:pPr>
            <w:r>
              <w:rPr>
                <w:rFonts w:ascii="Arial" w:hAnsi="Arial"/>
                <w:b/>
                <w:color w:val="FFFFFF"/>
                <w:sz w:val="17"/>
              </w:rPr>
              <w:t>Área de Aplicación</w:t>
            </w:r>
          </w:p>
        </w:tc>
        <w:tc>
          <w:tcPr>
            <w:tcW w:type="dxa" w:w="4320"/>
            <w:shd w:fill="6D1A24"/>
            <w:tcMar>
              <w:top w:w="140" w:type="dxa"/>
              <w:bottom w:w="140" w:type="dxa"/>
              <w:left w:w="120" w:type="dxa"/>
              <w:right w:w="120" w:type="dxa"/>
            </w:tcMar>
          </w:tcPr>
          <w:p>
            <w:pPr>
              <w:spacing w:after="0"/>
              <w:jc w:val="left"/>
            </w:pPr>
            <w:r>
              <w:rPr>
                <w:rFonts w:ascii="Arial" w:hAnsi="Arial"/>
                <w:b/>
                <w:color w:val="FFFFFF"/>
                <w:sz w:val="17"/>
              </w:rPr>
              <w:t>Justificación Técnica</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Java 17 LTS</w:t>
            </w:r>
          </w:p>
        </w:tc>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Lenguaje Core Backend</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Tipado estático seguro, Garbage Collector de alto rendimiento y soporte de largo plazo.</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Spring Boot 4.1.1</w:t>
            </w:r>
          </w:p>
        </w:tc>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Framework Enterprise</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Configuración automática, inyección de dependencias robusta y métricas de producción.</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Spring Security 6</w:t>
            </w:r>
          </w:p>
        </w:tc>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Seguridad y RBAC</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Protección contra ataques CSRF, fijación de sesión y encriptación de claves con BCrypt.</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Spring Data JPA / Hibernate</w:t>
            </w:r>
          </w:p>
        </w:tc>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Mapeo Objeto-Relacional</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Abstracción eficiente de base de datos, consultas declarativas y control transaccional ACID.</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Thymeleaf 3</w:t>
            </w:r>
          </w:p>
        </w:tc>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Motor de Plantillas</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Integración con Spring Security, dialecto estricto y caché en producción.</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OpenPDF 2.0.3</w:t>
            </w:r>
          </w:p>
        </w:tc>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Motor de Diplomas PDF</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Renderizado vectorial milimétrico, marcas de agua al 8.5% (`PdfGState`), orlas y firmas.</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PostgreSQL 16</w:t>
            </w:r>
          </w:p>
        </w:tc>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Motor de Base de Datos</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Cumplimiento ACID estricto, alta concurrencia y despliegue serverless en Neon.</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Cloudinary SDK 1.39</w:t>
            </w:r>
          </w:p>
        </w:tc>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Almacenamiento Cloud</w:t>
            </w:r>
          </w:p>
        </w:tc>
        <w:tc>
          <w:tcPr>
            <w:tcW w:type="dxa" w:w="4320"/>
            <w:shd w:fill="F8FAFC"/>
            <w:tcMar>
              <w:top w:w="100" w:type="dxa"/>
              <w:bottom w:w="100" w:type="dxa"/>
              <w:left w:w="120" w:type="dxa"/>
              <w:right w:w="120" w:type="dxa"/>
            </w:tcMar>
          </w:tcPr>
          <w:p>
            <w:pPr>
              <w:spacing w:after="0" w:line="276" w:lineRule="auto"/>
              <w:jc w:val="left"/>
            </w:pPr>
            <w:r>
              <w:rPr>
                <w:rFonts w:ascii="Arial" w:hAnsi="Arial"/>
                <w:color w:val="334155"/>
                <w:sz w:val="16"/>
              </w:rPr>
              <w:t>Gestión de activos digitales (afiches y vouchers) en red CDN con entrega segura HTTPS.</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Docker &amp; Alpine Linux</w:t>
            </w:r>
          </w:p>
        </w:tc>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Contenedorización</w:t>
            </w:r>
          </w:p>
        </w:tc>
        <w:tc>
          <w:tcPr>
            <w:tcW w:type="dxa" w:w="4320"/>
            <w:shd w:fill="FFFFFF"/>
            <w:tcMar>
              <w:top w:w="100" w:type="dxa"/>
              <w:bottom w:w="100" w:type="dxa"/>
              <w:left w:w="120" w:type="dxa"/>
              <w:right w:w="120" w:type="dxa"/>
            </w:tcMar>
          </w:tcPr>
          <w:p>
            <w:pPr>
              <w:spacing w:after="0" w:line="276" w:lineRule="auto"/>
              <w:jc w:val="left"/>
            </w:pPr>
            <w:r>
              <w:rPr>
                <w:rFonts w:ascii="Arial" w:hAnsi="Arial"/>
                <w:color w:val="334155"/>
                <w:sz w:val="16"/>
              </w:rPr>
              <w:t>Empaquetado inmutable multi-stage con Eclipse Temurin JRE 17 Alpine (&lt; 200 MB).</w:t>
            </w:r>
          </w:p>
        </w:tc>
      </w:tr>
    </w:tbl>
    <w:p>
      <w:pPr>
        <w:spacing w:before="60" w:after="60"/>
      </w:pPr>
    </w:p>
    <w:p>
      <w:r>
        <w:br w:type="page"/>
      </w:r>
    </w:p>
    <w:p>
      <w:pPr>
        <w:keepNext/>
        <w:spacing w:before="440" w:after="120"/>
      </w:pPr>
      <w:r>
        <w:rPr>
          <w:rFonts w:ascii="Arial" w:hAnsi="Arial"/>
          <w:b/>
          <w:color w:val="6D1A24"/>
          <w:sz w:val="28"/>
        </w:rPr>
        <w:t>CAPÍTULO 4: MODELADO DE DATOS, GRÁFICA ERD Y DICCIONARIO DE ENTIDADES</w:t>
      </w:r>
    </w:p>
    <w:p>
      <w:pPr>
        <w:keepNext/>
        <w:spacing w:before="280" w:after="80"/>
      </w:pPr>
      <w:r>
        <w:rPr>
          <w:rFonts w:ascii="Arial" w:hAnsi="Arial"/>
          <w:b/>
          <w:color w:val="1E293B"/>
          <w:sz w:val="23"/>
        </w:rPr>
        <w:t>4.1 Diagrama Gráfico Entidad-Relación (PostgreSQL 16)</w:t>
      </w:r>
    </w:p>
    <w:p>
      <w:pPr>
        <w:spacing w:line="276" w:lineRule="auto" w:after="100"/>
        <w:jc w:val="both"/>
      </w:pPr>
      <w:r>
        <w:rPr>
          <w:rFonts w:ascii="Arial" w:hAnsi="Arial"/>
          <w:color w:val="334155"/>
          <w:sz w:val="19"/>
        </w:rPr>
        <w:t>El esquema relacional fue diseñado siguiendo los principios de la Tercera Forma Normal (3FN), garantizando la integridad referencial, unicidad de identificadores, ausencia de dependencias transitivas y soporte para auditoría transaccional. A continuación, se presenta la gráfica oficial del modelo relacional implementado en PostgreSQL 16:</w:t>
      </w:r>
    </w:p>
    <w:p>
      <w:pPr>
        <w:spacing w:before="160" w:after="40"/>
        <w:jc w:val="center"/>
      </w:pPr>
      <w:r>
        <w:drawing>
          <wp:inline xmlns:a="http://schemas.openxmlformats.org/drawingml/2006/main" xmlns:pic="http://schemas.openxmlformats.org/drawingml/2006/picture">
            <wp:extent cx="5669280" cy="3656518"/>
            <wp:docPr id="2" name="Picture 2"/>
            <wp:cNvGraphicFramePr>
              <a:graphicFrameLocks noChangeAspect="1"/>
            </wp:cNvGraphicFramePr>
            <a:graphic>
              <a:graphicData uri="http://schemas.openxmlformats.org/drawingml/2006/picture">
                <pic:pic>
                  <pic:nvPicPr>
                    <pic:cNvPr id="0" name="diagrama_base_datos.png"/>
                    <pic:cNvPicPr/>
                  </pic:nvPicPr>
                  <pic:blipFill>
                    <a:blip r:embed="rId12"/>
                    <a:stretch>
                      <a:fillRect/>
                    </a:stretch>
                  </pic:blipFill>
                  <pic:spPr>
                    <a:xfrm>
                      <a:off x="0" y="0"/>
                      <a:ext cx="5669280" cy="3656518"/>
                    </a:xfrm>
                    <a:prstGeom prst="rect"/>
                  </pic:spPr>
                </pic:pic>
              </a:graphicData>
            </a:graphic>
          </wp:inline>
        </w:drawing>
      </w:r>
    </w:p>
    <w:p>
      <w:pPr>
        <w:spacing w:before="40" w:after="240"/>
        <w:jc w:val="center"/>
      </w:pPr>
      <w:r>
        <w:rPr>
          <w:rFonts w:ascii="Arial" w:hAnsi="Arial"/>
          <w:i/>
          <w:color w:val="64748B"/>
          <w:sz w:val="17"/>
        </w:rPr>
        <w:t>Figura 4.1: Diagrama Entidad-Relación y Estructura Físico-Relacional (PostgreSQL 16) — Sistema Web IIICCD.</w:t>
      </w:r>
    </w:p>
    <w:p>
      <w:pPr>
        <w:keepNext/>
        <w:spacing w:before="280" w:after="80"/>
      </w:pPr>
      <w:r>
        <w:rPr>
          <w:rFonts w:ascii="Arial" w:hAnsi="Arial"/>
          <w:b/>
          <w:color w:val="1E293B"/>
          <w:sz w:val="23"/>
        </w:rPr>
        <w:t>4.2 Análisis de Cardinalidades y Reglas de Integridad Referencial</w:t>
      </w:r>
    </w:p>
    <w:p>
      <w:pPr>
        <w:spacing w:line="276" w:lineRule="auto" w:after="100"/>
        <w:jc w:val="both"/>
      </w:pPr>
      <w:r>
        <w:rPr>
          <w:rFonts w:ascii="Arial" w:hAnsi="Arial"/>
          <w:color w:val="334155"/>
          <w:sz w:val="19"/>
        </w:rPr>
        <w:t>El diagrama relacional establece las siguientes reglas y asociaciones estructurales:</w:t>
      </w:r>
    </w:p>
    <w:p>
      <w:pPr>
        <w:pStyle w:val="ListBullet"/>
        <w:spacing w:line="276" w:lineRule="auto" w:after="60"/>
        <w:jc w:val="both"/>
      </w:pPr>
      <w:r>
        <w:rPr>
          <w:rFonts w:ascii="Arial" w:hAnsi="Arial"/>
          <w:b/>
          <w:color w:val="1E293B"/>
          <w:sz w:val="19"/>
        </w:rPr>
        <w:t xml:space="preserve">Relación Líneas de Investigación a Áreas (1 : N): </w:t>
      </w:r>
      <w:r>
        <w:rPr>
          <w:rFonts w:ascii="Arial" w:hAnsi="Arial"/>
          <w:color w:val="334155"/>
          <w:sz w:val="19"/>
        </w:rPr>
        <w:t>Una línea de investigación agrupa una o más áreas científicas especializadas. La eliminación de una línea está restringida para preservar la categorización histórica.</w:t>
      </w:r>
    </w:p>
    <w:p>
      <w:pPr>
        <w:pStyle w:val="ListBullet"/>
        <w:spacing w:line="276" w:lineRule="auto" w:after="60"/>
        <w:jc w:val="both"/>
      </w:pPr>
      <w:r>
        <w:rPr>
          <w:rFonts w:ascii="Arial" w:hAnsi="Arial"/>
          <w:b/>
          <w:color w:val="1E293B"/>
          <w:sz w:val="19"/>
        </w:rPr>
        <w:t xml:space="preserve">Relación Áreas de Investigación a Cursos (1 : N): </w:t>
      </w:r>
      <w:r>
        <w:rPr>
          <w:rFonts w:ascii="Arial" w:hAnsi="Arial"/>
          <w:color w:val="334155"/>
          <w:sz w:val="19"/>
        </w:rPr>
        <w:t>Un área de investigación contiene múltiples cursos y diplomados. Cada curso pertenece obligatoriamente a un área temática.</w:t>
      </w:r>
    </w:p>
    <w:p>
      <w:pPr>
        <w:pStyle w:val="ListBullet"/>
        <w:spacing w:line="276" w:lineRule="auto" w:after="60"/>
        <w:jc w:val="both"/>
      </w:pPr>
      <w:r>
        <w:rPr>
          <w:rFonts w:ascii="Arial" w:hAnsi="Arial"/>
          <w:b/>
          <w:color w:val="1E293B"/>
          <w:sz w:val="19"/>
        </w:rPr>
        <w:t xml:space="preserve">Relación Usuarios a Inscripciones (1 : N): </w:t>
      </w:r>
      <w:r>
        <w:rPr>
          <w:rFonts w:ascii="Arial" w:hAnsi="Arial"/>
          <w:color w:val="334155"/>
          <w:sz w:val="19"/>
        </w:rPr>
        <w:t>Un usuario participante puede matricularse en múltiples cursos distintos a lo largo del tiempo. Se aplica una restricción de unicidad lógica para impedir que un usuario tenga más de una inscripción activa para el mismo curso.</w:t>
      </w:r>
    </w:p>
    <w:p>
      <w:pPr>
        <w:pStyle w:val="ListBullet"/>
        <w:spacing w:line="276" w:lineRule="auto" w:after="60"/>
        <w:jc w:val="both"/>
      </w:pPr>
      <w:r>
        <w:rPr>
          <w:rFonts w:ascii="Arial" w:hAnsi="Arial"/>
          <w:b/>
          <w:color w:val="1E293B"/>
          <w:sz w:val="19"/>
        </w:rPr>
        <w:t xml:space="preserve">Relación Cursos a Inscripciones (1 : N): </w:t>
      </w:r>
      <w:r>
        <w:rPr>
          <w:rFonts w:ascii="Arial" w:hAnsi="Arial"/>
          <w:color w:val="334155"/>
          <w:sz w:val="19"/>
        </w:rPr>
        <w:t>Un curso publicado admite múltiples inscripciones de participantes hasta alcanzar el límite máximo estipulado en `cupos_totales`.</w:t>
      </w:r>
    </w:p>
    <w:p>
      <w:pPr>
        <w:pStyle w:val="ListBullet"/>
        <w:spacing w:line="276" w:lineRule="auto" w:after="60"/>
        <w:jc w:val="both"/>
      </w:pPr>
      <w:r>
        <w:rPr>
          <w:rFonts w:ascii="Arial" w:hAnsi="Arial"/>
          <w:b/>
          <w:color w:val="1E293B"/>
          <w:sz w:val="19"/>
        </w:rPr>
        <w:t xml:space="preserve">Relación Inscripciones a Pagos (1 : 1): </w:t>
      </w:r>
      <w:r>
        <w:rPr>
          <w:rFonts w:ascii="Arial" w:hAnsi="Arial"/>
          <w:color w:val="334155"/>
          <w:sz w:val="19"/>
        </w:rPr>
        <w:t>Cada inscripción formalizada con pago genera exactamente un registro financiero auditado en la tabla `pagos`, con clave foránea `inscripcion_id`.</w:t>
      </w:r>
    </w:p>
    <w:p>
      <w:pPr>
        <w:pStyle w:val="ListBullet"/>
        <w:spacing w:line="276" w:lineRule="auto" w:after="60"/>
        <w:jc w:val="both"/>
      </w:pPr>
      <w:r>
        <w:rPr>
          <w:rFonts w:ascii="Arial" w:hAnsi="Arial"/>
          <w:b/>
          <w:color w:val="1E293B"/>
          <w:sz w:val="19"/>
        </w:rPr>
        <w:t xml:space="preserve">Relación Inscripciones a Certificados (1 : 1): </w:t>
      </w:r>
      <w:r>
        <w:rPr>
          <w:rFonts w:ascii="Arial" w:hAnsi="Arial"/>
          <w:color w:val="334155"/>
          <w:sz w:val="19"/>
        </w:rPr>
        <w:t>Cada inscripción culminada exitosamente (`COMPLETADA`) genera exactamente un certificado oficial de acreditación con snapshot inmutable.</w:t>
      </w:r>
    </w:p>
    <w:p>
      <w:pPr>
        <w:pStyle w:val="ListBullet"/>
        <w:spacing w:line="276" w:lineRule="auto" w:after="60"/>
        <w:jc w:val="both"/>
      </w:pPr>
      <w:r>
        <w:rPr>
          <w:rFonts w:ascii="Arial" w:hAnsi="Arial"/>
          <w:b/>
          <w:color w:val="1E293B"/>
          <w:sz w:val="19"/>
        </w:rPr>
        <w:t xml:space="preserve">Relación de Auditoría Administrador a Pagos (1 : N): </w:t>
      </w:r>
      <w:r>
        <w:rPr>
          <w:rFonts w:ascii="Arial" w:hAnsi="Arial"/>
          <w:color w:val="334155"/>
          <w:sz w:val="19"/>
        </w:rPr>
        <w:t>Cada comprobante aprobado registra la clave foránea del administrador que auditó el voucher (`verificado_por_id`), garantizando trazabilidad y no repudio.</w:t>
      </w:r>
    </w:p>
    <w:p>
      <w:pPr>
        <w:keepNext/>
        <w:spacing w:before="280" w:after="80"/>
      </w:pPr>
      <w:r>
        <w:rPr>
          <w:rFonts w:ascii="Arial" w:hAnsi="Arial"/>
          <w:b/>
          <w:color w:val="1E293B"/>
          <w:sz w:val="23"/>
        </w:rPr>
        <w:t>4.3 Diccionario Detallado de Tablas de la Base de Datos</w:t>
      </w:r>
    </w:p>
    <w:p>
      <w:pPr>
        <w:keepNext/>
        <w:spacing w:before="200" w:after="40"/>
      </w:pPr>
      <w:r>
        <w:rPr>
          <w:rFonts w:ascii="Arial" w:hAnsi="Arial"/>
          <w:b/>
          <w:color w:val="6D1A24"/>
          <w:sz w:val="21"/>
        </w:rPr>
        <w:t>A. Tabla: `usuarios` (Identidad y Seguridad)</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160"/>
            <w:shd w:fill="6D1A24"/>
            <w:tcMar>
              <w:top w:w="140" w:type="dxa"/>
              <w:bottom w:w="140" w:type="dxa"/>
              <w:left w:w="120" w:type="dxa"/>
              <w:right w:w="120" w:type="dxa"/>
            </w:tcMar>
          </w:tcPr>
          <w:p>
            <w:pPr>
              <w:spacing w:after="0"/>
              <w:jc w:val="left"/>
            </w:pPr>
            <w:r>
              <w:rPr>
                <w:rFonts w:ascii="Arial" w:hAnsi="Arial"/>
                <w:b/>
                <w:color w:val="FFFFFF"/>
                <w:sz w:val="17"/>
              </w:rPr>
              <w:t>Campo</w:t>
            </w:r>
          </w:p>
        </w:tc>
        <w:tc>
          <w:tcPr>
            <w:tcW w:type="dxa" w:w="2592"/>
            <w:shd w:fill="6D1A24"/>
            <w:tcMar>
              <w:top w:w="140" w:type="dxa"/>
              <w:bottom w:w="140" w:type="dxa"/>
              <w:left w:w="120" w:type="dxa"/>
              <w:right w:w="120" w:type="dxa"/>
            </w:tcMar>
          </w:tcPr>
          <w:p>
            <w:pPr>
              <w:spacing w:after="0"/>
              <w:jc w:val="left"/>
            </w:pPr>
            <w:r>
              <w:rPr>
                <w:rFonts w:ascii="Arial" w:hAnsi="Arial"/>
                <w:b/>
                <w:color w:val="FFFFFF"/>
                <w:sz w:val="17"/>
              </w:rPr>
              <w:t>Tipo de Dato</w:t>
            </w:r>
          </w:p>
        </w:tc>
        <w:tc>
          <w:tcPr>
            <w:tcW w:type="dxa" w:w="3888"/>
            <w:shd w:fill="6D1A24"/>
            <w:tcMar>
              <w:top w:w="140" w:type="dxa"/>
              <w:bottom w:w="140" w:type="dxa"/>
              <w:left w:w="120" w:type="dxa"/>
              <w:right w:w="120" w:type="dxa"/>
            </w:tcMar>
          </w:tcPr>
          <w:p>
            <w:pPr>
              <w:spacing w:after="0"/>
              <w:jc w:val="left"/>
            </w:pPr>
            <w:r>
              <w:rPr>
                <w:rFonts w:ascii="Arial" w:hAnsi="Arial"/>
                <w:b/>
                <w:color w:val="FFFFFF"/>
                <w:sz w:val="17"/>
              </w:rPr>
              <w:t>Descripción / Regla de Negocio</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id</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BIGSERIAL (PK)</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Identificador unívoco del usuario.</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correo</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VARCHAR(150) UNIQUE</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Correo electrónico utilizado como credencial de acceso.</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password</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Hash criptográfico de la contraseña (BCrypt costo 10).</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nombre_completo</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VARCHAR(150)</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Nombres y apellidos completos formalmente registrados.</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tipo_documento</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VARCHAR(20)</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Tipo de documento: `DNI`, `PASAPORTE`, `CARNET_EXTRANJERIA`.</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numero_documento</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VARCHAR(20) UNIQUE</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DNI (exactamente 8 dígitos peruanos) o documento extranjero.</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telefono</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VARCHAR(20)</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Teléfono celular peruano (9 dígitos con prefijo 9 para WhatsApp).</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institucion</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VARCHAR(150)</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Universidad o entidad académica/laboral de procedencia.</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rol</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VARCHAR(20)</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Rol de autorización: `PARTICIPANTE` o `ADMIN`.</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activo</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BOOLEAN</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Estado operativo de la cuenta de usuario.</w:t>
            </w:r>
          </w:p>
        </w:tc>
      </w:tr>
    </w:tbl>
    <w:p>
      <w:pPr>
        <w:spacing w:before="60" w:after="60"/>
      </w:pPr>
    </w:p>
    <w:p>
      <w:pPr>
        <w:keepNext/>
        <w:spacing w:before="200" w:after="40"/>
      </w:pPr>
      <w:r>
        <w:rPr>
          <w:rFonts w:ascii="Arial" w:hAnsi="Arial"/>
          <w:b/>
          <w:color w:val="6D1A24"/>
          <w:sz w:val="21"/>
        </w:rPr>
        <w:t>B. Tabla: `cursos` (Oferta Académica)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304"/>
            <w:shd w:fill="6D1A24"/>
            <w:tcMar>
              <w:top w:w="140" w:type="dxa"/>
              <w:bottom w:w="140" w:type="dxa"/>
              <w:left w:w="120" w:type="dxa"/>
              <w:right w:w="120" w:type="dxa"/>
            </w:tcMar>
          </w:tcPr>
          <w:p>
            <w:pPr>
              <w:spacing w:after="0"/>
              <w:jc w:val="left"/>
            </w:pPr>
            <w:r>
              <w:rPr>
                <w:rFonts w:ascii="Arial" w:hAnsi="Arial"/>
                <w:b/>
                <w:color w:val="FFFFFF"/>
                <w:sz w:val="17"/>
              </w:rPr>
              <w:t>Campo</w:t>
            </w:r>
          </w:p>
        </w:tc>
        <w:tc>
          <w:tcPr>
            <w:tcW w:type="dxa" w:w="2304"/>
            <w:shd w:fill="6D1A24"/>
            <w:tcMar>
              <w:top w:w="140" w:type="dxa"/>
              <w:bottom w:w="140" w:type="dxa"/>
              <w:left w:w="120" w:type="dxa"/>
              <w:right w:w="120" w:type="dxa"/>
            </w:tcMar>
          </w:tcPr>
          <w:p>
            <w:pPr>
              <w:spacing w:after="0"/>
              <w:jc w:val="left"/>
            </w:pPr>
            <w:r>
              <w:rPr>
                <w:rFonts w:ascii="Arial" w:hAnsi="Arial"/>
                <w:b/>
                <w:color w:val="FFFFFF"/>
                <w:sz w:val="17"/>
              </w:rPr>
              <w:t>Tipo de Dato</w:t>
            </w:r>
          </w:p>
        </w:tc>
        <w:tc>
          <w:tcPr>
            <w:tcW w:type="dxa" w:w="4032"/>
            <w:shd w:fill="6D1A24"/>
            <w:tcMar>
              <w:top w:w="140" w:type="dxa"/>
              <w:bottom w:w="140" w:type="dxa"/>
              <w:left w:w="120" w:type="dxa"/>
              <w:right w:w="120" w:type="dxa"/>
            </w:tcMar>
          </w:tcPr>
          <w:p>
            <w:pPr>
              <w:spacing w:after="0"/>
              <w:jc w:val="left"/>
            </w:pPr>
            <w:r>
              <w:rPr>
                <w:rFonts w:ascii="Arial" w:hAnsi="Arial"/>
                <w:b/>
                <w:color w:val="FFFFFF"/>
                <w:sz w:val="17"/>
              </w:rPr>
              <w:t>Descripción / Regla de Negocio</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id</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BIGSERIAL (PK)</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Identificador unívoco del curso.</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area_investigacion_id</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BIGINT (FK)</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Área de investigación a la que pertenece el curso.</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nombre</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VARCHAR(200)</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Título formal del curso de especialización o taller.</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descripcion_corta</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Resumen ejecutivo para tarjetas de catálogo.</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docente_responsable</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VARCHAR(150)</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Nombre completo del ponente o docente titular.</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docente_cargo</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VARCHAR(150)</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Grado académico y especialidad del ponente.</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docente_foto_url</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Ruta segura de la fotografía del docente.</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precio</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NUMERIC(10,2)</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Tarifa de inscripción para público en general.</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precio_comunidad</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NUMERIC(10,2)</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Tarifa preferencial para la comunidad universitaria UNA Puno.</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cupos_totales</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INTEGER</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Capacidad máxima de participantes permitidos.</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cupos_disponibles</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INTEGER</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Vacantes disponibles en tiempo real.</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estado</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VARCHAR(20)</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Estado del curso: `BORRADOR`, `PUBLICADO`, `EN_CURSO`, `FINALIZADO`.</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enlace_clase</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Enlace virtual a la sala de Zoom o Google Meet (protegido).</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enlace_whatsapp</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Enlace de invitación al grupo privado de WhatsApp.</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creditos</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INTEGER</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Valor curricular en créditos universitarios oficiales.</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flyer_url</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URL del afiche oficial alojado en Cloudinary/local.</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flyer_publicado</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BOOLEAN</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Indicador booleano para activar el afiche en la portada.</w:t>
            </w:r>
          </w:p>
        </w:tc>
      </w:tr>
    </w:tbl>
    <w:p>
      <w:pPr>
        <w:spacing w:before="60" w:after="60"/>
      </w:pPr>
    </w:p>
    <w:p>
      <w:pPr>
        <w:keepNext/>
        <w:spacing w:before="200" w:after="40"/>
      </w:pPr>
      <w:r>
        <w:rPr>
          <w:rFonts w:ascii="Arial" w:hAnsi="Arial"/>
          <w:b/>
          <w:color w:val="6D1A24"/>
          <w:sz w:val="21"/>
        </w:rPr>
        <w:t>C. Tabla: `inscripciones` (Matrículas Estudiantiles)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160"/>
            <w:shd w:fill="6D1A24"/>
            <w:tcMar>
              <w:top w:w="140" w:type="dxa"/>
              <w:bottom w:w="140" w:type="dxa"/>
              <w:left w:w="120" w:type="dxa"/>
              <w:right w:w="120" w:type="dxa"/>
            </w:tcMar>
          </w:tcPr>
          <w:p>
            <w:pPr>
              <w:spacing w:after="0"/>
              <w:jc w:val="left"/>
            </w:pPr>
            <w:r>
              <w:rPr>
                <w:rFonts w:ascii="Arial" w:hAnsi="Arial"/>
                <w:b/>
                <w:color w:val="FFFFFF"/>
                <w:sz w:val="17"/>
              </w:rPr>
              <w:t>Campo</w:t>
            </w:r>
          </w:p>
        </w:tc>
        <w:tc>
          <w:tcPr>
            <w:tcW w:type="dxa" w:w="2592"/>
            <w:shd w:fill="6D1A24"/>
            <w:tcMar>
              <w:top w:w="140" w:type="dxa"/>
              <w:bottom w:w="140" w:type="dxa"/>
              <w:left w:w="120" w:type="dxa"/>
              <w:right w:w="120" w:type="dxa"/>
            </w:tcMar>
          </w:tcPr>
          <w:p>
            <w:pPr>
              <w:spacing w:after="0"/>
              <w:jc w:val="left"/>
            </w:pPr>
            <w:r>
              <w:rPr>
                <w:rFonts w:ascii="Arial" w:hAnsi="Arial"/>
                <w:b/>
                <w:color w:val="FFFFFF"/>
                <w:sz w:val="17"/>
              </w:rPr>
              <w:t>Tipo de Dato</w:t>
            </w:r>
          </w:p>
        </w:tc>
        <w:tc>
          <w:tcPr>
            <w:tcW w:type="dxa" w:w="3888"/>
            <w:shd w:fill="6D1A24"/>
            <w:tcMar>
              <w:top w:w="140" w:type="dxa"/>
              <w:bottom w:w="140" w:type="dxa"/>
              <w:left w:w="120" w:type="dxa"/>
              <w:right w:w="120" w:type="dxa"/>
            </w:tcMar>
          </w:tcPr>
          <w:p>
            <w:pPr>
              <w:spacing w:after="0"/>
              <w:jc w:val="left"/>
            </w:pPr>
            <w:r>
              <w:rPr>
                <w:rFonts w:ascii="Arial" w:hAnsi="Arial"/>
                <w:b/>
                <w:color w:val="FFFFFF"/>
                <w:sz w:val="17"/>
              </w:rPr>
              <w:t>Descripción / Regla de Negocio</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id</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BIGSERIAL (PK)</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Identificador unívoco de la inscripción.</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usuario_id</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BIGINT (FK)</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Participante matriculado (asociado a `usuarios.id`).</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curso_id</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BIGINT (FK)</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Curso seleccionado (asociado a `cursos.id`).</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estado</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VARCHAR(30)</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Estado: `PENDIENTE_PAGO`, `PENDIENTE_VERIFICACION`, `APROBADA`, `RECHAZADA`, `COMPLETADA`.</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fecha_inscripcion</w:t>
            </w:r>
          </w:p>
        </w:tc>
        <w:tc>
          <w:tcPr>
            <w:tcW w:type="dxa" w:w="2592"/>
            <w:shd w:fill="FFFFFF"/>
            <w:tcMar>
              <w:top w:w="100" w:type="dxa"/>
              <w:bottom w:w="100" w:type="dxa"/>
              <w:left w:w="120" w:type="dxa"/>
              <w:right w:w="120" w:type="dxa"/>
            </w:tcMar>
          </w:tcPr>
          <w:p>
            <w:pPr>
              <w:spacing w:after="0" w:line="276" w:lineRule="auto"/>
              <w:jc w:val="left"/>
            </w:pPr>
            <w:r>
              <w:rPr>
                <w:rFonts w:ascii="Arial" w:hAnsi="Arial"/>
                <w:color w:val="334155"/>
                <w:sz w:val="16"/>
              </w:rPr>
              <w:t>TIMESTAMP</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Fecha y hora exacta de creación de la matrícula.</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notas_admin</w:t>
            </w:r>
          </w:p>
        </w:tc>
        <w:tc>
          <w:tcPr>
            <w:tcW w:type="dxa" w:w="2592"/>
            <w:shd w:fill="F8FAFC"/>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Observaciones registradas en caso de comprobante rechazado.</w:t>
            </w:r>
          </w:p>
        </w:tc>
      </w:tr>
    </w:tbl>
    <w:p>
      <w:pPr>
        <w:spacing w:before="60" w:after="60"/>
      </w:pPr>
    </w:p>
    <w:p>
      <w:pPr>
        <w:keepNext/>
        <w:spacing w:before="200" w:after="40"/>
      </w:pPr>
      <w:r>
        <w:rPr>
          <w:rFonts w:ascii="Arial" w:hAnsi="Arial"/>
          <w:b/>
          <w:color w:val="6D1A24"/>
          <w:sz w:val="21"/>
        </w:rPr>
        <w:t>D. Tabla: `pagos` (Transacciones Financieras Yape)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304"/>
            <w:shd w:fill="6D1A24"/>
            <w:tcMar>
              <w:top w:w="140" w:type="dxa"/>
              <w:bottom w:w="140" w:type="dxa"/>
              <w:left w:w="120" w:type="dxa"/>
              <w:right w:w="120" w:type="dxa"/>
            </w:tcMar>
          </w:tcPr>
          <w:p>
            <w:pPr>
              <w:spacing w:after="0"/>
              <w:jc w:val="left"/>
            </w:pPr>
            <w:r>
              <w:rPr>
                <w:rFonts w:ascii="Arial" w:hAnsi="Arial"/>
                <w:b/>
                <w:color w:val="FFFFFF"/>
                <w:sz w:val="17"/>
              </w:rPr>
              <w:t>Campo</w:t>
            </w:r>
          </w:p>
        </w:tc>
        <w:tc>
          <w:tcPr>
            <w:tcW w:type="dxa" w:w="2304"/>
            <w:shd w:fill="6D1A24"/>
            <w:tcMar>
              <w:top w:w="140" w:type="dxa"/>
              <w:bottom w:w="140" w:type="dxa"/>
              <w:left w:w="120" w:type="dxa"/>
              <w:right w:w="120" w:type="dxa"/>
            </w:tcMar>
          </w:tcPr>
          <w:p>
            <w:pPr>
              <w:spacing w:after="0"/>
              <w:jc w:val="left"/>
            </w:pPr>
            <w:r>
              <w:rPr>
                <w:rFonts w:ascii="Arial" w:hAnsi="Arial"/>
                <w:b/>
                <w:color w:val="FFFFFF"/>
                <w:sz w:val="17"/>
              </w:rPr>
              <w:t>Tipo de Dato</w:t>
            </w:r>
          </w:p>
        </w:tc>
        <w:tc>
          <w:tcPr>
            <w:tcW w:type="dxa" w:w="4032"/>
            <w:shd w:fill="6D1A24"/>
            <w:tcMar>
              <w:top w:w="140" w:type="dxa"/>
              <w:bottom w:w="140" w:type="dxa"/>
              <w:left w:w="120" w:type="dxa"/>
              <w:right w:w="120" w:type="dxa"/>
            </w:tcMar>
          </w:tcPr>
          <w:p>
            <w:pPr>
              <w:spacing w:after="0"/>
              <w:jc w:val="left"/>
            </w:pPr>
            <w:r>
              <w:rPr>
                <w:rFonts w:ascii="Arial" w:hAnsi="Arial"/>
                <w:b/>
                <w:color w:val="FFFFFF"/>
                <w:sz w:val="17"/>
              </w:rPr>
              <w:t>Descripción / Regla de Negocio</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id</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BIGSERIAL (PK)</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Identificador unívoco del pago auditado.</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inscripcion_id</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BIGINT (FK)</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Inscripción vinculada a la transacción.</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monto</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NUMERIC(10,2)</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Importe económico transferido por el participante.</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metodo_pago</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VARCHAR(20)</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Método de pago: `YAPE`.</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referencia_externa</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VARCHAR(50)</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Número de operación o código de aprobación bancario.</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comprobante_url</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URL segura del voucher en Cloudinary o disco local.</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estado</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VARCHAR(20)</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Estado financiero: `PENDIENTE`, `APROBADO`, `RECHAZADO`.</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fecha_pago</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TIMESTAMP</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Fecha y hora en que el alumno adjuntó el comprobante.</w:t>
            </w:r>
          </w:p>
        </w:tc>
      </w:tr>
      <w:tr>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fecha_verificacion</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TIMESTAMP</w:t>
            </w:r>
          </w:p>
        </w:tc>
        <w:tc>
          <w:tcPr>
            <w:tcW w:type="dxa" w:w="4032"/>
            <w:shd w:fill="FFFFFF"/>
            <w:tcMar>
              <w:top w:w="100" w:type="dxa"/>
              <w:bottom w:w="100" w:type="dxa"/>
              <w:left w:w="120" w:type="dxa"/>
              <w:right w:w="120" w:type="dxa"/>
            </w:tcMar>
          </w:tcPr>
          <w:p>
            <w:pPr>
              <w:spacing w:after="0" w:line="276" w:lineRule="auto"/>
              <w:jc w:val="left"/>
            </w:pPr>
            <w:r>
              <w:rPr>
                <w:rFonts w:ascii="Arial" w:hAnsi="Arial"/>
                <w:color w:val="334155"/>
                <w:sz w:val="16"/>
              </w:rPr>
              <w:t>Fecha y hora en que la administración auditó el pago.</w:t>
            </w:r>
          </w:p>
        </w:tc>
      </w:tr>
      <w:tr>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verificado_por_id</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BIGINT (FK)</w:t>
            </w:r>
          </w:p>
        </w:tc>
        <w:tc>
          <w:tcPr>
            <w:tcW w:type="dxa" w:w="4032"/>
            <w:shd w:fill="F8FAFC"/>
            <w:tcMar>
              <w:top w:w="100" w:type="dxa"/>
              <w:bottom w:w="100" w:type="dxa"/>
              <w:left w:w="120" w:type="dxa"/>
              <w:right w:w="120" w:type="dxa"/>
            </w:tcMar>
          </w:tcPr>
          <w:p>
            <w:pPr>
              <w:spacing w:after="0" w:line="276" w:lineRule="auto"/>
              <w:jc w:val="left"/>
            </w:pPr>
            <w:r>
              <w:rPr>
                <w:rFonts w:ascii="Arial" w:hAnsi="Arial"/>
                <w:color w:val="334155"/>
                <w:sz w:val="16"/>
              </w:rPr>
              <w:t>Administrador responsable de la auditoría.</w:t>
            </w:r>
          </w:p>
        </w:tc>
      </w:tr>
    </w:tbl>
    <w:p>
      <w:pPr>
        <w:spacing w:before="60" w:after="60"/>
      </w:pPr>
    </w:p>
    <w:p>
      <w:pPr>
        <w:keepNext/>
        <w:spacing w:before="200" w:after="40"/>
      </w:pPr>
      <w:r>
        <w:rPr>
          <w:rFonts w:ascii="Arial" w:hAnsi="Arial"/>
          <w:b/>
          <w:color w:val="6D1A24"/>
          <w:sz w:val="21"/>
        </w:rPr>
        <w:t>E. Tabla: `certificados` (Acreditaciones Oficiales Inmutables)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929"/>
        <w:gridCol w:w="2929"/>
        <w:gridCol w:w="2929"/>
      </w:tblGrid>
      <w:tr>
        <w:tc>
          <w:tcPr>
            <w:tcW w:type="dxa" w:w="2448"/>
            <w:shd w:fill="6D1A24"/>
            <w:tcMar>
              <w:top w:w="140" w:type="dxa"/>
              <w:bottom w:w="140" w:type="dxa"/>
              <w:left w:w="120" w:type="dxa"/>
              <w:right w:w="120" w:type="dxa"/>
            </w:tcMar>
          </w:tcPr>
          <w:p>
            <w:pPr>
              <w:spacing w:after="0"/>
              <w:jc w:val="left"/>
            </w:pPr>
            <w:r>
              <w:rPr>
                <w:rFonts w:ascii="Arial" w:hAnsi="Arial"/>
                <w:b/>
                <w:color w:val="FFFFFF"/>
                <w:sz w:val="17"/>
              </w:rPr>
              <w:t>Campo</w:t>
            </w:r>
          </w:p>
        </w:tc>
        <w:tc>
          <w:tcPr>
            <w:tcW w:type="dxa" w:w="2304"/>
            <w:shd w:fill="6D1A24"/>
            <w:tcMar>
              <w:top w:w="140" w:type="dxa"/>
              <w:bottom w:w="140" w:type="dxa"/>
              <w:left w:w="120" w:type="dxa"/>
              <w:right w:w="120" w:type="dxa"/>
            </w:tcMar>
          </w:tcPr>
          <w:p>
            <w:pPr>
              <w:spacing w:after="0"/>
              <w:jc w:val="left"/>
            </w:pPr>
            <w:r>
              <w:rPr>
                <w:rFonts w:ascii="Arial" w:hAnsi="Arial"/>
                <w:b/>
                <w:color w:val="FFFFFF"/>
                <w:sz w:val="17"/>
              </w:rPr>
              <w:t>Tipo de Dato</w:t>
            </w:r>
          </w:p>
        </w:tc>
        <w:tc>
          <w:tcPr>
            <w:tcW w:type="dxa" w:w="3888"/>
            <w:shd w:fill="6D1A24"/>
            <w:tcMar>
              <w:top w:w="140" w:type="dxa"/>
              <w:bottom w:w="140" w:type="dxa"/>
              <w:left w:w="120" w:type="dxa"/>
              <w:right w:w="120" w:type="dxa"/>
            </w:tcMar>
          </w:tcPr>
          <w:p>
            <w:pPr>
              <w:spacing w:after="0"/>
              <w:jc w:val="left"/>
            </w:pPr>
            <w:r>
              <w:rPr>
                <w:rFonts w:ascii="Arial" w:hAnsi="Arial"/>
                <w:b/>
                <w:color w:val="FFFFFF"/>
                <w:sz w:val="17"/>
              </w:rPr>
              <w:t>Descripción / Regla de Negocio</w:t>
            </w:r>
          </w:p>
        </w:tc>
      </w:tr>
      <w:tr>
        <w:tc>
          <w:tcPr>
            <w:tcW w:type="dxa" w:w="2448"/>
            <w:shd w:fill="FFFFFF"/>
            <w:tcMar>
              <w:top w:w="100" w:type="dxa"/>
              <w:bottom w:w="100" w:type="dxa"/>
              <w:left w:w="120" w:type="dxa"/>
              <w:right w:w="120" w:type="dxa"/>
            </w:tcMar>
          </w:tcPr>
          <w:p>
            <w:pPr>
              <w:spacing w:after="0" w:line="276" w:lineRule="auto"/>
              <w:jc w:val="left"/>
            </w:pPr>
            <w:r>
              <w:rPr>
                <w:rFonts w:ascii="Arial" w:hAnsi="Arial"/>
                <w:color w:val="334155"/>
                <w:sz w:val="16"/>
              </w:rPr>
              <w:t>id</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BIGSERIAL (PK)</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Identificador unívoco del certificado.</w:t>
            </w:r>
          </w:p>
        </w:tc>
      </w:tr>
      <w:tr>
        <w:tc>
          <w:tcPr>
            <w:tcW w:type="dxa" w:w="2448"/>
            <w:shd w:fill="F8FAFC"/>
            <w:tcMar>
              <w:top w:w="100" w:type="dxa"/>
              <w:bottom w:w="100" w:type="dxa"/>
              <w:left w:w="120" w:type="dxa"/>
              <w:right w:w="120" w:type="dxa"/>
            </w:tcMar>
          </w:tcPr>
          <w:p>
            <w:pPr>
              <w:spacing w:after="0" w:line="276" w:lineRule="auto"/>
              <w:jc w:val="left"/>
            </w:pPr>
            <w:r>
              <w:rPr>
                <w:rFonts w:ascii="Arial" w:hAnsi="Arial"/>
                <w:color w:val="334155"/>
                <w:sz w:val="16"/>
              </w:rPr>
              <w:t>codigo_unico</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VARCHAR(50) UNIQUE</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Código alfanumérico seguro para consulta pública (UUID).</w:t>
            </w:r>
          </w:p>
        </w:tc>
      </w:tr>
      <w:tr>
        <w:tc>
          <w:tcPr>
            <w:tcW w:type="dxa" w:w="2448"/>
            <w:shd w:fill="FFFFFF"/>
            <w:tcMar>
              <w:top w:w="100" w:type="dxa"/>
              <w:bottom w:w="100" w:type="dxa"/>
              <w:left w:w="120" w:type="dxa"/>
              <w:right w:w="120" w:type="dxa"/>
            </w:tcMar>
          </w:tcPr>
          <w:p>
            <w:pPr>
              <w:spacing w:after="0" w:line="276" w:lineRule="auto"/>
              <w:jc w:val="left"/>
            </w:pPr>
            <w:r>
              <w:rPr>
                <w:rFonts w:ascii="Arial" w:hAnsi="Arial"/>
                <w:color w:val="334155"/>
                <w:sz w:val="16"/>
              </w:rPr>
              <w:t>inscripcion_id</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BIGINT (FK)</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Inscripción aprobada que originó el diploma.</w:t>
            </w:r>
          </w:p>
        </w:tc>
      </w:tr>
      <w:tr>
        <w:tc>
          <w:tcPr>
            <w:tcW w:type="dxa" w:w="2448"/>
            <w:shd w:fill="F8FAFC"/>
            <w:tcMar>
              <w:top w:w="100" w:type="dxa"/>
              <w:bottom w:w="100" w:type="dxa"/>
              <w:left w:w="120" w:type="dxa"/>
              <w:right w:w="120" w:type="dxa"/>
            </w:tcMar>
          </w:tcPr>
          <w:p>
            <w:pPr>
              <w:spacing w:after="0" w:line="276" w:lineRule="auto"/>
              <w:jc w:val="left"/>
            </w:pPr>
            <w:r>
              <w:rPr>
                <w:rFonts w:ascii="Arial" w:hAnsi="Arial"/>
                <w:color w:val="334155"/>
                <w:sz w:val="16"/>
              </w:rPr>
              <w:t>nombre_estudiante</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VARCHAR(150)</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Snapshot inmutable del nombre del estudiante al egresar.</w:t>
            </w:r>
          </w:p>
        </w:tc>
      </w:tr>
      <w:tr>
        <w:tc>
          <w:tcPr>
            <w:tcW w:type="dxa" w:w="2448"/>
            <w:shd w:fill="FFFFFF"/>
            <w:tcMar>
              <w:top w:w="100" w:type="dxa"/>
              <w:bottom w:w="100" w:type="dxa"/>
              <w:left w:w="120" w:type="dxa"/>
              <w:right w:w="120" w:type="dxa"/>
            </w:tcMar>
          </w:tcPr>
          <w:p>
            <w:pPr>
              <w:spacing w:after="0" w:line="276" w:lineRule="auto"/>
              <w:jc w:val="left"/>
            </w:pPr>
            <w:r>
              <w:rPr>
                <w:rFonts w:ascii="Arial" w:hAnsi="Arial"/>
                <w:color w:val="334155"/>
                <w:sz w:val="16"/>
              </w:rPr>
              <w:t>documento_estudiante</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VARCHAR(20)</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Snapshot inmutable del DNI del participante.</w:t>
            </w:r>
          </w:p>
        </w:tc>
      </w:tr>
      <w:tr>
        <w:tc>
          <w:tcPr>
            <w:tcW w:type="dxa" w:w="2448"/>
            <w:shd w:fill="F8FAFC"/>
            <w:tcMar>
              <w:top w:w="100" w:type="dxa"/>
              <w:bottom w:w="100" w:type="dxa"/>
              <w:left w:w="120" w:type="dxa"/>
              <w:right w:w="120" w:type="dxa"/>
            </w:tcMar>
          </w:tcPr>
          <w:p>
            <w:pPr>
              <w:spacing w:after="0" w:line="276" w:lineRule="auto"/>
              <w:jc w:val="left"/>
            </w:pPr>
            <w:r>
              <w:rPr>
                <w:rFonts w:ascii="Arial" w:hAnsi="Arial"/>
                <w:color w:val="334155"/>
                <w:sz w:val="16"/>
              </w:rPr>
              <w:t>nombre_curso</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VARCHAR(200)</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Snapshot inmutable del nombre del curso completado.</w:t>
            </w:r>
          </w:p>
        </w:tc>
      </w:tr>
      <w:tr>
        <w:tc>
          <w:tcPr>
            <w:tcW w:type="dxa" w:w="2448"/>
            <w:shd w:fill="FFFFFF"/>
            <w:tcMar>
              <w:top w:w="100" w:type="dxa"/>
              <w:bottom w:w="100" w:type="dxa"/>
              <w:left w:w="120" w:type="dxa"/>
              <w:right w:w="120" w:type="dxa"/>
            </w:tcMar>
          </w:tcPr>
          <w:p>
            <w:pPr>
              <w:spacing w:after="0" w:line="276" w:lineRule="auto"/>
              <w:jc w:val="left"/>
            </w:pPr>
            <w:r>
              <w:rPr>
                <w:rFonts w:ascii="Arial" w:hAnsi="Arial"/>
                <w:color w:val="334155"/>
                <w:sz w:val="16"/>
              </w:rPr>
              <w:t>docente</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VARCHAR(150)</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Snapshot inmutable del ponente del curso.</w:t>
            </w:r>
          </w:p>
        </w:tc>
      </w:tr>
      <w:tr>
        <w:tc>
          <w:tcPr>
            <w:tcW w:type="dxa" w:w="2448"/>
            <w:shd w:fill="F8FAFC"/>
            <w:tcMar>
              <w:top w:w="100" w:type="dxa"/>
              <w:bottom w:w="100" w:type="dxa"/>
              <w:left w:w="120" w:type="dxa"/>
              <w:right w:w="120" w:type="dxa"/>
            </w:tcMar>
          </w:tcPr>
          <w:p>
            <w:pPr>
              <w:spacing w:after="0" w:line="276" w:lineRule="auto"/>
              <w:jc w:val="left"/>
            </w:pPr>
            <w:r>
              <w:rPr>
                <w:rFonts w:ascii="Arial" w:hAnsi="Arial"/>
                <w:color w:val="334155"/>
                <w:sz w:val="16"/>
              </w:rPr>
              <w:t>duracion</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VARCHAR(50)</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Snapshot inmutable de la carga horaria académica.</w:t>
            </w:r>
          </w:p>
        </w:tc>
      </w:tr>
      <w:tr>
        <w:tc>
          <w:tcPr>
            <w:tcW w:type="dxa" w:w="2448"/>
            <w:shd w:fill="FFFFFF"/>
            <w:tcMar>
              <w:top w:w="100" w:type="dxa"/>
              <w:bottom w:w="100" w:type="dxa"/>
              <w:left w:w="120" w:type="dxa"/>
              <w:right w:w="120" w:type="dxa"/>
            </w:tcMar>
          </w:tcPr>
          <w:p>
            <w:pPr>
              <w:spacing w:after="0" w:line="276" w:lineRule="auto"/>
              <w:jc w:val="left"/>
            </w:pPr>
            <w:r>
              <w:rPr>
                <w:rFonts w:ascii="Arial" w:hAnsi="Arial"/>
                <w:color w:val="334155"/>
                <w:sz w:val="16"/>
              </w:rPr>
              <w:t>creditos</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INTEGER</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Snapshot inmutable de los créditos universitarios asignados.</w:t>
            </w:r>
          </w:p>
        </w:tc>
      </w:tr>
      <w:tr>
        <w:tc>
          <w:tcPr>
            <w:tcW w:type="dxa" w:w="2448"/>
            <w:shd w:fill="F8FAFC"/>
            <w:tcMar>
              <w:top w:w="100" w:type="dxa"/>
              <w:bottom w:w="100" w:type="dxa"/>
              <w:left w:w="120" w:type="dxa"/>
              <w:right w:w="120" w:type="dxa"/>
            </w:tcMar>
          </w:tcPr>
          <w:p>
            <w:pPr>
              <w:spacing w:after="0" w:line="276" w:lineRule="auto"/>
              <w:jc w:val="left"/>
            </w:pPr>
            <w:r>
              <w:rPr>
                <w:rFonts w:ascii="Arial" w:hAnsi="Arial"/>
                <w:color w:val="334155"/>
                <w:sz w:val="16"/>
              </w:rPr>
              <w:t>fecha_emision</w:t>
            </w:r>
          </w:p>
        </w:tc>
        <w:tc>
          <w:tcPr>
            <w:tcW w:type="dxa" w:w="2304"/>
            <w:shd w:fill="F8FAFC"/>
            <w:tcMar>
              <w:top w:w="100" w:type="dxa"/>
              <w:bottom w:w="100" w:type="dxa"/>
              <w:left w:w="120" w:type="dxa"/>
              <w:right w:w="120" w:type="dxa"/>
            </w:tcMar>
          </w:tcPr>
          <w:p>
            <w:pPr>
              <w:spacing w:after="0" w:line="276" w:lineRule="auto"/>
              <w:jc w:val="left"/>
            </w:pPr>
            <w:r>
              <w:rPr>
                <w:rFonts w:ascii="Arial" w:hAnsi="Arial"/>
                <w:color w:val="334155"/>
                <w:sz w:val="16"/>
              </w:rPr>
              <w:t>TIMESTAMP</w:t>
            </w:r>
          </w:p>
        </w:tc>
        <w:tc>
          <w:tcPr>
            <w:tcW w:type="dxa" w:w="3888"/>
            <w:shd w:fill="F8FAFC"/>
            <w:tcMar>
              <w:top w:w="100" w:type="dxa"/>
              <w:bottom w:w="100" w:type="dxa"/>
              <w:left w:w="120" w:type="dxa"/>
              <w:right w:w="120" w:type="dxa"/>
            </w:tcMar>
          </w:tcPr>
          <w:p>
            <w:pPr>
              <w:spacing w:after="0" w:line="276" w:lineRule="auto"/>
              <w:jc w:val="left"/>
            </w:pPr>
            <w:r>
              <w:rPr>
                <w:rFonts w:ascii="Arial" w:hAnsi="Arial"/>
                <w:color w:val="334155"/>
                <w:sz w:val="16"/>
              </w:rPr>
              <w:t>Fecha y hora formal de expedición del documento.</w:t>
            </w:r>
          </w:p>
        </w:tc>
      </w:tr>
      <w:tr>
        <w:tc>
          <w:tcPr>
            <w:tcW w:type="dxa" w:w="2448"/>
            <w:shd w:fill="FFFFFF"/>
            <w:tcMar>
              <w:top w:w="100" w:type="dxa"/>
              <w:bottom w:w="100" w:type="dxa"/>
              <w:left w:w="120" w:type="dxa"/>
              <w:right w:w="120" w:type="dxa"/>
            </w:tcMar>
          </w:tcPr>
          <w:p>
            <w:pPr>
              <w:spacing w:after="0" w:line="276" w:lineRule="auto"/>
              <w:jc w:val="left"/>
            </w:pPr>
            <w:r>
              <w:rPr>
                <w:rFonts w:ascii="Arial" w:hAnsi="Arial"/>
                <w:color w:val="334155"/>
                <w:sz w:val="16"/>
              </w:rPr>
              <w:t>url_verificacion</w:t>
            </w:r>
          </w:p>
        </w:tc>
        <w:tc>
          <w:tcPr>
            <w:tcW w:type="dxa" w:w="2304"/>
            <w:shd w:fill="FFFFFF"/>
            <w:tcMar>
              <w:top w:w="100" w:type="dxa"/>
              <w:bottom w:w="100" w:type="dxa"/>
              <w:left w:w="120" w:type="dxa"/>
              <w:right w:w="120" w:type="dxa"/>
            </w:tcMar>
          </w:tcPr>
          <w:p>
            <w:pPr>
              <w:spacing w:after="0" w:line="276" w:lineRule="auto"/>
              <w:jc w:val="left"/>
            </w:pPr>
            <w:r>
              <w:rPr>
                <w:rFonts w:ascii="Arial" w:hAnsi="Arial"/>
                <w:color w:val="334155"/>
                <w:sz w:val="16"/>
              </w:rPr>
              <w:t>VARCHAR(255)</w:t>
            </w:r>
          </w:p>
        </w:tc>
        <w:tc>
          <w:tcPr>
            <w:tcW w:type="dxa" w:w="3888"/>
            <w:shd w:fill="FFFFFF"/>
            <w:tcMar>
              <w:top w:w="100" w:type="dxa"/>
              <w:bottom w:w="100" w:type="dxa"/>
              <w:left w:w="120" w:type="dxa"/>
              <w:right w:w="120" w:type="dxa"/>
            </w:tcMar>
          </w:tcPr>
          <w:p>
            <w:pPr>
              <w:spacing w:after="0" w:line="276" w:lineRule="auto"/>
              <w:jc w:val="left"/>
            </w:pPr>
            <w:r>
              <w:rPr>
                <w:rFonts w:ascii="Arial" w:hAnsi="Arial"/>
                <w:color w:val="334155"/>
                <w:sz w:val="16"/>
              </w:rPr>
              <w:t>Enlace web directo de validación pública.</w:t>
            </w:r>
          </w:p>
        </w:tc>
      </w:tr>
    </w:tbl>
    <w:p>
      <w:pPr>
        <w:spacing w:before="60" w:after="60"/>
      </w:pPr>
    </w:p>
    <w:p>
      <w:pPr>
        <w:keepNext/>
        <w:spacing w:before="200" w:after="40"/>
      </w:pPr>
      <w:r>
        <w:rPr>
          <w:rFonts w:ascii="Arial" w:hAnsi="Arial"/>
          <w:b/>
          <w:color w:val="6D1A24"/>
          <w:sz w:val="21"/>
        </w:rPr>
        <w:t>F. Tablas Complementarias: `configuracion_pago` y `mensajes_contacto`</w:t>
      </w:r>
    </w:p>
    <w:p>
      <w:pPr>
        <w:pStyle w:val="ListBullet"/>
        <w:spacing w:line="276" w:lineRule="auto" w:after="60"/>
        <w:jc w:val="both"/>
      </w:pPr>
      <w:r>
        <w:rPr>
          <w:rFonts w:ascii="Arial" w:hAnsi="Arial"/>
          <w:b/>
          <w:color w:val="1E293B"/>
          <w:sz w:val="19"/>
        </w:rPr>
        <w:t xml:space="preserve">Configuración de Pago (`configuracion_pago`): </w:t>
      </w:r>
      <w:r>
        <w:rPr>
          <w:rFonts w:ascii="Arial" w:hAnsi="Arial"/>
          <w:color w:val="334155"/>
          <w:sz w:val="19"/>
        </w:rPr>
        <w:t>Almacena de forma dinámica el número telefónico de Yape, el nombre del titular y el código QR oficial, modificables desde el panel administrativo sin tocar código fuente.</w:t>
      </w:r>
    </w:p>
    <w:p>
      <w:pPr>
        <w:pStyle w:val="ListBullet"/>
        <w:spacing w:line="276" w:lineRule="auto" w:after="60"/>
        <w:jc w:val="both"/>
      </w:pPr>
      <w:r>
        <w:rPr>
          <w:rFonts w:ascii="Arial" w:hAnsi="Arial"/>
          <w:b/>
          <w:color w:val="1E293B"/>
          <w:sz w:val="19"/>
        </w:rPr>
        <w:t xml:space="preserve">Mensajes de Contacto (`mensajes_contacto`): </w:t>
      </w:r>
      <w:r>
        <w:rPr>
          <w:rFonts w:ascii="Arial" w:hAnsi="Arial"/>
          <w:color w:val="334155"/>
          <w:sz w:val="19"/>
        </w:rPr>
        <w:t>Bandeja de consultas ciudadanas enviadas desde el formulario público de contacto, con control de lectura, fecha y respuestas directas por correo o WhatsApp.</w:t>
      </w:r>
    </w:p>
    <w:p>
      <w:r>
        <w:br w:type="page"/>
      </w:r>
    </w:p>
    <w:p>
      <w:pPr>
        <w:keepNext/>
        <w:spacing w:before="440" w:after="120"/>
      </w:pPr>
      <w:r>
        <w:rPr>
          <w:rFonts w:ascii="Arial" w:hAnsi="Arial"/>
          <w:b/>
          <w:color w:val="6D1A24"/>
          <w:sz w:val="28"/>
        </w:rPr>
        <w:t>CAPÍTULO 5: DESCRIPCIÓN FUNCIONAL DETALLADA DE MÓDULOS IMPLEMENTADOS</w:t>
      </w:r>
    </w:p>
    <w:p>
      <w:pPr>
        <w:keepNext/>
        <w:spacing w:before="280" w:after="80"/>
      </w:pPr>
      <w:r>
        <w:rPr>
          <w:rFonts w:ascii="Arial" w:hAnsi="Arial"/>
          <w:b/>
          <w:color w:val="1E293B"/>
          <w:sz w:val="23"/>
        </w:rPr>
        <w:t>5.1 Portal Público e Identidad Académica Institucional</w:t>
      </w:r>
    </w:p>
    <w:p>
      <w:pPr>
        <w:pStyle w:val="ListBullet"/>
        <w:spacing w:line="276" w:lineRule="auto" w:after="60"/>
        <w:jc w:val="both"/>
      </w:pPr>
      <w:r>
        <w:rPr>
          <w:rFonts w:ascii="Arial" w:hAnsi="Arial"/>
          <w:b/>
          <w:color w:val="1E293B"/>
          <w:sz w:val="19"/>
        </w:rPr>
        <w:t xml:space="preserve">Navbar Glassmorphism: </w:t>
      </w:r>
      <w:r>
        <w:rPr>
          <w:rFonts w:ascii="Arial" w:hAnsi="Arial"/>
          <w:color w:val="334155"/>
          <w:sz w:val="19"/>
        </w:rPr>
        <w:t>Encabezado de cristal translúcido fijado (`position: sticky`) con desenfoque de fondo que mantiene accesibles los enlaces de navegación, catálogo y autenticación.</w:t>
      </w:r>
    </w:p>
    <w:p>
      <w:pPr>
        <w:pStyle w:val="ListBullet"/>
        <w:spacing w:line="276" w:lineRule="auto" w:after="60"/>
        <w:jc w:val="both"/>
      </w:pPr>
      <w:r>
        <w:rPr>
          <w:rFonts w:ascii="Arial" w:hAnsi="Arial"/>
          <w:b/>
          <w:color w:val="1E293B"/>
          <w:sz w:val="19"/>
        </w:rPr>
        <w:t xml:space="preserve">Hero Section Tecnológico: </w:t>
      </w:r>
      <w:r>
        <w:rPr>
          <w:rFonts w:ascii="Arial" w:hAnsi="Arial"/>
          <w:color w:val="334155"/>
          <w:sz w:val="19"/>
        </w:rPr>
        <w:t>Presentación con malla neuronal vectorial SVG, resplandores multicapa en granate institucional (#6D1A24) y oro (#C99738), tarjeta de estadísticas reflectiva y marca de agua institucional del Isotipo puro.</w:t>
      </w:r>
    </w:p>
    <w:p>
      <w:pPr>
        <w:pStyle w:val="ListBullet"/>
        <w:spacing w:line="276" w:lineRule="auto" w:after="60"/>
        <w:jc w:val="both"/>
      </w:pPr>
      <w:r>
        <w:rPr>
          <w:rFonts w:ascii="Arial" w:hAnsi="Arial"/>
          <w:b/>
          <w:color w:val="1E293B"/>
          <w:sz w:val="19"/>
        </w:rPr>
        <w:t xml:space="preserve">Vitrina Flotante de Convocatorias: </w:t>
      </w:r>
      <w:r>
        <w:rPr>
          <w:rFonts w:ascii="Arial" w:hAnsi="Arial"/>
          <w:color w:val="334155"/>
          <w:sz w:val="19"/>
        </w:rPr>
        <w:t>Módulo flotante destacado en portada (`.flyer-vitrina-card`) con bordes dorados y sombra tridimensional donde se exhibe el afiche oficial del curso más reciente, excluido automáticamente de la cuadrícula inferior para evitar duplicidad visual.</w:t>
      </w:r>
    </w:p>
    <w:p>
      <w:pPr>
        <w:pStyle w:val="ListBullet"/>
        <w:spacing w:line="276" w:lineRule="auto" w:after="60"/>
        <w:jc w:val="both"/>
      </w:pPr>
      <w:r>
        <w:rPr>
          <w:rFonts w:ascii="Arial" w:hAnsi="Arial"/>
          <w:b/>
          <w:color w:val="1E293B"/>
          <w:sz w:val="19"/>
        </w:rPr>
        <w:t xml:space="preserve">Catálogo Académico: </w:t>
      </w:r>
      <w:r>
        <w:rPr>
          <w:rFonts w:ascii="Arial" w:hAnsi="Arial"/>
          <w:color w:val="334155"/>
          <w:sz w:val="19"/>
        </w:rPr>
        <w:t>Cuadrícula interactiva con filtrado en tiempo real por Líneas de Investigación, mostrando precio general y preferencial, cupos vacantes y badge de estado.</w:t>
      </w:r>
    </w:p>
    <w:p>
      <w:pPr>
        <w:pStyle w:val="ListBullet"/>
        <w:spacing w:line="276" w:lineRule="auto" w:after="60"/>
        <w:jc w:val="both"/>
      </w:pPr>
      <w:r>
        <w:rPr>
          <w:rFonts w:ascii="Arial" w:hAnsi="Arial"/>
          <w:b/>
          <w:color w:val="1E293B"/>
          <w:sz w:val="19"/>
        </w:rPr>
        <w:t xml:space="preserve">Ficha Detallada del Curso: </w:t>
      </w:r>
      <w:r>
        <w:rPr>
          <w:rFonts w:ascii="Arial" w:hAnsi="Arial"/>
          <w:color w:val="334155"/>
          <w:sz w:val="19"/>
        </w:rPr>
        <w:t>Ficha exhaustiva con temario, perfil del ponente (foto, cargo y especialidad), créditos académicos y botón inteligente de inscripción.</w:t>
      </w:r>
    </w:p>
    <w:p>
      <w:pPr>
        <w:keepNext/>
        <w:spacing w:before="280" w:after="80"/>
      </w:pPr>
      <w:r>
        <w:rPr>
          <w:rFonts w:ascii="Arial" w:hAnsi="Arial"/>
          <w:b/>
          <w:color w:val="1E293B"/>
          <w:sz w:val="23"/>
        </w:rPr>
        <w:t>5.2 Módulo de Registro y Validación Rigurosa de Identidad</w:t>
      </w:r>
    </w:p>
    <w:p>
      <w:pPr>
        <w:pStyle w:val="ListBullet"/>
        <w:spacing w:line="276" w:lineRule="auto" w:after="60"/>
        <w:jc w:val="both"/>
      </w:pPr>
      <w:r>
        <w:rPr>
          <w:rFonts w:ascii="Arial" w:hAnsi="Arial"/>
          <w:b/>
          <w:color w:val="1E293B"/>
          <w:sz w:val="19"/>
        </w:rPr>
        <w:t xml:space="preserve">Validación de Documento de Identidad: </w:t>
      </w:r>
      <w:r>
        <w:rPr>
          <w:rFonts w:ascii="Arial" w:hAnsi="Arial"/>
          <w:color w:val="334155"/>
          <w:sz w:val="19"/>
        </w:rPr>
        <w:t>Al seleccionar DNI, el campo bloquea letras y caracteres especiales, restringiendo la longitud a exactamente 8 dígitos numéricos mediante expresiones regulares (`^[0-9]{8}$`). Si se elige Pasaporte o Carné de Extranjería, admite hasta 12 caracteres alfanuméricos.</w:t>
      </w:r>
    </w:p>
    <w:p>
      <w:pPr>
        <w:pStyle w:val="ListBullet"/>
        <w:spacing w:line="276" w:lineRule="auto" w:after="60"/>
        <w:jc w:val="both"/>
      </w:pPr>
      <w:r>
        <w:rPr>
          <w:rFonts w:ascii="Arial" w:hAnsi="Arial"/>
          <w:b/>
          <w:color w:val="1E293B"/>
          <w:sz w:val="19"/>
        </w:rPr>
        <w:t xml:space="preserve">Validación de Celular Peruano: </w:t>
      </w:r>
      <w:r>
        <w:rPr>
          <w:rFonts w:ascii="Arial" w:hAnsi="Arial"/>
          <w:color w:val="334155"/>
          <w:sz w:val="19"/>
        </w:rPr>
        <w:t>Se restringe a exactamente 9 dígitos numéricos iniciando con 9 (`^9[0-9]{8}$`), garantizando que sea un número celular peruano apto para el enlace automático a WhatsApp.</w:t>
      </w:r>
    </w:p>
    <w:p>
      <w:pPr>
        <w:pStyle w:val="ListBullet"/>
        <w:spacing w:line="276" w:lineRule="auto" w:after="60"/>
        <w:jc w:val="both"/>
      </w:pPr>
      <w:r>
        <w:rPr>
          <w:rFonts w:ascii="Arial" w:hAnsi="Arial"/>
          <w:b/>
          <w:color w:val="1E293B"/>
          <w:sz w:val="19"/>
        </w:rPr>
        <w:t xml:space="preserve">Prevención de Duplicados: </w:t>
      </w:r>
      <w:r>
        <w:rPr>
          <w:rFonts w:ascii="Arial" w:hAnsi="Arial"/>
          <w:color w:val="334155"/>
          <w:sz w:val="19"/>
        </w:rPr>
        <w:t>El sistema valida la inexistencia de correos o números de documento repetidos, mostrando alertas visuales inline sin perder los datos previamente digitados.</w:t>
      </w:r>
    </w:p>
    <w:p>
      <w:pPr>
        <w:keepNext/>
        <w:spacing w:before="280" w:after="80"/>
      </w:pPr>
      <w:r>
        <w:rPr>
          <w:rFonts w:ascii="Arial" w:hAnsi="Arial"/>
          <w:b/>
          <w:color w:val="1E293B"/>
          <w:sz w:val="23"/>
        </w:rPr>
        <w:t>5.3 Pasarela de Pago Yape y Subida Inteligente de Comprobantes</w:t>
      </w:r>
    </w:p>
    <w:p>
      <w:pPr>
        <w:pStyle w:val="ListBullet"/>
        <w:spacing w:line="276" w:lineRule="auto" w:after="60"/>
        <w:jc w:val="both"/>
      </w:pPr>
      <w:r>
        <w:rPr>
          <w:rFonts w:ascii="Arial" w:hAnsi="Arial"/>
          <w:b/>
          <w:color w:val="1E293B"/>
          <w:sz w:val="19"/>
        </w:rPr>
        <w:t xml:space="preserve">Instrucciones Claras y QR Dinámico: </w:t>
      </w:r>
      <w:r>
        <w:rPr>
          <w:rFonts w:ascii="Arial" w:hAnsi="Arial"/>
          <w:color w:val="334155"/>
          <w:sz w:val="19"/>
        </w:rPr>
        <w:t>El estudiante visualiza el código QR oficial de Yape, el número telefónico institucional y el titular configurados por la administración.</w:t>
      </w:r>
    </w:p>
    <w:p>
      <w:pPr>
        <w:pStyle w:val="ListBullet"/>
        <w:spacing w:line="276" w:lineRule="auto" w:after="60"/>
        <w:jc w:val="both"/>
      </w:pPr>
      <w:r>
        <w:rPr>
          <w:rFonts w:ascii="Arial" w:hAnsi="Arial"/>
          <w:b/>
          <w:color w:val="1E293B"/>
          <w:sz w:val="19"/>
        </w:rPr>
        <w:t xml:space="preserve">Formulario de Declaración: </w:t>
      </w:r>
      <w:r>
        <w:rPr>
          <w:rFonts w:ascii="Arial" w:hAnsi="Arial"/>
          <w:color w:val="334155"/>
          <w:sz w:val="19"/>
        </w:rPr>
        <w:t>El estudiante adjunta la captura del voucher y digita el número de operación que figura en su aplicativo bancario.</w:t>
      </w:r>
    </w:p>
    <w:p>
      <w:pPr>
        <w:pStyle w:val="ListBullet"/>
        <w:spacing w:line="276" w:lineRule="auto" w:after="60"/>
        <w:jc w:val="both"/>
      </w:pPr>
      <w:r>
        <w:rPr>
          <w:rFonts w:ascii="Arial" w:hAnsi="Arial"/>
          <w:b/>
          <w:color w:val="1E293B"/>
          <w:sz w:val="19"/>
        </w:rPr>
        <w:t xml:space="preserve">Autocompresión de Imágenes en Cliente: </w:t>
      </w:r>
      <w:r>
        <w:rPr>
          <w:rFonts w:ascii="Arial" w:hAnsi="Arial"/>
          <w:color w:val="334155"/>
          <w:sz w:val="19"/>
        </w:rPr>
        <w:t>Antes de iniciar la subida de red, un script en JavaScript intercepta la imagen fotográfica (que en teléfonos suele pesar entre 3MB y 8MB) y la redimensiona/comprime dinámicamente mediante HTML5 Canvas a ~250KB con calidad 0.85, reduciendo el tiempo de subida en más del 90%.</w:t>
      </w:r>
    </w:p>
    <w:p>
      <w:pPr>
        <w:pStyle w:val="ListBullet"/>
        <w:spacing w:line="276" w:lineRule="auto" w:after="60"/>
        <w:jc w:val="both"/>
      </w:pPr>
      <w:r>
        <w:rPr>
          <w:rFonts w:ascii="Arial" w:hAnsi="Arial"/>
          <w:b/>
          <w:color w:val="1E293B"/>
          <w:sz w:val="19"/>
        </w:rPr>
        <w:t xml:space="preserve">Almacenamiento Seguro: </w:t>
      </w:r>
      <w:r>
        <w:rPr>
          <w:rFonts w:ascii="Arial" w:hAnsi="Arial"/>
          <w:color w:val="334155"/>
          <w:sz w:val="19"/>
        </w:rPr>
        <w:t>El archivo se almacena en Cloudinary bajo la carpeta `cursos_sistema/comprobantes` con enlace seguro HTTPS, contando con fallback en disco local.</w:t>
      </w:r>
    </w:p>
    <w:p>
      <w:pPr>
        <w:pStyle w:val="ListBullet"/>
        <w:spacing w:line="276" w:lineRule="auto" w:after="60"/>
        <w:jc w:val="both"/>
      </w:pPr>
      <w:r>
        <w:rPr>
          <w:rFonts w:ascii="Arial" w:hAnsi="Arial"/>
          <w:b/>
          <w:color w:val="1E293B"/>
          <w:sz w:val="19"/>
        </w:rPr>
        <w:t xml:space="preserve">Notificación Inmediata: </w:t>
      </w:r>
      <w:r>
        <w:rPr>
          <w:rFonts w:ascii="Arial" w:hAnsi="Arial"/>
          <w:color w:val="334155"/>
          <w:sz w:val="19"/>
        </w:rPr>
        <w:t>Al registrarse el comprobante, el participante recibe un correo electrónico confirmando la recepción y notificándole que su vacante ha sido reservada.</w:t>
      </w:r>
    </w:p>
    <w:p>
      <w:pPr>
        <w:keepNext/>
        <w:spacing w:before="280" w:after="80"/>
      </w:pPr>
      <w:r>
        <w:rPr>
          <w:rFonts w:ascii="Arial" w:hAnsi="Arial"/>
          <w:b/>
          <w:color w:val="1E293B"/>
          <w:sz w:val="23"/>
        </w:rPr>
        <w:t>5.4 Panel de Control del Participante (Estudiante)</w:t>
      </w:r>
    </w:p>
    <w:p>
      <w:pPr>
        <w:pStyle w:val="ListBullet"/>
        <w:spacing w:line="276" w:lineRule="auto" w:after="60"/>
        <w:jc w:val="both"/>
      </w:pPr>
      <w:r>
        <w:rPr>
          <w:rFonts w:ascii="Arial" w:hAnsi="Arial"/>
          <w:b/>
          <w:color w:val="1E293B"/>
          <w:sz w:val="19"/>
        </w:rPr>
        <w:t xml:space="preserve">Mis Cursos y Estado de Matrícula: </w:t>
      </w:r>
      <w:r>
        <w:rPr>
          <w:rFonts w:ascii="Arial" w:hAnsi="Arial"/>
          <w:color w:val="334155"/>
          <w:sz w:val="19"/>
        </w:rPr>
        <w:t>Listado de todos los cursos a los que ha postulado, con badges visuales de estado (`Pendiente`, `En Verificación`, `Aprobada`, `Completada`).</w:t>
      </w:r>
    </w:p>
    <w:p>
      <w:pPr>
        <w:pStyle w:val="ListBullet"/>
        <w:spacing w:line="276" w:lineRule="auto" w:after="60"/>
        <w:jc w:val="both"/>
      </w:pPr>
      <w:r>
        <w:rPr>
          <w:rFonts w:ascii="Arial" w:hAnsi="Arial"/>
          <w:b/>
          <w:color w:val="1E293B"/>
          <w:sz w:val="19"/>
        </w:rPr>
        <w:t xml:space="preserve">Acceso Seguro a Clases Virtuales: </w:t>
      </w:r>
      <w:r>
        <w:rPr>
          <w:rFonts w:ascii="Arial" w:hAnsi="Arial"/>
          <w:color w:val="334155"/>
          <w:sz w:val="19"/>
        </w:rPr>
        <w:t>Cuando la administración aprueba el pago, el panel activa de inmediato el botón destacado `📹 Unirse a la Clase en Vivo (Zoom / Meet)` que redirige a la sala virtual oficial.</w:t>
      </w:r>
    </w:p>
    <w:p>
      <w:pPr>
        <w:pStyle w:val="ListBullet"/>
        <w:spacing w:line="276" w:lineRule="auto" w:after="60"/>
        <w:jc w:val="both"/>
      </w:pPr>
      <w:r>
        <w:rPr>
          <w:rFonts w:ascii="Arial" w:hAnsi="Arial"/>
          <w:b/>
          <w:color w:val="1E293B"/>
          <w:sz w:val="19"/>
        </w:rPr>
        <w:t xml:space="preserve">Grupo Oficial de WhatsApp: </w:t>
      </w:r>
      <w:r>
        <w:rPr>
          <w:rFonts w:ascii="Arial" w:hAnsi="Arial"/>
          <w:color w:val="334155"/>
          <w:sz w:val="19"/>
        </w:rPr>
        <w:t>Botón directo que abre el aplicativo WhatsApp con el enlace de invitación al grupo privado de estudiantes del curso.</w:t>
      </w:r>
    </w:p>
    <w:p>
      <w:pPr>
        <w:pStyle w:val="ListBullet"/>
        <w:spacing w:line="276" w:lineRule="auto" w:after="60"/>
        <w:jc w:val="both"/>
      </w:pPr>
      <w:r>
        <w:rPr>
          <w:rFonts w:ascii="Arial" w:hAnsi="Arial"/>
          <w:b/>
          <w:color w:val="1E293B"/>
          <w:sz w:val="19"/>
        </w:rPr>
        <w:t xml:space="preserve">Descarga Directa de Certificado: </w:t>
      </w:r>
      <w:r>
        <w:rPr>
          <w:rFonts w:ascii="Arial" w:hAnsi="Arial"/>
          <w:color w:val="334155"/>
          <w:sz w:val="19"/>
        </w:rPr>
        <w:t>Al culminar el curso, el participante puede visualizar su diploma en la web o descargarlo en PDF de alta resolución con un solo clic.</w:t>
      </w:r>
    </w:p>
    <w:p>
      <w:pPr>
        <w:keepNext/>
        <w:spacing w:before="280" w:after="80"/>
      </w:pPr>
      <w:r>
        <w:rPr>
          <w:rFonts w:ascii="Arial" w:hAnsi="Arial"/>
          <w:b/>
          <w:color w:val="1E293B"/>
          <w:sz w:val="23"/>
        </w:rPr>
        <w:t>5.5 Panel de Administración y Gestión Académica Integral</w:t>
      </w:r>
    </w:p>
    <w:p>
      <w:pPr>
        <w:pStyle w:val="ListBullet"/>
        <w:spacing w:line="276" w:lineRule="auto" w:after="60"/>
        <w:jc w:val="both"/>
      </w:pPr>
      <w:r>
        <w:rPr>
          <w:rFonts w:ascii="Arial" w:hAnsi="Arial"/>
          <w:b/>
          <w:color w:val="1E293B"/>
          <w:sz w:val="19"/>
        </w:rPr>
        <w:t xml:space="preserve">Dashboard Ejecutivo: </w:t>
      </w:r>
      <w:r>
        <w:rPr>
          <w:rFonts w:ascii="Arial" w:hAnsi="Arial"/>
          <w:color w:val="334155"/>
          <w:sz w:val="19"/>
        </w:rPr>
        <w:t>Tarjetas analíticas con indicadores en tiempo real: Cursos Activos, Pagos Pendientes, Alumnos Aprobados, Diplomas Emitidos, Usuarios Registrados y Mensajes Nuevos.</w:t>
      </w:r>
    </w:p>
    <w:p>
      <w:pPr>
        <w:pStyle w:val="ListBullet"/>
        <w:spacing w:line="276" w:lineRule="auto" w:after="60"/>
        <w:jc w:val="both"/>
      </w:pPr>
      <w:r>
        <w:rPr>
          <w:rFonts w:ascii="Arial" w:hAnsi="Arial"/>
          <w:b/>
          <w:color w:val="1E293B"/>
          <w:sz w:val="19"/>
        </w:rPr>
        <w:t xml:space="preserve">Gestión Integral de Cursos: </w:t>
      </w:r>
      <w:r>
        <w:rPr>
          <w:rFonts w:ascii="Arial" w:hAnsi="Arial"/>
          <w:color w:val="334155"/>
          <w:sz w:val="19"/>
        </w:rPr>
        <w:t>Formularios para crear y editar cursos, fijar precios diferenciados, asignar cupos, ingresar enlaces de Meet y WhatsApp, cargar foto del ponente y publicar el afiche en portada.</w:t>
      </w:r>
    </w:p>
    <w:p>
      <w:pPr>
        <w:pStyle w:val="ListBullet"/>
        <w:spacing w:line="276" w:lineRule="auto" w:after="60"/>
        <w:jc w:val="both"/>
      </w:pPr>
      <w:r>
        <w:rPr>
          <w:rFonts w:ascii="Arial" w:hAnsi="Arial"/>
          <w:b/>
          <w:color w:val="1E293B"/>
          <w:sz w:val="19"/>
        </w:rPr>
        <w:t xml:space="preserve">Bandeja de Auditoría de Pagos: </w:t>
      </w:r>
      <w:r>
        <w:rPr>
          <w:rFonts w:ascii="Arial" w:hAnsi="Arial"/>
          <w:color w:val="334155"/>
          <w:sz w:val="19"/>
        </w:rPr>
        <w:t>Lista interactiva donde el administrador examina la captura del voucher en alta resolución, coteja el número de operación y aprueba la matrícula (descontando automáticamente una vacante) o la rechaza ingresando el motivo con notificación por correo.</w:t>
      </w:r>
    </w:p>
    <w:p>
      <w:pPr>
        <w:pStyle w:val="ListBullet"/>
        <w:spacing w:line="276" w:lineRule="auto" w:after="60"/>
        <w:jc w:val="both"/>
      </w:pPr>
      <w:r>
        <w:rPr>
          <w:rFonts w:ascii="Arial" w:hAnsi="Arial"/>
          <w:b/>
          <w:color w:val="1E293B"/>
          <w:sz w:val="19"/>
        </w:rPr>
        <w:t xml:space="preserve">Directorio de Usuarios: </w:t>
      </w:r>
      <w:r>
        <w:rPr>
          <w:rFonts w:ascii="Arial" w:hAnsi="Arial"/>
          <w:color w:val="334155"/>
          <w:sz w:val="19"/>
        </w:rPr>
        <w:t>Directorio paginado con buscador por nombre, DNI o correo, con pestañas interactivas para filtrar participantes por curso específico o sin cursos, y botón directo a WhatsApp.</w:t>
      </w:r>
    </w:p>
    <w:p>
      <w:pPr>
        <w:pStyle w:val="ListBullet"/>
        <w:spacing w:line="276" w:lineRule="auto" w:after="60"/>
        <w:jc w:val="both"/>
      </w:pPr>
      <w:r>
        <w:rPr>
          <w:rFonts w:ascii="Arial" w:hAnsi="Arial"/>
          <w:b/>
          <w:color w:val="1E293B"/>
          <w:sz w:val="19"/>
        </w:rPr>
        <w:t xml:space="preserve">Exportación de Padrón a Excel: </w:t>
      </w:r>
      <w:r>
        <w:rPr>
          <w:rFonts w:ascii="Arial" w:hAnsi="Arial"/>
          <w:color w:val="334155"/>
          <w:sz w:val="19"/>
        </w:rPr>
        <w:t>Descarga instantánea del listado oficial de inscritos por curso en formato CSV/Excel con codificación UTF-8 BOM para apertura nativa en Microsoft Excel.</w:t>
      </w:r>
    </w:p>
    <w:p>
      <w:pPr>
        <w:pStyle w:val="ListBullet"/>
        <w:spacing w:line="276" w:lineRule="auto" w:after="60"/>
        <w:jc w:val="both"/>
      </w:pPr>
      <w:r>
        <w:rPr>
          <w:rFonts w:ascii="Arial" w:hAnsi="Arial"/>
          <w:b/>
          <w:color w:val="1E293B"/>
          <w:sz w:val="19"/>
        </w:rPr>
        <w:t xml:space="preserve">Centro de Consultas de Contacto: </w:t>
      </w:r>
      <w:r>
        <w:rPr>
          <w:rFonts w:ascii="Arial" w:hAnsi="Arial"/>
          <w:color w:val="334155"/>
          <w:sz w:val="19"/>
        </w:rPr>
        <w:t>Bandeja con buscador, badges de estado (`NUEVO`, `Leído`, `Atendido`) y botones de respuesta rápida vía `mailto:` o WhatsApp.</w:t>
      </w:r>
    </w:p>
    <w:p>
      <w:pPr>
        <w:pStyle w:val="ListBullet"/>
        <w:spacing w:line="276" w:lineRule="auto" w:after="60"/>
        <w:jc w:val="both"/>
      </w:pPr>
      <w:r>
        <w:rPr>
          <w:rFonts w:ascii="Arial" w:hAnsi="Arial"/>
          <w:b/>
          <w:color w:val="1E293B"/>
          <w:sz w:val="19"/>
        </w:rPr>
        <w:t xml:space="preserve">Configuración Dinámica de Cobros: </w:t>
      </w:r>
      <w:r>
        <w:rPr>
          <w:rFonts w:ascii="Arial" w:hAnsi="Arial"/>
          <w:color w:val="334155"/>
          <w:sz w:val="19"/>
        </w:rPr>
        <w:t>Módulo para actualizar el número de Yape, titular y cargar un nuevo código QR sin reiniciar el servidor.</w:t>
      </w:r>
    </w:p>
    <w:p>
      <w:pPr>
        <w:keepNext/>
        <w:spacing w:before="280" w:after="80"/>
      </w:pPr>
      <w:r>
        <w:rPr>
          <w:rFonts w:ascii="Arial" w:hAnsi="Arial"/>
          <w:b/>
          <w:color w:val="1E293B"/>
          <w:sz w:val="23"/>
        </w:rPr>
        <w:t>5.6 Generador y Estudio Oficial de Afiches (Flyer Studio)</w:t>
      </w:r>
    </w:p>
    <w:p>
      <w:pPr>
        <w:pStyle w:val="ListBullet"/>
        <w:spacing w:line="276" w:lineRule="auto" w:after="60"/>
        <w:jc w:val="both"/>
      </w:pPr>
      <w:r>
        <w:rPr>
          <w:rFonts w:ascii="Arial" w:hAnsi="Arial"/>
          <w:b/>
          <w:color w:val="1E293B"/>
          <w:sz w:val="19"/>
        </w:rPr>
        <w:t xml:space="preserve">Tres Temas Visuales Oficiales: </w:t>
      </w:r>
      <w:r>
        <w:rPr>
          <w:rFonts w:ascii="Arial" w:hAnsi="Arial"/>
          <w:color w:val="334155"/>
          <w:sz w:val="19"/>
        </w:rPr>
        <w:t>Granate UNA (institucional), Cyber Dark (moderno tecnológico) y Deep Emerald (académico científico).</w:t>
      </w:r>
    </w:p>
    <w:p>
      <w:pPr>
        <w:pStyle w:val="ListBullet"/>
        <w:spacing w:line="276" w:lineRule="auto" w:after="60"/>
        <w:jc w:val="both"/>
      </w:pPr>
      <w:r>
        <w:rPr>
          <w:rFonts w:ascii="Arial" w:hAnsi="Arial"/>
          <w:b/>
          <w:color w:val="1E293B"/>
          <w:sz w:val="19"/>
        </w:rPr>
        <w:t xml:space="preserve">Dos Formatos Estándar: </w:t>
      </w:r>
      <w:r>
        <w:rPr>
          <w:rFonts w:ascii="Arial" w:hAnsi="Arial"/>
          <w:color w:val="334155"/>
          <w:sz w:val="19"/>
        </w:rPr>
        <w:t>Formato Vertical (4:5 para WhatsApp e Instagram) y Formato Cuadrado (1:1 para publicaciones y Facebook).</w:t>
      </w:r>
    </w:p>
    <w:p>
      <w:pPr>
        <w:pStyle w:val="ListBullet"/>
        <w:spacing w:line="276" w:lineRule="auto" w:after="60"/>
        <w:jc w:val="both"/>
      </w:pPr>
      <w:r>
        <w:rPr>
          <w:rFonts w:ascii="Arial" w:hAnsi="Arial"/>
          <w:b/>
          <w:color w:val="1E293B"/>
          <w:sz w:val="19"/>
        </w:rPr>
        <w:t xml:space="preserve">Sincronización Automática: </w:t>
      </w:r>
      <w:r>
        <w:rPr>
          <w:rFonts w:ascii="Arial" w:hAnsi="Arial"/>
          <w:color w:val="334155"/>
          <w:sz w:val="19"/>
        </w:rPr>
        <w:t>Permite seleccionar cualquier curso del sistema y poblar instantáneamente título, ponente, fecha, horas, precios y certificaciones.</w:t>
      </w:r>
    </w:p>
    <w:p>
      <w:pPr>
        <w:pStyle w:val="ListBullet"/>
        <w:spacing w:line="276" w:lineRule="auto" w:after="60"/>
        <w:jc w:val="both"/>
      </w:pPr>
      <w:r>
        <w:rPr>
          <w:rFonts w:ascii="Arial" w:hAnsi="Arial"/>
          <w:b/>
          <w:color w:val="1E293B"/>
          <w:sz w:val="19"/>
        </w:rPr>
        <w:t xml:space="preserve">Foto Profesional del Docente: </w:t>
      </w:r>
      <w:r>
        <w:rPr>
          <w:rFonts w:ascii="Arial" w:hAnsi="Arial"/>
          <w:color w:val="334155"/>
          <w:sz w:val="19"/>
        </w:rPr>
        <w:t>Carga interactiva con previsualización circular instantánea y recorte institucional.</w:t>
      </w:r>
    </w:p>
    <w:p>
      <w:pPr>
        <w:pStyle w:val="ListBullet"/>
        <w:spacing w:line="276" w:lineRule="auto" w:after="60"/>
        <w:jc w:val="both"/>
      </w:pPr>
      <w:r>
        <w:rPr>
          <w:rFonts w:ascii="Arial" w:hAnsi="Arial"/>
          <w:b/>
          <w:color w:val="1E293B"/>
          <w:sz w:val="19"/>
        </w:rPr>
        <w:t xml:space="preserve">Exportación en Alta Resolución (2.5x): </w:t>
      </w:r>
      <w:r>
        <w:rPr>
          <w:rFonts w:ascii="Arial" w:hAnsi="Arial"/>
          <w:color w:val="334155"/>
          <w:sz w:val="19"/>
        </w:rPr>
        <w:t>Mediante `html2canvas`, el afiche se rasteriza a escala 2.5x produciendo una imagen PNG nítida lista para imprimir o compartir, permitiendo además copiar la imagen directamente al portapapeles.</w:t>
      </w:r>
    </w:p>
    <w:p>
      <w:pPr>
        <w:keepNext/>
        <w:spacing w:before="280" w:after="80"/>
      </w:pPr>
      <w:r>
        <w:rPr>
          <w:rFonts w:ascii="Arial" w:hAnsi="Arial"/>
          <w:b/>
          <w:color w:val="1E293B"/>
          <w:sz w:val="23"/>
        </w:rPr>
        <w:t>5.7 Módulo Oficial de Certificación Digital y Validación QR</w:t>
      </w:r>
    </w:p>
    <w:p>
      <w:pPr>
        <w:pStyle w:val="ListBullet"/>
        <w:spacing w:line="276" w:lineRule="auto" w:after="60"/>
        <w:jc w:val="both"/>
      </w:pPr>
      <w:r>
        <w:rPr>
          <w:rFonts w:ascii="Arial" w:hAnsi="Arial"/>
          <w:b/>
          <w:color w:val="1E293B"/>
          <w:sz w:val="19"/>
        </w:rPr>
        <w:t xml:space="preserve">Snapshots Inmutables de Seguridad: </w:t>
      </w:r>
      <w:r>
        <w:rPr>
          <w:rFonts w:ascii="Arial" w:hAnsi="Arial"/>
          <w:color w:val="334155"/>
          <w:sz w:val="19"/>
        </w:rPr>
        <w:t>Al completarse un curso, se genera un código alfanumérico único (UUID) y se guarda una copia inmutable de los datos del estudiante, curso, ponente, horas y créditos en la tabla `certificados`.</w:t>
      </w:r>
    </w:p>
    <w:p>
      <w:pPr>
        <w:pStyle w:val="ListBullet"/>
        <w:spacing w:line="276" w:lineRule="auto" w:after="60"/>
        <w:jc w:val="both"/>
      </w:pPr>
      <w:r>
        <w:rPr>
          <w:rFonts w:ascii="Arial" w:hAnsi="Arial"/>
          <w:b/>
          <w:color w:val="1E293B"/>
          <w:sz w:val="19"/>
        </w:rPr>
        <w:t xml:space="preserve">Diploma Digital Web Interactivo: </w:t>
      </w:r>
      <w:r>
        <w:rPr>
          <w:rFonts w:ascii="Arial" w:hAnsi="Arial"/>
          <w:color w:val="334155"/>
          <w:sz w:val="19"/>
        </w:rPr>
        <w:t>Vista en pantalla completa con medallón digital dorado animado en relieve, marca de agua del Isotipo puro de red neuronal, orla ornamental perimetral en Granate y Oro, y botón Add to LinkedIn.</w:t>
      </w:r>
    </w:p>
    <w:p>
      <w:pPr>
        <w:pStyle w:val="ListBullet"/>
        <w:spacing w:line="276" w:lineRule="auto" w:after="60"/>
        <w:jc w:val="both"/>
      </w:pPr>
      <w:r>
        <w:rPr>
          <w:rFonts w:ascii="Arial" w:hAnsi="Arial"/>
          <w:b/>
          <w:color w:val="1E293B"/>
          <w:sz w:val="19"/>
        </w:rPr>
        <w:t xml:space="preserve">Generador de PDF de Gala Universitario: </w:t>
      </w:r>
      <w:r>
        <w:rPr>
          <w:rFonts w:ascii="Arial" w:hAnsi="Arial"/>
          <w:color w:val="334155"/>
          <w:sz w:val="19"/>
        </w:rPr>
        <w:t>Motor OpenPDF configurado para trazar la orla universitaria, aplicar el Isotipo en capa inferior translúcida al 8.5% (`PdfGState`), incrustar firmas de la Directiva y Decanatura, y generar el código QR vectorial.</w:t>
      </w:r>
    </w:p>
    <w:p>
      <w:pPr>
        <w:pStyle w:val="ListBullet"/>
        <w:spacing w:line="276" w:lineRule="auto" w:after="60"/>
        <w:jc w:val="both"/>
      </w:pPr>
      <w:r>
        <w:rPr>
          <w:rFonts w:ascii="Arial" w:hAnsi="Arial"/>
          <w:b/>
          <w:color w:val="1E293B"/>
          <w:sz w:val="19"/>
        </w:rPr>
        <w:t xml:space="preserve">Portal Público de Validación Universitaria: </w:t>
      </w:r>
      <w:r>
        <w:rPr>
          <w:rFonts w:ascii="Arial" w:hAnsi="Arial"/>
          <w:color w:val="334155"/>
          <w:sz w:val="19"/>
        </w:rPr>
        <w:t>Ruta abierta (`/verificar` y `/verificar/{codigo}`) donde cualquier entidad o empleador puede escanear el QR o ingresar el código alfanumérico para comprobar la legitimidad del diploma y descargar el documento PDF original.</w:t>
      </w:r>
    </w:p>
    <w:p>
      <w:r>
        <w:br w:type="page"/>
      </w:r>
    </w:p>
    <w:p>
      <w:pPr>
        <w:keepNext/>
        <w:spacing w:before="440" w:after="120"/>
      </w:pPr>
      <w:r>
        <w:rPr>
          <w:rFonts w:ascii="Arial" w:hAnsi="Arial"/>
          <w:b/>
          <w:color w:val="6D1A24"/>
          <w:sz w:val="28"/>
        </w:rPr>
        <w:t>CAPÍTULO 6: SEGURIDAD INFORMÁTICA, RENDIMIENTO Y BUENAS PRÁCTICAS</w:t>
      </w:r>
    </w:p>
    <w:p>
      <w:pPr>
        <w:keepNext/>
        <w:spacing w:before="280" w:after="80"/>
      </w:pPr>
      <w:r>
        <w:rPr>
          <w:rFonts w:ascii="Arial" w:hAnsi="Arial"/>
          <w:b/>
          <w:color w:val="1E293B"/>
          <w:sz w:val="23"/>
        </w:rPr>
        <w:t>6.1 Mecanismos de Seguridad y Control de Acceso</w:t>
      </w:r>
    </w:p>
    <w:p>
      <w:pPr>
        <w:pStyle w:val="ListBullet"/>
        <w:spacing w:line="276" w:lineRule="auto" w:after="60"/>
        <w:jc w:val="both"/>
      </w:pPr>
      <w:r>
        <w:rPr>
          <w:rFonts w:ascii="Arial" w:hAnsi="Arial"/>
          <w:b/>
          <w:color w:val="1E293B"/>
          <w:sz w:val="19"/>
        </w:rPr>
        <w:t xml:space="preserve">Control Basado en Roles (RBAC): </w:t>
      </w:r>
      <w:r>
        <w:rPr>
          <w:rFonts w:ascii="Arial" w:hAnsi="Arial"/>
          <w:color w:val="334155"/>
          <w:sz w:val="19"/>
        </w:rPr>
        <w:t>Configuración estricta de `SecurityFilterChain` dividiendo las rutas en públicas, de participantes autenticados y administrativas, bloqueando accesos no autorizados.</w:t>
      </w:r>
    </w:p>
    <w:p>
      <w:pPr>
        <w:pStyle w:val="ListBullet"/>
        <w:spacing w:line="276" w:lineRule="auto" w:after="60"/>
        <w:jc w:val="both"/>
      </w:pPr>
      <w:r>
        <w:rPr>
          <w:rFonts w:ascii="Arial" w:hAnsi="Arial"/>
          <w:b/>
          <w:color w:val="1E293B"/>
          <w:sz w:val="19"/>
        </w:rPr>
        <w:t xml:space="preserve">Criptografía de Contraseñas: </w:t>
      </w:r>
      <w:r>
        <w:rPr>
          <w:rFonts w:ascii="Arial" w:hAnsi="Arial"/>
          <w:color w:val="334155"/>
          <w:sz w:val="19"/>
        </w:rPr>
        <w:t>Todas las contraseñas se cifran mediante la función hash criptográfica de una vía BCrypt con factor de costo 10 antes de persistirse en base de datos.</w:t>
      </w:r>
    </w:p>
    <w:p>
      <w:pPr>
        <w:pStyle w:val="ListBullet"/>
        <w:spacing w:line="276" w:lineRule="auto" w:after="60"/>
        <w:jc w:val="both"/>
      </w:pPr>
      <w:r>
        <w:rPr>
          <w:rFonts w:ascii="Arial" w:hAnsi="Arial"/>
          <w:b/>
          <w:color w:val="1E293B"/>
          <w:sz w:val="19"/>
        </w:rPr>
        <w:t xml:space="preserve">Protección CSRF: </w:t>
      </w:r>
      <w:r>
        <w:rPr>
          <w:rFonts w:ascii="Arial" w:hAnsi="Arial"/>
          <w:color w:val="334155"/>
          <w:sz w:val="19"/>
        </w:rPr>
        <w:t>Activación estricta de tokens CSRF en todos los formularios POST, protegiendo al sistema contra peticiones maliciosas forjadas desde sitios externos.</w:t>
      </w:r>
    </w:p>
    <w:p>
      <w:pPr>
        <w:pStyle w:val="ListBullet"/>
        <w:spacing w:line="276" w:lineRule="auto" w:after="60"/>
        <w:jc w:val="both"/>
      </w:pPr>
      <w:r>
        <w:rPr>
          <w:rFonts w:ascii="Arial" w:hAnsi="Arial"/>
          <w:b/>
          <w:color w:val="1E293B"/>
          <w:sz w:val="19"/>
        </w:rPr>
        <w:t xml:space="preserve">Privacidad Financiera: </w:t>
      </w:r>
      <w:r>
        <w:rPr>
          <w:rFonts w:ascii="Arial" w:hAnsi="Arial"/>
          <w:color w:val="334155"/>
          <w:sz w:val="19"/>
        </w:rPr>
        <w:t>Los comprobantes de pago se sirven a través del endpoint protegido `/comprobantes/{archivo}`, el cual valida la sesión y restringe la visualización exclusivamente al propietario y administradores.</w:t>
      </w:r>
    </w:p>
    <w:p>
      <w:pPr>
        <w:keepNext/>
        <w:spacing w:before="280" w:after="80"/>
      </w:pPr>
      <w:r>
        <w:rPr>
          <w:rFonts w:ascii="Arial" w:hAnsi="Arial"/>
          <w:b/>
          <w:color w:val="1E293B"/>
          <w:sz w:val="23"/>
        </w:rPr>
        <w:t>6.2 Optimización de Rendimiento y Latencia de Red</w:t>
      </w:r>
    </w:p>
    <w:p>
      <w:pPr>
        <w:pStyle w:val="ListBullet"/>
        <w:spacing w:line="276" w:lineRule="auto" w:after="60"/>
        <w:jc w:val="both"/>
      </w:pPr>
      <w:r>
        <w:rPr>
          <w:rFonts w:ascii="Arial" w:hAnsi="Arial"/>
          <w:b/>
          <w:color w:val="1E293B"/>
          <w:sz w:val="19"/>
        </w:rPr>
        <w:t xml:space="preserve">Eliminación de Consultas N+1: </w:t>
      </w:r>
      <w:r>
        <w:rPr>
          <w:rFonts w:ascii="Arial" w:hAnsi="Arial"/>
          <w:color w:val="334155"/>
          <w:sz w:val="19"/>
        </w:rPr>
        <w:t>Sustitución de consultas perezosas en bucles por sentencias `JOIN FETCH` en `CursoRepository`, `PagoRepository` e `InscripcionRepository`, consolidando decenas de peticiones de red en 1 sola consulta SQL.</w:t>
      </w:r>
    </w:p>
    <w:p>
      <w:pPr>
        <w:pStyle w:val="ListBullet"/>
        <w:spacing w:line="276" w:lineRule="auto" w:after="60"/>
        <w:jc w:val="both"/>
      </w:pPr>
      <w:r>
        <w:rPr>
          <w:rFonts w:ascii="Arial" w:hAnsi="Arial"/>
          <w:b/>
          <w:color w:val="1E293B"/>
          <w:sz w:val="19"/>
        </w:rPr>
        <w:t xml:space="preserve">Conexiones Calientes (HikariCP): </w:t>
      </w:r>
      <w:r>
        <w:rPr>
          <w:rFonts w:ascii="Arial" w:hAnsi="Arial"/>
          <w:color w:val="334155"/>
          <w:sz w:val="19"/>
        </w:rPr>
        <w:t>Configuración del pool HikariCP con `minimum-idle=5` y `maximum-pool-size=10`, manteniendo conexiones TLS calientes preestablecidas hacia Neon DB (Ohio) sin retardos de negociación SSL.</w:t>
      </w:r>
    </w:p>
    <w:p>
      <w:pPr>
        <w:pStyle w:val="ListBullet"/>
        <w:spacing w:line="276" w:lineRule="auto" w:after="60"/>
        <w:jc w:val="both"/>
      </w:pPr>
      <w:r>
        <w:rPr>
          <w:rFonts w:ascii="Arial" w:hAnsi="Arial"/>
          <w:b/>
          <w:color w:val="1E293B"/>
          <w:sz w:val="19"/>
        </w:rPr>
        <w:t xml:space="preserve">Compresión HTTP GZIP: </w:t>
      </w:r>
      <w:r>
        <w:rPr>
          <w:rFonts w:ascii="Arial" w:hAnsi="Arial"/>
          <w:color w:val="334155"/>
          <w:sz w:val="19"/>
        </w:rPr>
        <w:t>Habilitación de compresión GZIP en el servidor para documentos HTML, CSS, JavaScript y JSON, reduciendo el tamaño de transferencia en más de un 70%.</w:t>
      </w:r>
    </w:p>
    <w:p>
      <w:pPr>
        <w:pStyle w:val="ListBullet"/>
        <w:spacing w:line="276" w:lineRule="auto" w:after="60"/>
        <w:jc w:val="both"/>
      </w:pPr>
      <w:r>
        <w:rPr>
          <w:rFonts w:ascii="Arial" w:hAnsi="Arial"/>
          <w:b/>
          <w:color w:val="1E293B"/>
          <w:sz w:val="19"/>
        </w:rPr>
        <w:t xml:space="preserve">Caché de Recursos Estáticos: </w:t>
      </w:r>
      <w:r>
        <w:rPr>
          <w:rFonts w:ascii="Arial" w:hAnsi="Arial"/>
          <w:color w:val="334155"/>
          <w:sz w:val="19"/>
        </w:rPr>
        <w:t>Configuración de `Cache-Control: max-age=604800, public` (7 días) para hojas de estilo, scripts y logotipos, permitiendo que carguen en 0 ms desde la caché del navegador.</w:t>
      </w:r>
    </w:p>
    <w:p>
      <w:pPr>
        <w:pStyle w:val="ListBullet"/>
        <w:spacing w:line="276" w:lineRule="auto" w:after="60"/>
        <w:jc w:val="both"/>
      </w:pPr>
      <w:r>
        <w:rPr>
          <w:rFonts w:ascii="Arial" w:hAnsi="Arial"/>
          <w:b/>
          <w:color w:val="1E293B"/>
          <w:sz w:val="19"/>
        </w:rPr>
        <w:t xml:space="preserve">Prefetching Predictivo al Hover: </w:t>
      </w:r>
      <w:r>
        <w:rPr>
          <w:rFonts w:ascii="Arial" w:hAnsi="Arial"/>
          <w:color w:val="334155"/>
          <w:sz w:val="19"/>
        </w:rPr>
        <w:t>Script en `main.js` que escucha eventos `mouseover` y `touchstart` sobre enlaces internos para precargar la página en segundo plano mediante `&lt;link rel="prefetch"&gt;`.</w:t>
      </w:r>
    </w:p>
    <w:p>
      <w:pPr>
        <w:pStyle w:val="ListBullet"/>
        <w:spacing w:line="276" w:lineRule="auto" w:after="60"/>
        <w:jc w:val="both"/>
      </w:pPr>
      <w:r>
        <w:rPr>
          <w:rFonts w:ascii="Arial" w:hAnsi="Arial"/>
          <w:b/>
          <w:color w:val="1E293B"/>
          <w:sz w:val="19"/>
        </w:rPr>
        <w:t xml:space="preserve">Desacoplamiento Asíncrono de Correos: </w:t>
      </w:r>
      <w:r>
        <w:rPr>
          <w:rFonts w:ascii="Arial" w:hAnsi="Arial"/>
          <w:color w:val="334155"/>
          <w:sz w:val="19"/>
        </w:rPr>
        <w:t>El servicio de envío de correos (`CorreoService`) opera de forma desacoplada con hilos en segundo plano (`@Async` y `TaskExecutor`), liberando la respuesta HTTP en menos de 50 ms.</w:t>
      </w:r>
    </w:p>
    <w:p>
      <w:pPr>
        <w:pStyle w:val="ListBullet"/>
        <w:spacing w:line="276" w:lineRule="auto" w:after="60"/>
        <w:jc w:val="both"/>
      </w:pPr>
      <w:r>
        <w:rPr>
          <w:rFonts w:ascii="Arial" w:hAnsi="Arial"/>
          <w:b/>
          <w:color w:val="1E293B"/>
          <w:sz w:val="19"/>
        </w:rPr>
        <w:t xml:space="preserve">Estética Universitaria Rigurosa: </w:t>
      </w:r>
      <w:r>
        <w:rPr>
          <w:rFonts w:ascii="Arial" w:hAnsi="Arial"/>
          <w:color w:val="334155"/>
          <w:sz w:val="19"/>
        </w:rPr>
        <w:t>Erradicación total de emojis informales en todas las vistas de la aplicación, adoptando una estética solemne, académica y rigurosa con iniciales monogramáticas y tipografía limpia.</w:t>
      </w:r>
    </w:p>
    <w:p>
      <w:r>
        <w:br w:type="page"/>
      </w:r>
    </w:p>
    <w:p>
      <w:pPr>
        <w:keepNext/>
        <w:spacing w:before="440" w:after="120"/>
      </w:pPr>
      <w:r>
        <w:rPr>
          <w:rFonts w:ascii="Arial" w:hAnsi="Arial"/>
          <w:b/>
          <w:color w:val="6D1A24"/>
          <w:sz w:val="28"/>
        </w:rPr>
        <w:t>CAPÍTULO 7: INFRAESTRUCTURA CLOUD Y GUÍA DE DESPLIEGUE</w:t>
      </w:r>
    </w:p>
    <w:p>
      <w:pPr>
        <w:keepNext/>
        <w:spacing w:before="280" w:after="80"/>
      </w:pPr>
      <w:r>
        <w:rPr>
          <w:rFonts w:ascii="Arial" w:hAnsi="Arial"/>
          <w:b/>
          <w:color w:val="1E293B"/>
          <w:sz w:val="23"/>
        </w:rPr>
        <w:t>7.1 Arquitectura de Despliegue en la Nube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3168"/>
            <w:shd w:fill="6D1A24"/>
            <w:tcMar>
              <w:top w:w="140" w:type="dxa"/>
              <w:bottom w:w="140" w:type="dxa"/>
              <w:left w:w="120" w:type="dxa"/>
              <w:right w:w="120" w:type="dxa"/>
            </w:tcMar>
          </w:tcPr>
          <w:p>
            <w:pPr>
              <w:spacing w:after="0"/>
              <w:jc w:val="left"/>
            </w:pPr>
            <w:r>
              <w:rPr>
                <w:rFonts w:ascii="Arial" w:hAnsi="Arial"/>
                <w:b/>
                <w:color w:val="FFFFFF"/>
                <w:sz w:val="17"/>
              </w:rPr>
              <w:t>Componente de Infraestructura</w:t>
            </w:r>
          </w:p>
        </w:tc>
        <w:tc>
          <w:tcPr>
            <w:tcW w:type="dxa" w:w="5472"/>
            <w:shd w:fill="6D1A24"/>
            <w:tcMar>
              <w:top w:w="140" w:type="dxa"/>
              <w:bottom w:w="140" w:type="dxa"/>
              <w:left w:w="120" w:type="dxa"/>
              <w:right w:w="120" w:type="dxa"/>
            </w:tcMar>
          </w:tcPr>
          <w:p>
            <w:pPr>
              <w:spacing w:after="0"/>
              <w:jc w:val="left"/>
            </w:pPr>
            <w:r>
              <w:rPr>
                <w:rFonts w:ascii="Arial" w:hAnsi="Arial"/>
                <w:b/>
                <w:color w:val="FFFFFF"/>
                <w:sz w:val="17"/>
              </w:rPr>
              <w:t>Detalle de Configuración y Operación</w:t>
            </w:r>
          </w:p>
        </w:tc>
      </w:tr>
      <w:tr>
        <w:tc>
          <w:tcPr>
            <w:tcW w:type="dxa" w:w="3168"/>
            <w:shd w:fill="FFFFFF"/>
            <w:tcMar>
              <w:top w:w="100" w:type="dxa"/>
              <w:bottom w:w="100" w:type="dxa"/>
              <w:left w:w="120" w:type="dxa"/>
              <w:right w:w="120" w:type="dxa"/>
            </w:tcMar>
          </w:tcPr>
          <w:p>
            <w:pPr>
              <w:spacing w:after="0" w:line="276" w:lineRule="auto"/>
              <w:jc w:val="left"/>
            </w:pPr>
            <w:r>
              <w:rPr>
                <w:rFonts w:ascii="Arial" w:hAnsi="Arial"/>
                <w:color w:val="334155"/>
                <w:sz w:val="16"/>
              </w:rPr>
              <w:t>Servicio Web (Web Service)</w:t>
            </w:r>
          </w:p>
        </w:tc>
        <w:tc>
          <w:tcPr>
            <w:tcW w:type="dxa" w:w="5472"/>
            <w:shd w:fill="FFFFFF"/>
            <w:tcMar>
              <w:top w:w="100" w:type="dxa"/>
              <w:bottom w:w="100" w:type="dxa"/>
              <w:left w:w="120" w:type="dxa"/>
              <w:right w:w="120" w:type="dxa"/>
            </w:tcMar>
          </w:tcPr>
          <w:p>
            <w:pPr>
              <w:spacing w:after="0" w:line="276" w:lineRule="auto"/>
              <w:jc w:val="left"/>
            </w:pPr>
            <w:r>
              <w:rPr>
                <w:rFonts w:ascii="Arial" w:hAnsi="Arial"/>
                <w:color w:val="334155"/>
                <w:sz w:val="16"/>
              </w:rPr>
              <w:t>Render Cloud Platform (Plan Web Service). Aloja la aplicación Spring Boot compilada en un contenedor Docker optimizado, con auto-reinicio, HTTPS gratuito y sincronización con GitHub.</w:t>
            </w:r>
          </w:p>
        </w:tc>
      </w:tr>
      <w:tr>
        <w:tc>
          <w:tcPr>
            <w:tcW w:type="dxa" w:w="3168"/>
            <w:shd w:fill="F8FAFC"/>
            <w:tcMar>
              <w:top w:w="100" w:type="dxa"/>
              <w:bottom w:w="100" w:type="dxa"/>
              <w:left w:w="120" w:type="dxa"/>
              <w:right w:w="120" w:type="dxa"/>
            </w:tcMar>
          </w:tcPr>
          <w:p>
            <w:pPr>
              <w:spacing w:after="0" w:line="276" w:lineRule="auto"/>
              <w:jc w:val="left"/>
            </w:pPr>
            <w:r>
              <w:rPr>
                <w:rFonts w:ascii="Arial" w:hAnsi="Arial"/>
                <w:color w:val="334155"/>
                <w:sz w:val="16"/>
              </w:rPr>
              <w:t>Base de Datos Serverless</w:t>
            </w:r>
          </w:p>
        </w:tc>
        <w:tc>
          <w:tcPr>
            <w:tcW w:type="dxa" w:w="5472"/>
            <w:shd w:fill="F8FAFC"/>
            <w:tcMar>
              <w:top w:w="100" w:type="dxa"/>
              <w:bottom w:w="100" w:type="dxa"/>
              <w:left w:w="120" w:type="dxa"/>
              <w:right w:w="120" w:type="dxa"/>
            </w:tcMar>
          </w:tcPr>
          <w:p>
            <w:pPr>
              <w:spacing w:after="0" w:line="276" w:lineRule="auto"/>
              <w:jc w:val="left"/>
            </w:pPr>
            <w:r>
              <w:rPr>
                <w:rFonts w:ascii="Arial" w:hAnsi="Arial"/>
                <w:color w:val="334155"/>
                <w:sz w:val="16"/>
              </w:rPr>
              <w:t>Neon PostgreSQL Cloud (AWS us-east-2). Base de datos relacional serverless con cifrado TLS forzado (`sslmode=require`), alta disponibilidad y copias de seguridad automáticas.</w:t>
            </w:r>
          </w:p>
        </w:tc>
      </w:tr>
      <w:tr>
        <w:tc>
          <w:tcPr>
            <w:tcW w:type="dxa" w:w="3168"/>
            <w:shd w:fill="FFFFFF"/>
            <w:tcMar>
              <w:top w:w="100" w:type="dxa"/>
              <w:bottom w:w="100" w:type="dxa"/>
              <w:left w:w="120" w:type="dxa"/>
              <w:right w:w="120" w:type="dxa"/>
            </w:tcMar>
          </w:tcPr>
          <w:p>
            <w:pPr>
              <w:spacing w:after="0" w:line="276" w:lineRule="auto"/>
              <w:jc w:val="left"/>
            </w:pPr>
            <w:r>
              <w:rPr>
                <w:rFonts w:ascii="Arial" w:hAnsi="Arial"/>
                <w:color w:val="334155"/>
                <w:sz w:val="16"/>
              </w:rPr>
              <w:t>Almacenamiento Multimedia (CDN)</w:t>
            </w:r>
          </w:p>
        </w:tc>
        <w:tc>
          <w:tcPr>
            <w:tcW w:type="dxa" w:w="5472"/>
            <w:shd w:fill="FFFFFF"/>
            <w:tcMar>
              <w:top w:w="100" w:type="dxa"/>
              <w:bottom w:w="100" w:type="dxa"/>
              <w:left w:w="120" w:type="dxa"/>
              <w:right w:w="120" w:type="dxa"/>
            </w:tcMar>
          </w:tcPr>
          <w:p>
            <w:pPr>
              <w:spacing w:after="0" w:line="276" w:lineRule="auto"/>
              <w:jc w:val="left"/>
            </w:pPr>
            <w:r>
              <w:rPr>
                <w:rFonts w:ascii="Arial" w:hAnsi="Arial"/>
                <w:color w:val="334155"/>
                <w:sz w:val="16"/>
              </w:rPr>
              <w:t>Cloudinary Media Cloud. Gestión de afiches promocionales y vouchers de pago con URLs seguras HTTPS y entrega mediante CDN global.</w:t>
            </w:r>
          </w:p>
        </w:tc>
      </w:tr>
      <w:tr>
        <w:tc>
          <w:tcPr>
            <w:tcW w:type="dxa" w:w="3168"/>
            <w:shd w:fill="F8FAFC"/>
            <w:tcMar>
              <w:top w:w="100" w:type="dxa"/>
              <w:bottom w:w="100" w:type="dxa"/>
              <w:left w:w="120" w:type="dxa"/>
              <w:right w:w="120" w:type="dxa"/>
            </w:tcMar>
          </w:tcPr>
          <w:p>
            <w:pPr>
              <w:spacing w:after="0" w:line="276" w:lineRule="auto"/>
              <w:jc w:val="left"/>
            </w:pPr>
            <w:r>
              <w:rPr>
                <w:rFonts w:ascii="Arial" w:hAnsi="Arial"/>
                <w:color w:val="334155"/>
                <w:sz w:val="16"/>
              </w:rPr>
              <w:t>Contenedor Docker Multi-Stage</w:t>
            </w:r>
          </w:p>
        </w:tc>
        <w:tc>
          <w:tcPr>
            <w:tcW w:type="dxa" w:w="5472"/>
            <w:shd w:fill="F8FAFC"/>
            <w:tcMar>
              <w:top w:w="100" w:type="dxa"/>
              <w:bottom w:w="100" w:type="dxa"/>
              <w:left w:w="120" w:type="dxa"/>
              <w:right w:w="120" w:type="dxa"/>
            </w:tcMar>
          </w:tcPr>
          <w:p>
            <w:pPr>
              <w:spacing w:after="0" w:line="276" w:lineRule="auto"/>
              <w:jc w:val="left"/>
            </w:pPr>
            <w:r>
              <w:rPr>
                <w:rFonts w:ascii="Arial" w:hAnsi="Arial"/>
                <w:color w:val="334155"/>
                <w:sz w:val="16"/>
              </w:rPr>
              <w:t>Construcción en 2 etapas: Etapa 1 compila el proyecto con Gradle y OpenJDK 17; Etapa 2 copia exclusivamente el archivo `.jar` resultante sobre una imagen ultraligera Alpine Linux con Eclipse Temurin JRE 17.</w:t>
            </w:r>
          </w:p>
        </w:tc>
      </w:tr>
    </w:tbl>
    <w:p>
      <w:pPr>
        <w:spacing w:before="60" w:after="60"/>
      </w:pPr>
    </w:p>
    <w:p>
      <w:pPr>
        <w:keepNext/>
        <w:spacing w:before="280" w:after="80"/>
      </w:pPr>
      <w:r>
        <w:rPr>
          <w:rFonts w:ascii="Arial" w:hAnsi="Arial"/>
          <w:b/>
          <w:color w:val="1E293B"/>
          <w:sz w:val="23"/>
        </w:rPr>
        <w:t>7.2 Matriz de Variables de Entorno de Producción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394"/>
        <w:gridCol w:w="4394"/>
      </w:tblGrid>
      <w:tr>
        <w:tc>
          <w:tcPr>
            <w:tcW w:type="dxa" w:w="3456"/>
            <w:shd w:fill="6D1A24"/>
            <w:tcMar>
              <w:top w:w="140" w:type="dxa"/>
              <w:bottom w:w="140" w:type="dxa"/>
              <w:left w:w="120" w:type="dxa"/>
              <w:right w:w="120" w:type="dxa"/>
            </w:tcMar>
          </w:tcPr>
          <w:p>
            <w:pPr>
              <w:spacing w:after="0"/>
              <w:jc w:val="left"/>
            </w:pPr>
            <w:r>
              <w:rPr>
                <w:rFonts w:ascii="Arial" w:hAnsi="Arial"/>
                <w:b/>
                <w:color w:val="FFFFFF"/>
                <w:sz w:val="17"/>
              </w:rPr>
              <w:t>Variable de Entorno</w:t>
            </w:r>
          </w:p>
        </w:tc>
        <w:tc>
          <w:tcPr>
            <w:tcW w:type="dxa" w:w="5184"/>
            <w:shd w:fill="6D1A24"/>
            <w:tcMar>
              <w:top w:w="140" w:type="dxa"/>
              <w:bottom w:w="140" w:type="dxa"/>
              <w:left w:w="120" w:type="dxa"/>
              <w:right w:w="120" w:type="dxa"/>
            </w:tcMar>
          </w:tcPr>
          <w:p>
            <w:pPr>
              <w:spacing w:after="0"/>
              <w:jc w:val="left"/>
            </w:pPr>
            <w:r>
              <w:rPr>
                <w:rFonts w:ascii="Arial" w:hAnsi="Arial"/>
                <w:b/>
                <w:color w:val="FFFFFF"/>
                <w:sz w:val="17"/>
              </w:rPr>
              <w:t>Propósito y Descripción</w:t>
            </w:r>
          </w:p>
        </w:tc>
      </w:tr>
      <w:tr>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PORT</w:t>
            </w:r>
          </w:p>
        </w:tc>
        <w:tc>
          <w:tcPr>
            <w:tcW w:type="dxa" w:w="5184"/>
            <w:shd w:fill="FFFFFF"/>
            <w:tcMar>
              <w:top w:w="100" w:type="dxa"/>
              <w:bottom w:w="100" w:type="dxa"/>
              <w:left w:w="120" w:type="dxa"/>
              <w:right w:w="120" w:type="dxa"/>
            </w:tcMar>
          </w:tcPr>
          <w:p>
            <w:pPr>
              <w:spacing w:after="0" w:line="276" w:lineRule="auto"/>
              <w:jc w:val="left"/>
            </w:pPr>
            <w:r>
              <w:rPr>
                <w:rFonts w:ascii="Arial" w:hAnsi="Arial"/>
                <w:color w:val="334155"/>
                <w:sz w:val="16"/>
              </w:rPr>
              <w:t>Puerto HTTP dinámico asignado por el proveedor de nube (por defecto: 8085).</w:t>
            </w:r>
          </w:p>
        </w:tc>
      </w:tr>
      <w:tr>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SPRING_DATASOURCE_URL</w:t>
            </w:r>
          </w:p>
        </w:tc>
        <w:tc>
          <w:tcPr>
            <w:tcW w:type="dxa" w:w="5184"/>
            <w:shd w:fill="F8FAFC"/>
            <w:tcMar>
              <w:top w:w="100" w:type="dxa"/>
              <w:bottom w:w="100" w:type="dxa"/>
              <w:left w:w="120" w:type="dxa"/>
              <w:right w:w="120" w:type="dxa"/>
            </w:tcMar>
          </w:tcPr>
          <w:p>
            <w:pPr>
              <w:spacing w:after="0" w:line="276" w:lineRule="auto"/>
              <w:jc w:val="left"/>
            </w:pPr>
            <w:r>
              <w:rPr>
                <w:rFonts w:ascii="Arial" w:hAnsi="Arial"/>
                <w:color w:val="334155"/>
                <w:sz w:val="16"/>
              </w:rPr>
              <w:t>Cadena de conexión JDBC PostgreSQL (ej. `jdbc:postgresql://ep-bold-...neon.tech/neondb?sslmode=require`).</w:t>
            </w:r>
          </w:p>
        </w:tc>
      </w:tr>
      <w:tr>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SPRING_DATASOURCE_USERNAME</w:t>
            </w:r>
          </w:p>
        </w:tc>
        <w:tc>
          <w:tcPr>
            <w:tcW w:type="dxa" w:w="5184"/>
            <w:shd w:fill="FFFFFF"/>
            <w:tcMar>
              <w:top w:w="100" w:type="dxa"/>
              <w:bottom w:w="100" w:type="dxa"/>
              <w:left w:w="120" w:type="dxa"/>
              <w:right w:w="120" w:type="dxa"/>
            </w:tcMar>
          </w:tcPr>
          <w:p>
            <w:pPr>
              <w:spacing w:after="0" w:line="276" w:lineRule="auto"/>
              <w:jc w:val="left"/>
            </w:pPr>
            <w:r>
              <w:rPr>
                <w:rFonts w:ascii="Arial" w:hAnsi="Arial"/>
                <w:color w:val="334155"/>
                <w:sz w:val="16"/>
              </w:rPr>
              <w:t>Usuario autorizado de la base de datos Neon PostgreSQL.</w:t>
            </w:r>
          </w:p>
        </w:tc>
      </w:tr>
      <w:tr>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SPRING_DATASOURCE_PASSWORD</w:t>
            </w:r>
          </w:p>
        </w:tc>
        <w:tc>
          <w:tcPr>
            <w:tcW w:type="dxa" w:w="5184"/>
            <w:shd w:fill="F8FAFC"/>
            <w:tcMar>
              <w:top w:w="100" w:type="dxa"/>
              <w:bottom w:w="100" w:type="dxa"/>
              <w:left w:w="120" w:type="dxa"/>
              <w:right w:w="120" w:type="dxa"/>
            </w:tcMar>
          </w:tcPr>
          <w:p>
            <w:pPr>
              <w:spacing w:after="0" w:line="276" w:lineRule="auto"/>
              <w:jc w:val="left"/>
            </w:pPr>
            <w:r>
              <w:rPr>
                <w:rFonts w:ascii="Arial" w:hAnsi="Arial"/>
                <w:color w:val="334155"/>
                <w:sz w:val="16"/>
              </w:rPr>
              <w:t>Contraseña segura de acceso a la base de datos.</w:t>
            </w:r>
          </w:p>
        </w:tc>
      </w:tr>
      <w:tr>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CLOUDINARY_CLOUD_NAME</w:t>
            </w:r>
          </w:p>
        </w:tc>
        <w:tc>
          <w:tcPr>
            <w:tcW w:type="dxa" w:w="5184"/>
            <w:shd w:fill="FFFFFF"/>
            <w:tcMar>
              <w:top w:w="100" w:type="dxa"/>
              <w:bottom w:w="100" w:type="dxa"/>
              <w:left w:w="120" w:type="dxa"/>
              <w:right w:w="120" w:type="dxa"/>
            </w:tcMar>
          </w:tcPr>
          <w:p>
            <w:pPr>
              <w:spacing w:after="0" w:line="276" w:lineRule="auto"/>
              <w:jc w:val="left"/>
            </w:pPr>
            <w:r>
              <w:rPr>
                <w:rFonts w:ascii="Arial" w:hAnsi="Arial"/>
                <w:color w:val="334155"/>
                <w:sz w:val="16"/>
              </w:rPr>
              <w:t>Identificador de la cuenta Cloudinary para almacenamiento.</w:t>
            </w:r>
          </w:p>
        </w:tc>
      </w:tr>
      <w:tr>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CLOUDINARY_API_KEY</w:t>
            </w:r>
          </w:p>
        </w:tc>
        <w:tc>
          <w:tcPr>
            <w:tcW w:type="dxa" w:w="5184"/>
            <w:shd w:fill="F8FAFC"/>
            <w:tcMar>
              <w:top w:w="100" w:type="dxa"/>
              <w:bottom w:w="100" w:type="dxa"/>
              <w:left w:w="120" w:type="dxa"/>
              <w:right w:w="120" w:type="dxa"/>
            </w:tcMar>
          </w:tcPr>
          <w:p>
            <w:pPr>
              <w:spacing w:after="0" w:line="276" w:lineRule="auto"/>
              <w:jc w:val="left"/>
            </w:pPr>
            <w:r>
              <w:rPr>
                <w:rFonts w:ascii="Arial" w:hAnsi="Arial"/>
                <w:color w:val="334155"/>
                <w:sz w:val="16"/>
              </w:rPr>
              <w:t>Llave pública de API para autenticación en Cloudinary.</w:t>
            </w:r>
          </w:p>
        </w:tc>
      </w:tr>
      <w:tr>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CLOUDINARY_API_SECRET</w:t>
            </w:r>
          </w:p>
        </w:tc>
        <w:tc>
          <w:tcPr>
            <w:tcW w:type="dxa" w:w="5184"/>
            <w:shd w:fill="FFFFFF"/>
            <w:tcMar>
              <w:top w:w="100" w:type="dxa"/>
              <w:bottom w:w="100" w:type="dxa"/>
              <w:left w:w="120" w:type="dxa"/>
              <w:right w:w="120" w:type="dxa"/>
            </w:tcMar>
          </w:tcPr>
          <w:p>
            <w:pPr>
              <w:spacing w:after="0" w:line="276" w:lineRule="auto"/>
              <w:jc w:val="left"/>
            </w:pPr>
            <w:r>
              <w:rPr>
                <w:rFonts w:ascii="Arial" w:hAnsi="Arial"/>
                <w:color w:val="334155"/>
                <w:sz w:val="16"/>
              </w:rPr>
              <w:t>Llave secreta de API para subida y gestión de archivos.</w:t>
            </w:r>
          </w:p>
        </w:tc>
      </w:tr>
      <w:tr>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MAIL_USERNAME</w:t>
            </w:r>
          </w:p>
        </w:tc>
        <w:tc>
          <w:tcPr>
            <w:tcW w:type="dxa" w:w="5184"/>
            <w:shd w:fill="F8FAFC"/>
            <w:tcMar>
              <w:top w:w="100" w:type="dxa"/>
              <w:bottom w:w="100" w:type="dxa"/>
              <w:left w:w="120" w:type="dxa"/>
              <w:right w:w="120" w:type="dxa"/>
            </w:tcMar>
          </w:tcPr>
          <w:p>
            <w:pPr>
              <w:spacing w:after="0" w:line="276" w:lineRule="auto"/>
              <w:jc w:val="left"/>
            </w:pPr>
            <w:r>
              <w:rPr>
                <w:rFonts w:ascii="Arial" w:hAnsi="Arial"/>
                <w:color w:val="334155"/>
                <w:sz w:val="16"/>
              </w:rPr>
              <w:t>Cuenta oficial de correo electrónico institucional (Gmail SMTP).</w:t>
            </w:r>
          </w:p>
        </w:tc>
      </w:tr>
      <w:tr>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MAIL_PASSWORD</w:t>
            </w:r>
          </w:p>
        </w:tc>
        <w:tc>
          <w:tcPr>
            <w:tcW w:type="dxa" w:w="5184"/>
            <w:shd w:fill="FFFFFF"/>
            <w:tcMar>
              <w:top w:w="100" w:type="dxa"/>
              <w:bottom w:w="100" w:type="dxa"/>
              <w:left w:w="120" w:type="dxa"/>
              <w:right w:w="120" w:type="dxa"/>
            </w:tcMar>
          </w:tcPr>
          <w:p>
            <w:pPr>
              <w:spacing w:after="0" w:line="276" w:lineRule="auto"/>
              <w:jc w:val="left"/>
            </w:pPr>
            <w:r>
              <w:rPr>
                <w:rFonts w:ascii="Arial" w:hAnsi="Arial"/>
                <w:color w:val="334155"/>
                <w:sz w:val="16"/>
              </w:rPr>
              <w:t>Contraseña de aplicación de 16 caracteres para envío seguro SMTP.</w:t>
            </w:r>
          </w:p>
        </w:tc>
      </w:tr>
    </w:tbl>
    <w:p>
      <w:pPr>
        <w:spacing w:before="60" w:after="60"/>
      </w:pPr>
    </w:p>
    <w:p>
      <w:r>
        <w:br w:type="page"/>
      </w:r>
    </w:p>
    <w:p>
      <w:pPr>
        <w:keepNext/>
        <w:spacing w:before="440" w:after="120"/>
      </w:pPr>
      <w:r>
        <w:rPr>
          <w:rFonts w:ascii="Arial" w:hAnsi="Arial"/>
          <w:b/>
          <w:color w:val="6D1A24"/>
          <w:sz w:val="28"/>
        </w:rPr>
        <w:t>CAPÍTULO 8: ASEGURAMIENTO DE CALIDAD Y PRUEBAS AUTOMATIZADAS (100%)</w:t>
      </w:r>
    </w:p>
    <w:p>
      <w:pPr>
        <w:keepNext/>
        <w:spacing w:before="280" w:after="80"/>
      </w:pPr>
      <w:r>
        <w:rPr>
          <w:rFonts w:ascii="Arial" w:hAnsi="Arial"/>
          <w:b/>
          <w:color w:val="1E293B"/>
          <w:sz w:val="23"/>
        </w:rPr>
        <w:t>8.1 Metodología de Pruebas</w:t>
      </w:r>
    </w:p>
    <w:p>
      <w:pPr>
        <w:spacing w:line="276" w:lineRule="auto" w:after="100"/>
        <w:jc w:val="both"/>
      </w:pPr>
      <w:r>
        <w:rPr>
          <w:rFonts w:ascii="Arial" w:hAnsi="Arial"/>
          <w:color w:val="334155"/>
          <w:sz w:val="19"/>
        </w:rPr>
        <w:t>Se diseñó una suite automatizada de pruebas unitarias y de integración ejecutadas mediante JUnit 5 y Spring Boot Test, utilizando una base de datos H2 en memoria para validar modelos, servicios y controladores de forma aislada y reproducible.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197"/>
        <w:gridCol w:w="2197"/>
        <w:gridCol w:w="2197"/>
        <w:gridCol w:w="2197"/>
      </w:tblGrid>
      <w:tr>
        <w:tc>
          <w:tcPr>
            <w:tcW w:type="dxa" w:w="2160"/>
            <w:shd w:fill="6D1A24"/>
            <w:tcMar>
              <w:top w:w="140" w:type="dxa"/>
              <w:bottom w:w="140" w:type="dxa"/>
              <w:left w:w="120" w:type="dxa"/>
              <w:right w:w="120" w:type="dxa"/>
            </w:tcMar>
          </w:tcPr>
          <w:p>
            <w:pPr>
              <w:spacing w:after="0"/>
              <w:jc w:val="left"/>
            </w:pPr>
            <w:r>
              <w:rPr>
                <w:rFonts w:ascii="Arial" w:hAnsi="Arial"/>
                <w:b/>
                <w:color w:val="FFFFFF"/>
                <w:sz w:val="17"/>
              </w:rPr>
              <w:t>Clase de Prueba</w:t>
            </w:r>
          </w:p>
        </w:tc>
        <w:tc>
          <w:tcPr>
            <w:tcW w:type="dxa" w:w="1872"/>
            <w:shd w:fill="6D1A24"/>
            <w:tcMar>
              <w:top w:w="140" w:type="dxa"/>
              <w:bottom w:w="140" w:type="dxa"/>
              <w:left w:w="120" w:type="dxa"/>
              <w:right w:w="120" w:type="dxa"/>
            </w:tcMar>
          </w:tcPr>
          <w:p>
            <w:pPr>
              <w:spacing w:after="0"/>
              <w:jc w:val="left"/>
            </w:pPr>
            <w:r>
              <w:rPr>
                <w:rFonts w:ascii="Arial" w:hAnsi="Arial"/>
                <w:b/>
                <w:color w:val="FFFFFF"/>
                <w:sz w:val="17"/>
              </w:rPr>
              <w:t>Módulo Auditado</w:t>
            </w:r>
          </w:p>
        </w:tc>
        <w:tc>
          <w:tcPr>
            <w:tcW w:type="dxa" w:w="3456"/>
            <w:shd w:fill="6D1A24"/>
            <w:tcMar>
              <w:top w:w="140" w:type="dxa"/>
              <w:bottom w:w="140" w:type="dxa"/>
              <w:left w:w="120" w:type="dxa"/>
              <w:right w:w="120" w:type="dxa"/>
            </w:tcMar>
          </w:tcPr>
          <w:p>
            <w:pPr>
              <w:spacing w:after="0"/>
              <w:jc w:val="left"/>
            </w:pPr>
            <w:r>
              <w:rPr>
                <w:rFonts w:ascii="Arial" w:hAnsi="Arial"/>
                <w:b/>
                <w:color w:val="FFFFFF"/>
                <w:sz w:val="17"/>
              </w:rPr>
              <w:t>Objetivo de Validación</w:t>
            </w:r>
          </w:p>
        </w:tc>
        <w:tc>
          <w:tcPr>
            <w:tcW w:type="dxa" w:w="1152"/>
            <w:shd w:fill="6D1A24"/>
            <w:tcMar>
              <w:top w:w="140" w:type="dxa"/>
              <w:bottom w:w="140" w:type="dxa"/>
              <w:left w:w="120" w:type="dxa"/>
              <w:right w:w="120" w:type="dxa"/>
            </w:tcMar>
          </w:tcPr>
          <w:p>
            <w:pPr>
              <w:spacing w:after="0"/>
              <w:jc w:val="left"/>
            </w:pPr>
            <w:r>
              <w:rPr>
                <w:rFonts w:ascii="Arial" w:hAnsi="Arial"/>
                <w:b/>
                <w:color w:val="FFFFFF"/>
                <w:sz w:val="17"/>
              </w:rPr>
              <w:t>Resultado</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CursosApplicationTests</w:t>
            </w:r>
          </w:p>
        </w:tc>
        <w:tc>
          <w:tcPr>
            <w:tcW w:type="dxa" w:w="1872"/>
            <w:shd w:fill="FFFFFF"/>
            <w:tcMar>
              <w:top w:w="100" w:type="dxa"/>
              <w:bottom w:w="100" w:type="dxa"/>
              <w:left w:w="120" w:type="dxa"/>
              <w:right w:w="120" w:type="dxa"/>
            </w:tcMar>
          </w:tcPr>
          <w:p>
            <w:pPr>
              <w:spacing w:after="0" w:line="276" w:lineRule="auto"/>
              <w:jc w:val="left"/>
            </w:pPr>
            <w:r>
              <w:rPr>
                <w:rFonts w:ascii="Arial" w:hAnsi="Arial"/>
                <w:color w:val="334155"/>
                <w:sz w:val="16"/>
              </w:rPr>
              <w:t>Inicialización del Contexto</w:t>
            </w:r>
          </w:p>
        </w:tc>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Verifica el levantamiento correcto de todos los beans de Spring Boot y componentes del sistema.</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1 / 1 Aprobada</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UsuarioServiceTest</w:t>
            </w:r>
          </w:p>
        </w:tc>
        <w:tc>
          <w:tcPr>
            <w:tcW w:type="dxa" w:w="1872"/>
            <w:shd w:fill="F8FAFC"/>
            <w:tcMar>
              <w:top w:w="100" w:type="dxa"/>
              <w:bottom w:w="100" w:type="dxa"/>
              <w:left w:w="120" w:type="dxa"/>
              <w:right w:w="120" w:type="dxa"/>
            </w:tcMar>
          </w:tcPr>
          <w:p>
            <w:pPr>
              <w:spacing w:after="0" w:line="276" w:lineRule="auto"/>
              <w:jc w:val="left"/>
            </w:pPr>
            <w:r>
              <w:rPr>
                <w:rFonts w:ascii="Arial" w:hAnsi="Arial"/>
                <w:color w:val="334155"/>
                <w:sz w:val="16"/>
              </w:rPr>
              <w:t>Servicio de Usuarios</w:t>
            </w:r>
          </w:p>
        </w:tc>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Valida el registro de estudiantes, hashing de contraseñas BCrypt, validación de DNI y prevención de correos duplicados.</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5 / 5 Aprobadas</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InscripcionServiceTest</w:t>
            </w:r>
          </w:p>
        </w:tc>
        <w:tc>
          <w:tcPr>
            <w:tcW w:type="dxa" w:w="1872"/>
            <w:shd w:fill="FFFFFF"/>
            <w:tcMar>
              <w:top w:w="100" w:type="dxa"/>
              <w:bottom w:w="100" w:type="dxa"/>
              <w:left w:w="120" w:type="dxa"/>
              <w:right w:w="120" w:type="dxa"/>
            </w:tcMar>
          </w:tcPr>
          <w:p>
            <w:pPr>
              <w:spacing w:after="0" w:line="276" w:lineRule="auto"/>
              <w:jc w:val="left"/>
            </w:pPr>
            <w:r>
              <w:rPr>
                <w:rFonts w:ascii="Arial" w:hAnsi="Arial"/>
                <w:color w:val="334155"/>
                <w:sz w:val="16"/>
              </w:rPr>
              <w:t>Servicio de Inscripciones</w:t>
            </w:r>
          </w:p>
        </w:tc>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Verifica el inicio de inscripción, bloqueo de inscripciones duplicadas, control de cupos y completado académico.</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6 / 6 Aprobadas</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PagoServiceTest</w:t>
            </w:r>
          </w:p>
        </w:tc>
        <w:tc>
          <w:tcPr>
            <w:tcW w:type="dxa" w:w="1872"/>
            <w:shd w:fill="F8FAFC"/>
            <w:tcMar>
              <w:top w:w="100" w:type="dxa"/>
              <w:bottom w:w="100" w:type="dxa"/>
              <w:left w:w="120" w:type="dxa"/>
              <w:right w:w="120" w:type="dxa"/>
            </w:tcMar>
          </w:tcPr>
          <w:p>
            <w:pPr>
              <w:spacing w:after="0" w:line="276" w:lineRule="auto"/>
              <w:jc w:val="left"/>
            </w:pPr>
            <w:r>
              <w:rPr>
                <w:rFonts w:ascii="Arial" w:hAnsi="Arial"/>
                <w:color w:val="334155"/>
                <w:sz w:val="16"/>
              </w:rPr>
              <w:t>Pasarela Financiera</w:t>
            </w:r>
          </w:p>
        </w:tc>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Prueba el registro de pagos Yape, aprobación de vouchers con descuento de cupos y rechazo con notas de observación.</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5 / 5 Aprobadas</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CursoServiceTest</w:t>
            </w:r>
          </w:p>
        </w:tc>
        <w:tc>
          <w:tcPr>
            <w:tcW w:type="dxa" w:w="1872"/>
            <w:shd w:fill="FFFFFF"/>
            <w:tcMar>
              <w:top w:w="100" w:type="dxa"/>
              <w:bottom w:w="100" w:type="dxa"/>
              <w:left w:w="120" w:type="dxa"/>
              <w:right w:w="120" w:type="dxa"/>
            </w:tcMar>
          </w:tcPr>
          <w:p>
            <w:pPr>
              <w:spacing w:after="0" w:line="276" w:lineRule="auto"/>
              <w:jc w:val="left"/>
            </w:pPr>
            <w:r>
              <w:rPr>
                <w:rFonts w:ascii="Arial" w:hAnsi="Arial"/>
                <w:color w:val="334155"/>
                <w:sz w:val="16"/>
              </w:rPr>
              <w:t>Gestión Académica</w:t>
            </w:r>
          </w:p>
        </w:tc>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Evalúa el listado de destacados, filtrado por líneas de investigación, gestión de cupos y activación de flyers.</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5 / 5 Aprobadas</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CertificadoServiceTest</w:t>
            </w:r>
          </w:p>
        </w:tc>
        <w:tc>
          <w:tcPr>
            <w:tcW w:type="dxa" w:w="1872"/>
            <w:shd w:fill="F8FAFC"/>
            <w:tcMar>
              <w:top w:w="100" w:type="dxa"/>
              <w:bottom w:w="100" w:type="dxa"/>
              <w:left w:w="120" w:type="dxa"/>
              <w:right w:w="120" w:type="dxa"/>
            </w:tcMar>
          </w:tcPr>
          <w:p>
            <w:pPr>
              <w:spacing w:after="0" w:line="276" w:lineRule="auto"/>
              <w:jc w:val="left"/>
            </w:pPr>
            <w:r>
              <w:rPr>
                <w:rFonts w:ascii="Arial" w:hAnsi="Arial"/>
                <w:color w:val="334155"/>
                <w:sz w:val="16"/>
              </w:rPr>
              <w:t>Certificación Digital</w:t>
            </w:r>
          </w:p>
        </w:tc>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Valida la emisión de certificados con snapshots inmutables, unicidad de código alfanumérico y consulta pública.</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4 / 4 Aprobadas</w:t>
            </w:r>
          </w:p>
        </w:tc>
      </w:tr>
      <w:tr>
        <w:tc>
          <w:tcPr>
            <w:tcW w:type="dxa" w:w="2160"/>
            <w:shd w:fill="FFFFFF"/>
            <w:tcMar>
              <w:top w:w="100" w:type="dxa"/>
              <w:bottom w:w="100" w:type="dxa"/>
              <w:left w:w="120" w:type="dxa"/>
              <w:right w:w="120" w:type="dxa"/>
            </w:tcMar>
          </w:tcPr>
          <w:p>
            <w:pPr>
              <w:spacing w:after="0" w:line="276" w:lineRule="auto"/>
              <w:jc w:val="left"/>
            </w:pPr>
            <w:r>
              <w:rPr>
                <w:rFonts w:ascii="Arial" w:hAnsi="Arial"/>
                <w:color w:val="334155"/>
                <w:sz w:val="16"/>
              </w:rPr>
              <w:t>CertificadoPdfGeneratorTest</w:t>
            </w:r>
          </w:p>
        </w:tc>
        <w:tc>
          <w:tcPr>
            <w:tcW w:type="dxa" w:w="1872"/>
            <w:shd w:fill="FFFFFF"/>
            <w:tcMar>
              <w:top w:w="100" w:type="dxa"/>
              <w:bottom w:w="100" w:type="dxa"/>
              <w:left w:w="120" w:type="dxa"/>
              <w:right w:w="120" w:type="dxa"/>
            </w:tcMar>
          </w:tcPr>
          <w:p>
            <w:pPr>
              <w:spacing w:after="0" w:line="276" w:lineRule="auto"/>
              <w:jc w:val="left"/>
            </w:pPr>
            <w:r>
              <w:rPr>
                <w:rFonts w:ascii="Arial" w:hAnsi="Arial"/>
                <w:color w:val="334155"/>
                <w:sz w:val="16"/>
              </w:rPr>
              <w:t>Motor de Diplomas PDF</w:t>
            </w:r>
          </w:p>
        </w:tc>
        <w:tc>
          <w:tcPr>
            <w:tcW w:type="dxa" w:w="3456"/>
            <w:shd w:fill="FFFFFF"/>
            <w:tcMar>
              <w:top w:w="100" w:type="dxa"/>
              <w:bottom w:w="100" w:type="dxa"/>
              <w:left w:w="120" w:type="dxa"/>
              <w:right w:w="120" w:type="dxa"/>
            </w:tcMar>
          </w:tcPr>
          <w:p>
            <w:pPr>
              <w:spacing w:after="0" w:line="276" w:lineRule="auto"/>
              <w:jc w:val="left"/>
            </w:pPr>
            <w:r>
              <w:rPr>
                <w:rFonts w:ascii="Arial" w:hAnsi="Arial"/>
                <w:color w:val="334155"/>
                <w:sz w:val="16"/>
              </w:rPr>
              <w:t>Verifica la generación del archivo binario PDF formal con OpenPDF, validando márgenes, orlas y QR.</w:t>
            </w:r>
          </w:p>
        </w:tc>
        <w:tc>
          <w:tcPr>
            <w:tcW w:type="dxa" w:w="1152"/>
            <w:shd w:fill="FFFFFF"/>
            <w:tcMar>
              <w:top w:w="100" w:type="dxa"/>
              <w:bottom w:w="100" w:type="dxa"/>
              <w:left w:w="120" w:type="dxa"/>
              <w:right w:w="120" w:type="dxa"/>
            </w:tcMar>
          </w:tcPr>
          <w:p>
            <w:pPr>
              <w:spacing w:after="0" w:line="276" w:lineRule="auto"/>
              <w:jc w:val="left"/>
            </w:pPr>
            <w:r>
              <w:rPr>
                <w:rFonts w:ascii="Arial" w:hAnsi="Arial"/>
                <w:color w:val="334155"/>
                <w:sz w:val="16"/>
              </w:rPr>
              <w:t>2 / 2 Aprobadas</w:t>
            </w:r>
          </w:p>
        </w:tc>
      </w:tr>
      <w:tr>
        <w:tc>
          <w:tcPr>
            <w:tcW w:type="dxa" w:w="2160"/>
            <w:shd w:fill="F8FAFC"/>
            <w:tcMar>
              <w:top w:w="100" w:type="dxa"/>
              <w:bottom w:w="100" w:type="dxa"/>
              <w:left w:w="120" w:type="dxa"/>
              <w:right w:w="120" w:type="dxa"/>
            </w:tcMar>
          </w:tcPr>
          <w:p>
            <w:pPr>
              <w:spacing w:after="0" w:line="276" w:lineRule="auto"/>
              <w:jc w:val="left"/>
            </w:pPr>
            <w:r>
              <w:rPr>
                <w:rFonts w:ascii="Arial" w:hAnsi="Arial"/>
                <w:color w:val="334155"/>
                <w:sz w:val="16"/>
              </w:rPr>
              <w:t>ArchivoServiceTest</w:t>
            </w:r>
          </w:p>
        </w:tc>
        <w:tc>
          <w:tcPr>
            <w:tcW w:type="dxa" w:w="1872"/>
            <w:shd w:fill="F8FAFC"/>
            <w:tcMar>
              <w:top w:w="100" w:type="dxa"/>
              <w:bottom w:w="100" w:type="dxa"/>
              <w:left w:w="120" w:type="dxa"/>
              <w:right w:w="120" w:type="dxa"/>
            </w:tcMar>
          </w:tcPr>
          <w:p>
            <w:pPr>
              <w:spacing w:after="0" w:line="276" w:lineRule="auto"/>
              <w:jc w:val="left"/>
            </w:pPr>
            <w:r>
              <w:rPr>
                <w:rFonts w:ascii="Arial" w:hAnsi="Arial"/>
                <w:color w:val="334155"/>
                <w:sz w:val="16"/>
              </w:rPr>
              <w:t>Procesamiento de Archivos</w:t>
            </w:r>
          </w:p>
        </w:tc>
        <w:tc>
          <w:tcPr>
            <w:tcW w:type="dxa" w:w="3456"/>
            <w:shd w:fill="F8FAFC"/>
            <w:tcMar>
              <w:top w:w="100" w:type="dxa"/>
              <w:bottom w:w="100" w:type="dxa"/>
              <w:left w:w="120" w:type="dxa"/>
              <w:right w:w="120" w:type="dxa"/>
            </w:tcMar>
          </w:tcPr>
          <w:p>
            <w:pPr>
              <w:spacing w:after="0" w:line="276" w:lineRule="auto"/>
              <w:jc w:val="left"/>
            </w:pPr>
            <w:r>
              <w:rPr>
                <w:rFonts w:ascii="Arial" w:hAnsi="Arial"/>
                <w:color w:val="334155"/>
                <w:sz w:val="16"/>
              </w:rPr>
              <w:t>Evalúa la subida y almacenamiento de recursos multimedia con fallback a almacenamiento local.</w:t>
            </w:r>
          </w:p>
        </w:tc>
        <w:tc>
          <w:tcPr>
            <w:tcW w:type="dxa" w:w="1152"/>
            <w:shd w:fill="F8FAFC"/>
            <w:tcMar>
              <w:top w:w="100" w:type="dxa"/>
              <w:bottom w:w="100" w:type="dxa"/>
              <w:left w:w="120" w:type="dxa"/>
              <w:right w:w="120" w:type="dxa"/>
            </w:tcMar>
          </w:tcPr>
          <w:p>
            <w:pPr>
              <w:spacing w:after="0" w:line="276" w:lineRule="auto"/>
              <w:jc w:val="left"/>
            </w:pPr>
            <w:r>
              <w:rPr>
                <w:rFonts w:ascii="Arial" w:hAnsi="Arial"/>
                <w:color w:val="334155"/>
                <w:sz w:val="16"/>
              </w:rPr>
              <w:t>2 / 2 Aprobadas</w:t>
            </w:r>
          </w:p>
        </w:tc>
      </w:tr>
    </w:tbl>
    <w:p>
      <w:pPr>
        <w:spacing w:before="60" w:after="60"/>
      </w:pPr>
    </w:p>
    <w:tbl>
      <w:tblPr>
        <w:tblW w:type="auto" w:w="0"/>
        <w:jc w:val="center"/>
        <w:tblLayout w:type="fixed"/>
        <w:tblLook w:firstColumn="1" w:firstRow="1" w:lastColumn="0" w:lastRow="0" w:noHBand="0" w:noVBand="1" w:val="04A0"/>
      </w:tblPr>
      <w:tblGrid>
        <w:gridCol w:w="8788"/>
      </w:tblGrid>
      <w:tr>
        <w:tc>
          <w:tcPr>
            <w:tcW w:type="dxa" w:w="8640"/>
            <w:shd w:fill="F8FAFC"/>
            <w:tcMar>
              <w:top w:w="140" w:type="dxa"/>
              <w:bottom w:w="140" w:type="dxa"/>
              <w:left w:w="180" w:type="dxa"/>
              <w:right w:w="140" w:type="dxa"/>
            </w:tcMar>
            <w:tcBorders>
              <w:top w:val="none"/>
              <w:left w:val="single" w:sz="24" w:space="0" w:color="059669"/>
              <w:bottom w:val="none"/>
              <w:right w:val="none"/>
            </w:tcBorders>
          </w:tcPr>
          <w:p>
            <w:pPr>
              <w:spacing w:line="276" w:lineRule="auto" w:after="0"/>
              <w:jc w:val="both"/>
            </w:pPr>
            <w:r>
              <w:rPr>
                <w:rFonts w:ascii="Arial" w:hAnsi="Arial"/>
                <w:b/>
                <w:color w:val="6D1A24"/>
                <w:sz w:val="19"/>
              </w:rPr>
              <w:t>Resultado del Control de Calidad Oficial</w:t>
              <w:br/>
            </w:r>
            <w:r>
              <w:rPr>
                <w:rFonts w:ascii="Arial" w:hAnsi="Arial"/>
                <w:color w:val="334155"/>
                <w:sz w:val="18"/>
              </w:rPr>
              <w:t>MÉTRICA FINAL DE CALIDAD: 30 de 30 pruebas unitarias y de integración ejecutadas con éxito absoluto (100% de aprobación). Tiempo de ejecución: 50 segundos. Cero errores de compilación, cero fallos y cero pruebas ignoradas.</w:t>
            </w:r>
          </w:p>
        </w:tc>
      </w:tr>
    </w:tbl>
    <w:p>
      <w:pPr>
        <w:spacing w:before="60" w:after="60"/>
      </w:pPr>
    </w:p>
    <w:p>
      <w:r>
        <w:br w:type="page"/>
      </w:r>
    </w:p>
    <w:p>
      <w:pPr>
        <w:keepNext/>
        <w:spacing w:before="440" w:after="120"/>
      </w:pPr>
      <w:r>
        <w:rPr>
          <w:rFonts w:ascii="Arial" w:hAnsi="Arial"/>
          <w:b/>
          <w:color w:val="6D1A24"/>
          <w:sz w:val="28"/>
        </w:rPr>
        <w:t>CAPÍTULO 9: CONCLUSIONES, IMPACTO INSTITUCIONAL Y RECOMENDACIONES</w:t>
      </w:r>
    </w:p>
    <w:p>
      <w:pPr>
        <w:keepNext/>
        <w:spacing w:before="280" w:after="80"/>
      </w:pPr>
      <w:r>
        <w:rPr>
          <w:rFonts w:ascii="Arial" w:hAnsi="Arial"/>
          <w:b/>
          <w:color w:val="1E293B"/>
          <w:sz w:val="23"/>
        </w:rPr>
        <w:t>9.1 Logros Principales del Proyecto</w:t>
      </w:r>
    </w:p>
    <w:p>
      <w:pPr>
        <w:pStyle w:val="ListBullet"/>
        <w:spacing w:line="276" w:lineRule="auto" w:after="60"/>
        <w:jc w:val="both"/>
      </w:pPr>
      <w:r>
        <w:rPr>
          <w:rFonts w:ascii="Arial" w:hAnsi="Arial"/>
          <w:b/>
          <w:color w:val="1E293B"/>
          <w:sz w:val="19"/>
        </w:rPr>
        <w:t xml:space="preserve">Modernización Integral: </w:t>
      </w:r>
      <w:r>
        <w:rPr>
          <w:rFonts w:ascii="Arial" w:hAnsi="Arial"/>
          <w:color w:val="334155"/>
          <w:sz w:val="19"/>
        </w:rPr>
        <w:t>Se entregó una solución tecnológica completa, funcional y desplegada en producción que unifica la gestión de cursos, pagos, participantes y diplomas del IIICCD.</w:t>
      </w:r>
    </w:p>
    <w:p>
      <w:pPr>
        <w:pStyle w:val="ListBullet"/>
        <w:spacing w:line="276" w:lineRule="auto" w:after="60"/>
        <w:jc w:val="both"/>
      </w:pPr>
      <w:r>
        <w:rPr>
          <w:rFonts w:ascii="Arial" w:hAnsi="Arial"/>
          <w:b/>
          <w:color w:val="1E293B"/>
          <w:sz w:val="19"/>
        </w:rPr>
        <w:t xml:space="preserve">Eficiencia Operativa: </w:t>
      </w:r>
      <w:r>
        <w:rPr>
          <w:rFonts w:ascii="Arial" w:hAnsi="Arial"/>
          <w:color w:val="334155"/>
          <w:sz w:val="19"/>
        </w:rPr>
        <w:t>El flujo de inscripción con Yape y la auditoría con autocompresión de vouchers agilizó el procesamiento administrativo de días a minutos.</w:t>
      </w:r>
    </w:p>
    <w:p>
      <w:pPr>
        <w:pStyle w:val="ListBullet"/>
        <w:spacing w:line="276" w:lineRule="auto" w:after="60"/>
        <w:jc w:val="both"/>
      </w:pPr>
      <w:r>
        <w:rPr>
          <w:rFonts w:ascii="Arial" w:hAnsi="Arial"/>
          <w:b/>
          <w:color w:val="1E293B"/>
          <w:sz w:val="19"/>
        </w:rPr>
        <w:t xml:space="preserve">Inviolabilidad Académica: </w:t>
      </w:r>
      <w:r>
        <w:rPr>
          <w:rFonts w:ascii="Arial" w:hAnsi="Arial"/>
          <w:color w:val="334155"/>
          <w:sz w:val="19"/>
        </w:rPr>
        <w:t>La sustitución de certificados manuales por diplomas digitales generados con OpenPDF y validación pública QR erradica el riesgo de falsificaciones.</w:t>
      </w:r>
    </w:p>
    <w:p>
      <w:pPr>
        <w:pStyle w:val="ListBullet"/>
        <w:spacing w:line="276" w:lineRule="auto" w:after="60"/>
        <w:jc w:val="both"/>
      </w:pPr>
      <w:r>
        <w:rPr>
          <w:rFonts w:ascii="Arial" w:hAnsi="Arial"/>
          <w:b/>
          <w:color w:val="1E293B"/>
          <w:sz w:val="19"/>
        </w:rPr>
        <w:t xml:space="preserve">Autonomía en Marketing: </w:t>
      </w:r>
      <w:r>
        <w:rPr>
          <w:rFonts w:ascii="Arial" w:hAnsi="Arial"/>
          <w:color w:val="334155"/>
          <w:sz w:val="19"/>
        </w:rPr>
        <w:t>La integración del generador de flyers permite al instituto diseñar y publicar piezas promocionales en segundos sin costes de licenciamiento externo.</w:t>
      </w:r>
    </w:p>
    <w:p>
      <w:pPr>
        <w:keepNext/>
        <w:spacing w:before="280" w:after="80"/>
      </w:pPr>
      <w:r>
        <w:rPr>
          <w:rFonts w:ascii="Arial" w:hAnsi="Arial"/>
          <w:b/>
          <w:color w:val="1E293B"/>
          <w:sz w:val="23"/>
        </w:rPr>
        <w:t>9.2 Impacto Institucional en la UNA Puno y la FINESI</w:t>
      </w:r>
    </w:p>
    <w:p>
      <w:pPr>
        <w:spacing w:line="276" w:lineRule="auto" w:after="100"/>
        <w:jc w:val="both"/>
      </w:pPr>
      <w:r>
        <w:rPr>
          <w:rFonts w:ascii="Arial" w:hAnsi="Arial"/>
          <w:color w:val="334155"/>
          <w:sz w:val="19"/>
        </w:rPr>
        <w:t>La implementación de este sistema posiciona al Instituto de Investigación en Inteligencia Computacional y Ciencia de Datos a la vanguardia tecnológica dentro de la Universidad Nacional del Altiplano, sentando un precedente de modernización digital para otras facultades e institutos de investigación de la región.</w:t>
      </w:r>
    </w:p>
    <w:p>
      <w:pPr>
        <w:keepNext/>
        <w:spacing w:before="280" w:after="80"/>
      </w:pPr>
      <w:r>
        <w:rPr>
          <w:rFonts w:ascii="Arial" w:hAnsi="Arial"/>
          <w:b/>
          <w:color w:val="1E293B"/>
          <w:sz w:val="23"/>
        </w:rPr>
        <w:t>9.3 Recomendaciones para Fases Futuras</w:t>
      </w:r>
    </w:p>
    <w:p>
      <w:pPr>
        <w:pStyle w:val="ListBullet"/>
        <w:spacing w:line="276" w:lineRule="auto" w:after="60"/>
        <w:jc w:val="both"/>
      </w:pPr>
      <w:r>
        <w:rPr>
          <w:rFonts w:ascii="Arial" w:hAnsi="Arial"/>
          <w:b/>
          <w:color w:val="1E293B"/>
          <w:sz w:val="19"/>
        </w:rPr>
        <w:t xml:space="preserve">Pasarelas Adicionales: </w:t>
      </w:r>
      <w:r>
        <w:rPr>
          <w:rFonts w:ascii="Arial" w:hAnsi="Arial"/>
          <w:color w:val="334155"/>
          <w:sz w:val="19"/>
        </w:rPr>
        <w:t>Evaluar la integración de pasarelas de pago con tarjeta de crédito/débito (Niubiz o Culqi) en adición a Yape para estudiantes internacionales.</w:t>
      </w:r>
    </w:p>
    <w:p>
      <w:pPr>
        <w:pStyle w:val="ListBullet"/>
        <w:spacing w:line="276" w:lineRule="auto" w:after="60"/>
        <w:jc w:val="both"/>
      </w:pPr>
      <w:r>
        <w:rPr>
          <w:rFonts w:ascii="Arial" w:hAnsi="Arial"/>
          <w:b/>
          <w:color w:val="1E293B"/>
          <w:sz w:val="19"/>
        </w:rPr>
        <w:t xml:space="preserve">Servidor de Correo Propio: </w:t>
      </w:r>
      <w:r>
        <w:rPr>
          <w:rFonts w:ascii="Arial" w:hAnsi="Arial"/>
          <w:color w:val="334155"/>
          <w:sz w:val="19"/>
        </w:rPr>
        <w:t>Conectar el sistema al servidor de correo SMTP oficial institucional de la UNA Puno (@unap.edu.pe) para mayor solemnidad en notificaciones.</w:t>
      </w:r>
    </w:p>
    <w:p>
      <w:pPr>
        <w:pStyle w:val="ListBullet"/>
        <w:spacing w:line="276" w:lineRule="auto" w:after="60"/>
        <w:jc w:val="both"/>
      </w:pPr>
      <w:r>
        <w:rPr>
          <w:rFonts w:ascii="Arial" w:hAnsi="Arial"/>
          <w:b/>
          <w:color w:val="1E293B"/>
          <w:sz w:val="19"/>
        </w:rPr>
        <w:t xml:space="preserve">Encuestas de Calidad: </w:t>
      </w:r>
      <w:r>
        <w:rPr>
          <w:rFonts w:ascii="Arial" w:hAnsi="Arial"/>
          <w:color w:val="334155"/>
          <w:sz w:val="19"/>
        </w:rPr>
        <w:t>Incorporar un módulo de encuestas de satisfacción estudiantil al culminar cada programa académico para retroalimentar la labor docente.</w:t>
      </w:r>
    </w:p>
    <w:p>
      <w:pPr>
        <w:keepNext/>
        <w:spacing w:before="280" w:after="80"/>
      </w:pPr>
      <w:r>
        <w:rPr>
          <w:rFonts w:ascii="Arial" w:hAnsi="Arial"/>
          <w:b/>
          <w:color w:val="1E293B"/>
          <w:sz w:val="23"/>
        </w:rPr>
        <w:t>Constancia Institucional de Conformidad</w:t>
      </w:r>
    </w:p>
    <w:p>
      <w:pPr>
        <w:spacing w:line="276" w:lineRule="auto" w:after="100"/>
        <w:jc w:val="both"/>
      </w:pPr>
      <w:r>
        <w:rPr>
          <w:rFonts w:ascii="Arial" w:hAnsi="Arial"/>
          <w:color w:val="334155"/>
          <w:sz w:val="19"/>
        </w:rPr>
        <w:t>El presente informe técnico certifica la culminación satisfactoria de las etapas de análisis de requerimientos (IEEE 830), modelado relacional de base de datos, desarrollo, pruebas, control de calidad y despliegue en la nube del Sistema Web del IIICCD.</w:t>
      </w:r>
    </w:p>
    <w:p>
      <w:pPr>
        <w:spacing w:before="900"/>
      </w:pPr>
    </w:p>
    <w:tbl>
      <w:tblPr>
        <w:tblW w:type="auto" w:w="0"/>
        <w:jc w:val="center"/>
        <w:tblLayout w:type="fixed"/>
        <w:tblLook w:firstColumn="1" w:firstRow="1" w:lastColumn="0" w:lastRow="0" w:noHBand="0" w:noVBand="1" w:val="04A0"/>
      </w:tblPr>
      <w:tblGrid>
        <w:gridCol w:w="4394"/>
        <w:gridCol w:w="4394"/>
      </w:tblGrid>
      <w:tr>
        <w:tc>
          <w:tcPr>
            <w:tcW w:type="dxa" w:w="4320"/>
          </w:tcPr>
          <w:p>
            <w:pPr>
              <w:jc w:val="center"/>
            </w:pPr>
            <w:r>
              <w:rPr>
                <w:color w:val="1E293B"/>
              </w:rPr>
              <w:t>_________________________________________</w:t>
              <w:br/>
            </w:r>
            <w:r>
              <w:rPr>
                <w:rFonts w:ascii="Arial" w:hAnsi="Arial"/>
                <w:b/>
                <w:color w:val="6D1A24"/>
                <w:sz w:val="19"/>
              </w:rPr>
              <w:t>DR. LEONID ALEMÁN GONZALES</w:t>
              <w:br/>
            </w:r>
            <w:r>
              <w:rPr>
                <w:rFonts w:ascii="Arial" w:hAnsi="Arial"/>
                <w:color w:val="64748B"/>
                <w:sz w:val="17"/>
              </w:rPr>
              <w:t>Director del IIICCD</w:t>
              <w:br/>
              <w:t>Facultad de Ingeniería Estadística e Informática</w:t>
              <w:br/>
              <w:t>Universidad Nacional del Altiplano de Puno</w:t>
            </w:r>
          </w:p>
        </w:tc>
        <w:tc>
          <w:tcPr>
            <w:tcW w:type="dxa" w:w="4320"/>
          </w:tcPr>
          <w:p>
            <w:pPr>
              <w:jc w:val="center"/>
            </w:pPr>
            <w:r>
              <w:rPr>
                <w:color w:val="1E293B"/>
              </w:rPr>
              <w:t>_________________________________________</w:t>
              <w:br/>
            </w:r>
            <w:r>
              <w:rPr>
                <w:rFonts w:ascii="Arial" w:hAnsi="Arial"/>
                <w:b/>
                <w:color w:val="1E293B"/>
                <w:sz w:val="19"/>
              </w:rPr>
              <w:t>EQUIPO DE DESARROLLO E INNOVACIÓN</w:t>
              <w:br/>
            </w:r>
            <w:r>
              <w:rPr>
                <w:rFonts w:ascii="Arial" w:hAnsi="Arial"/>
                <w:color w:val="64748B"/>
                <w:sz w:val="17"/>
              </w:rPr>
              <w:t>Área de Ingeniería de Software e Inteligencia Computacional</w:t>
              <w:br/>
              <w:t>Sistema Web de Cursos y Certificación Oficial</w:t>
              <w:br/>
              <w:t>UNA Puno - 2026</w:t>
            </w:r>
          </w:p>
        </w:tc>
      </w:tr>
    </w:tbl>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6"/>
      </w:rPr>
      <w:t>Sistema Web de Gestión Académica y Certificación Digital con QR —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IIICCD — Universidad Nacional del Altiplano de Puno | Informe Técnico Oficial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