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4A58" w14:textId="69CE4B7D" w:rsidR="006A1BC1" w:rsidRDefault="00EB207A">
      <w:r>
        <w:t>Notas datos</w:t>
      </w:r>
    </w:p>
    <w:p w14:paraId="7F6ADAE2" w14:textId="05DDE97C" w:rsidR="00EB207A" w:rsidRPr="00EB207A" w:rsidRDefault="00EB207A" w:rsidP="00EB207A">
      <w:pPr>
        <w:rPr>
          <w:lang w:val="en-US"/>
        </w:rPr>
      </w:pPr>
      <w:r w:rsidRPr="00EB207A">
        <w:rPr>
          <w:lang w:val="en-US"/>
        </w:rPr>
        <w:t>GDP</w:t>
      </w:r>
      <w:r>
        <w:rPr>
          <w:rStyle w:val="Refdenotaalpie"/>
        </w:rPr>
        <w:footnoteReference w:id="1"/>
      </w:r>
      <w:r w:rsidRPr="00EB207A">
        <w:rPr>
          <w:lang w:val="en-US"/>
        </w:rPr>
        <w:t xml:space="preserve">: </w:t>
      </w:r>
      <w:hyperlink r:id="rId7" w:tgtFrame="_blank" w:history="1">
        <w:r w:rsidRPr="00EB207A">
          <w:rPr>
            <w:lang w:val="en-US"/>
          </w:rPr>
          <w:t>GDP, US $, constant prices, constant PPPs, reference year 2015, millions</w:t>
        </w:r>
      </w:hyperlink>
    </w:p>
    <w:p w14:paraId="2A32E57C" w14:textId="283F3398" w:rsidR="00EB207A" w:rsidRDefault="00EB207A">
      <w:pPr>
        <w:rPr>
          <w:lang w:val="en-US"/>
        </w:rPr>
      </w:pPr>
      <w:r>
        <w:rPr>
          <w:lang w:val="en-US"/>
        </w:rPr>
        <w:t>Unemployment: Unemployment for all ranges of age (didn’t see 14-64 as a range)</w:t>
      </w:r>
    </w:p>
    <w:p w14:paraId="1BAB1388" w14:textId="2FC6A3F2" w:rsidR="00826443" w:rsidRPr="00EB207A" w:rsidRDefault="00826443">
      <w:pPr>
        <w:rPr>
          <w:lang w:val="en-US"/>
        </w:rPr>
      </w:pPr>
      <w:r>
        <w:rPr>
          <w:lang w:val="en-US"/>
        </w:rPr>
        <w:t>Corporate revenue refers to both profit and capital income taxation revenue. There is also a variable only with profit taxation revenue.</w:t>
      </w:r>
    </w:p>
    <w:sectPr w:rsidR="00826443" w:rsidRPr="00EB2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E722" w14:textId="77777777" w:rsidR="00714C7B" w:rsidRDefault="00714C7B" w:rsidP="00EB207A">
      <w:pPr>
        <w:spacing w:after="0" w:line="240" w:lineRule="auto"/>
      </w:pPr>
      <w:r>
        <w:separator/>
      </w:r>
    </w:p>
  </w:endnote>
  <w:endnote w:type="continuationSeparator" w:id="0">
    <w:p w14:paraId="019D23AD" w14:textId="77777777" w:rsidR="00714C7B" w:rsidRDefault="00714C7B" w:rsidP="00EB2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A27E" w14:textId="77777777" w:rsidR="00714C7B" w:rsidRDefault="00714C7B" w:rsidP="00EB207A">
      <w:pPr>
        <w:spacing w:after="0" w:line="240" w:lineRule="auto"/>
      </w:pPr>
      <w:r>
        <w:separator/>
      </w:r>
    </w:p>
  </w:footnote>
  <w:footnote w:type="continuationSeparator" w:id="0">
    <w:p w14:paraId="4DE3A95B" w14:textId="77777777" w:rsidR="00714C7B" w:rsidRDefault="00714C7B" w:rsidP="00EB207A">
      <w:pPr>
        <w:spacing w:after="0" w:line="240" w:lineRule="auto"/>
      </w:pPr>
      <w:r>
        <w:continuationSeparator/>
      </w:r>
    </w:p>
  </w:footnote>
  <w:footnote w:id="1">
    <w:p w14:paraId="2D52F0E5" w14:textId="7D859A99" w:rsidR="00EB207A" w:rsidRPr="00EB207A" w:rsidRDefault="00EB207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B207A">
        <w:rPr>
          <w:lang w:val="en-US"/>
        </w:rPr>
        <w:t xml:space="preserve"> </w:t>
      </w:r>
      <w:r w:rsidRPr="00EB207A">
        <w:rPr>
          <w:rFonts w:ascii="Arial" w:hAnsi="Arial" w:cs="Arial"/>
          <w:shd w:val="clear" w:color="auto" w:fill="FFFFFF"/>
          <w:lang w:val="en-US"/>
        </w:rPr>
        <w:t xml:space="preserve">The present publication presents time series which extend beyond the date of the United Kingdom’s withdrawal from the European Union </w:t>
      </w:r>
      <w:proofErr w:type="gramStart"/>
      <w:r w:rsidRPr="00EB207A">
        <w:rPr>
          <w:rFonts w:ascii="Arial" w:hAnsi="Arial" w:cs="Arial"/>
          <w:shd w:val="clear" w:color="auto" w:fill="FFFFFF"/>
          <w:lang w:val="en-US"/>
        </w:rPr>
        <w:t>on  February</w:t>
      </w:r>
      <w:proofErr w:type="gramEnd"/>
      <w:r w:rsidRPr="00EB207A">
        <w:rPr>
          <w:rFonts w:ascii="Arial" w:hAnsi="Arial" w:cs="Arial"/>
          <w:shd w:val="clear" w:color="auto" w:fill="FFFFFF"/>
          <w:lang w:val="en-US"/>
        </w:rPr>
        <w:t xml:space="preserve"> 1st, 2020. </w:t>
      </w:r>
      <w:proofErr w:type="gramStart"/>
      <w:r w:rsidRPr="00EB207A">
        <w:rPr>
          <w:rFonts w:ascii="Arial" w:hAnsi="Arial" w:cs="Arial"/>
          <w:shd w:val="clear" w:color="auto" w:fill="FFFFFF"/>
          <w:lang w:val="en-US"/>
        </w:rPr>
        <w:t>In order to</w:t>
      </w:r>
      <w:proofErr w:type="gramEnd"/>
      <w:r w:rsidRPr="00EB207A">
        <w:rPr>
          <w:rFonts w:ascii="Arial" w:hAnsi="Arial" w:cs="Arial"/>
          <w:shd w:val="clear" w:color="auto" w:fill="FFFFFF"/>
          <w:lang w:val="en-US"/>
        </w:rPr>
        <w:t xml:space="preserve"> maintain consistency over time, the “European Union” aggregate presented here excludes the UK for the entire time series. Interested readers may refer to the </w:t>
      </w:r>
      <w:hyperlink r:id="rId1" w:history="1">
        <w:r w:rsidRPr="00EB207A">
          <w:rPr>
            <w:rStyle w:val="Hipervnculo"/>
            <w:rFonts w:ascii="Arial" w:hAnsi="Arial" w:cs="Arial"/>
            <w:color w:val="auto"/>
            <w:shd w:val="clear" w:color="auto" w:fill="FFFFFF"/>
            <w:lang w:val="en-US"/>
          </w:rPr>
          <w:t>Eurostat website</w:t>
        </w:r>
      </w:hyperlink>
      <w:r w:rsidRPr="00EB207A">
        <w:rPr>
          <w:rFonts w:ascii="Arial" w:hAnsi="Arial" w:cs="Arial"/>
          <w:shd w:val="clear" w:color="auto" w:fill="FFFFFF"/>
          <w:lang w:val="en-US"/>
        </w:rPr>
        <w:t> for further information on Eurostat’s plans for disseminating EU aggregates and to the </w:t>
      </w:r>
      <w:hyperlink r:id="rId2" w:history="1">
        <w:r w:rsidRPr="00EB207A">
          <w:rPr>
            <w:rStyle w:val="Hipervnculo"/>
            <w:rFonts w:ascii="Arial" w:hAnsi="Arial" w:cs="Arial"/>
            <w:color w:val="auto"/>
            <w:shd w:val="clear" w:color="auto" w:fill="FFFFFF"/>
            <w:lang w:val="en-US"/>
          </w:rPr>
          <w:t>Eurostat database</w:t>
        </w:r>
      </w:hyperlink>
      <w:r w:rsidRPr="00EB207A">
        <w:rPr>
          <w:rFonts w:ascii="Arial" w:hAnsi="Arial" w:cs="Arial"/>
          <w:shd w:val="clear" w:color="auto" w:fill="FFFFFF"/>
          <w:lang w:val="en-US"/>
        </w:rPr>
        <w:t> for the actual series.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7A"/>
    <w:rsid w:val="002D4EA8"/>
    <w:rsid w:val="006A1BC1"/>
    <w:rsid w:val="00714C7B"/>
    <w:rsid w:val="00826443"/>
    <w:rsid w:val="00E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6DCD"/>
  <w15:chartTrackingRefBased/>
  <w15:docId w15:val="{88829516-9CF7-4C67-BF11-67AAEB36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2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207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qtitle">
    <w:name w:val="qtitle"/>
    <w:basedOn w:val="Fuentedeprrafopredeter"/>
    <w:rsid w:val="00EB207A"/>
  </w:style>
  <w:style w:type="character" w:styleId="Hipervnculo">
    <w:name w:val="Hyperlink"/>
    <w:basedOn w:val="Fuentedeprrafopredeter"/>
    <w:uiPriority w:val="99"/>
    <w:semiHidden/>
    <w:unhideWhenUsed/>
    <w:rsid w:val="00EB207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207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207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B20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s.oecd.org/index.aspx?queryid=6070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c.europa.eu/eurostat/data/database" TargetMode="External"/><Relationship Id="rId1" Type="http://schemas.openxmlformats.org/officeDocument/2006/relationships/hyperlink" Target="https://ec.europa.eu/eurostat/help/faq/brex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61CA6-690D-4056-B3C4-C2982BB0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Hacienda y Credito Publico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Herrera Sarmiento</dc:creator>
  <cp:keywords/>
  <dc:description/>
  <cp:lastModifiedBy>Juan Felipe Herrera Sarmiento</cp:lastModifiedBy>
  <cp:revision>1</cp:revision>
  <dcterms:created xsi:type="dcterms:W3CDTF">2022-10-19T21:12:00Z</dcterms:created>
  <dcterms:modified xsi:type="dcterms:W3CDTF">2022-10-19T21:34:00Z</dcterms:modified>
</cp:coreProperties>
</file>