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4C0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本次统计覆盖多个乡镇区域，对各片区村民委员会设置数量、户籍总户数、实际总人口，以及粮食种植面积、粮食单产水平、粮食总产量等基础指标开展全面摸排。</w:t>
      </w:r>
    </w:p>
    <w:p w14:paraId="13F45F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各区域村级组织规模存在一定差异，村民委员会数量从数个到十余个不等，对应管辖的总户数也各有区别，部分片区农户集中，总户数规模较大，人口基数随之更高；部分山区片区村落分散，村委会数量偏少，总户数与总人口相对偏低。</w:t>
      </w:r>
    </w:p>
    <w:p w14:paraId="3FF83C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粮食生产方面，不同区域受地形条件影响，粮食种植面积差距明显。地势平缓的片区耕地资源充足，粮食种植面积可达数千亩，粮食单产维持在较高水平；部分丘陵区域地块零碎，种植面积有所缩减，单产也受自然条件限制略有浮动。结合种植面积与每亩单产测算得出粮食总产量，耕地面积大且单产表现较好的区域，粮食总产量在当地占据主要比重，为区域粮食供给提供重要支撑。</w:t>
      </w:r>
    </w:p>
    <w:p w14:paraId="78D13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综合来看，人口规模、村落分布和耕地条件，共同影响着各地粮食产出情况。人口较多的区域，耕地利用程度普遍更高，但也存在部分人口集中但耕地有限的片区，粮食生产规模有限。通过梳理村民委员会数量、户数人口以及粮食相关生产数据，能够清晰掌握各区域乡村基本盘与农业生产现状，为后续乡村规划、耕地保护以及粮食生产调度提供基础参考依据</w:t>
      </w:r>
    </w:p>
    <w:p w14:paraId="02AB232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9E1A4C"/>
    <w:rsid w:val="289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2026-08-21T05:43:00Z</dcterms:created>
  <dc:creator>枫有比</dc:creator>
  <cp:lastModifiedBy>东陌</cp:lastModifiedBy>
  <dcterms:modified xsi:type="dcterms:W3CDTF">2026-08-21T05:43:59Z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86DA214F520045CC9D2F9E498942F3E2_11</vt:lpwstr>
  </property>
  <property fmtid="{D5CDD505-2E9C-101B-9397-08002B2CF9AE}" pid="4" name="KSOTemplateDocerSaveRecord">
    <vt:lpwstr>eyJoZGlkIjoiYmJhNzQxY2MwMmE3NTg4ODAxMmZiMzA3M2E0Yjc0MmUiLCJ1c2VySWQiOiIxMDU3MTYzNjY4In0=</vt:lpwstr>
  </property>
</Properties>
</file>