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Sponsorenbereich V1</w:t>
      </w:r>
    </w:p>
    <w:p>
      <w:pPr>
        <w:pStyle w:val="Heading2"/>
      </w:pPr>
      <w:r>
        <w:t>Inhalt</w:t>
      </w:r>
    </w:p>
    <w:p>
      <w:r>
        <w:t>Der Sponsorenbereich ist modern aufgebaut und enthält einen Hero-Bereich, eine Partnerübersicht, einen Bereich 'Partner werden' sowie einen Dankesabschnitt. Die Logoflächen sind bewusst als Platzhalter vorbereitet und können später mit den echten Sponsorenlogos der SpVgg Kaufbeuren gefüllt werden.</w:t>
      </w:r>
    </w:p>
    <w:p>
      <w:pPr>
        <w:pStyle w:val="Heading2"/>
      </w:pPr>
      <w:r>
        <w:t>Empfehlung</w:t>
      </w:r>
    </w:p>
    <w:p>
      <w:r>
        <w:t>Im nächsten Schritt können die Sponsoren nach Kategorien (Hauptpartner, Premiumpartner, Jugendpartner und weitere Partner) gegliedert werden. Zusätzlich lässt sich ein animiertes Sponsorenkarussell auf der Startseite ergänzen.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