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Summary and Reflections Report: Testing the Contact, Task, and Appointment Services</w:t>
      </w:r>
    </w:p>
    <w:p>
      <w:pPr>
        <w:spacing w:line="480" w:lineRule="auto"/>
        <w:jc w:val="center"/>
      </w:pPr>
      <w:r>
        <w:rPr>
          <w:rFonts w:ascii="Times New Roman" w:cs="Times New Roman" w:eastAsia="Times New Roman" w:hAnsi="Times New Roman"/>
          <w:b/>
          <w:bCs/>
          <w:sz w:val="24"/>
          <w:szCs w:val="24"/>
        </w:rPr>
        <w:t xml:space="preserve">Summary</w:t>
      </w:r>
    </w:p>
    <w:p>
      <w:pPr>
        <w:spacing w:line="480" w:lineRule="auto"/>
        <w:ind w:firstLine="720"/>
        <w:jc w:val="left"/>
      </w:pPr>
      <w:r>
        <w:rPr>
          <w:rFonts w:ascii="Times New Roman" w:cs="Times New Roman" w:eastAsia="Times New Roman" w:hAnsi="Times New Roman"/>
          <w:sz w:val="24"/>
          <w:szCs w:val="24"/>
        </w:rPr>
        <w:t xml:space="preserve">My approach was the same shape for all three features: turn every stated field rule into an acceptance test and a rejection test, then test each service’s add, delete, and update behavior, which is black-box, requirements-based testing rather than testing the implementation (García, 2017). Every numeric limit is tested right at the edge and one past it: Contact.java’s 10 character ID limit (line 11) is tested at 10 and 11 characters, Task.java’s 20 and 50 character limits the same way, and Appointment.java’s "not in the past" rule is tested a day in the future and a day in the past rather than at the instant of "now," which would make the test flaky. The phone field’s "exactly 10 digits" rule is tested from three directions, 9 digits, 11 digits, and a correctly sized but hyphenated string, since a plain length check would let it slip through.</w:t>
      </w:r>
    </w:p>
    <w:p>
      <w:pPr>
        <w:spacing w:line="480" w:lineRule="auto"/>
        <w:ind w:firstLine="720"/>
        <w:jc w:val="left"/>
      </w:pPr>
      <w:r>
        <w:rPr>
          <w:rFonts w:ascii="Times New Roman" w:cs="Times New Roman" w:eastAsia="Times New Roman" w:hAnsi="Times New Roman"/>
          <w:sz w:val="24"/>
          <w:szCs w:val="24"/>
        </w:rPr>
        <w:t xml:space="preserve">I can defend these tests with a measured number rather than a guess. Running all 69 tests with the JaCoCo coverage agent attached reported 100 percent instruction coverage (472 of 472), 100 percent branch coverage (78 of 78), and 100 percent line coverage (126 of 126), with every test passing. That number is worth trusting because of what it replaced: tracing coverage by hand had missed that the defensive "contact == null" guard at the top of ContactService’s addContact (lines 16 to 18) was never exercised, since every existing test already passed in a real Contact, and the same blind spot existed in addTask and addAppointment. Running a real tool against the actual bytecode surfaced that gap, and adding testAddNullContactIsRejected, testAddNullTaskIsRejected, and testAddNullAppointmentIsRejected closed it.</w:t>
      </w:r>
    </w:p>
    <w:p>
      <w:pPr>
        <w:spacing w:line="480" w:lineRule="auto"/>
        <w:ind w:firstLine="720"/>
        <w:jc w:val="left"/>
      </w:pPr>
      <w:r>
        <w:rPr>
          <w:rFonts w:ascii="Times New Roman" w:cs="Times New Roman" w:eastAsia="Times New Roman" w:hAnsi="Times New Roman"/>
          <w:sz w:val="24"/>
          <w:szCs w:val="24"/>
        </w:rPr>
        <w:t xml:space="preserve">Writing these tests taught me to be suspicious of code that only looked correct. I kept validation in one place per field by having each constructor call the same setters a later update would use (Contact.java lines 29 to 32, Task.java lines 25 and 26). I made every ID field final (Contact.java line 16, Task.java line 14, Appointment.java line 20), so "not updatable" is a compiler guarantee. The biggest lesson came from Appointment.java: a java.util.Date is mutable, so validating it at construction is not enough by itself, since a caller could hold onto that same object and mutate it afterward, silently pushing a validated appointment into the past. Appointment.java defensively copies the date on the way in (line 43) and on the way out (line 54), and its two defensive copy tests (AppointmentTest.java lines 97 to 121) mutate a Date reference after the fact and confirm the appointment’s own state never moved.</w:t>
      </w:r>
    </w:p>
    <w:p>
      <w:pPr>
        <w:spacing w:line="480" w:lineRule="auto"/>
        <w:ind w:firstLine="720"/>
        <w:jc w:val="left"/>
      </w:pPr>
      <w:r>
        <w:rPr>
          <w:rFonts w:ascii="Times New Roman" w:cs="Times New Roman" w:eastAsia="Times New Roman" w:hAnsi="Times New Roman"/>
          <w:sz w:val="24"/>
          <w:szCs w:val="24"/>
        </w:rPr>
        <w:t xml:space="preserve">For efficiency the main decision was a HashMap keyed by ID (ContactService.java line 10, TaskService.java line 10, AppointmentService.java line 10) instead of a list to scan, since every operation in the requirements, add, delete, update, is already described by ID, giving constant time lookup. The update methods only call a setter for a field that is actually non-null (ContactService.java lines 46 to 57, TaskService.java lines 46 to 51), so updating one field does not revalidate the rest. The tests stay fast the same way: @BeforeEach just builds a brand new empty service with no file or database access, and the entire 69 test suite finished in 430 milliseconds, comfortably inside the "about a second per test" guideline for a unit test (García, 2017).</w:t>
      </w:r>
    </w:p>
    <w:p>
      <w:pPr>
        <w:spacing w:line="480" w:lineRule="auto"/>
        <w:jc w:val="center"/>
      </w:pPr>
      <w:r>
        <w:rPr>
          <w:rFonts w:ascii="Times New Roman" w:cs="Times New Roman" w:eastAsia="Times New Roman" w:hAnsi="Times New Roman"/>
          <w:b/>
          <w:bCs/>
          <w:sz w:val="24"/>
          <w:szCs w:val="24"/>
        </w:rPr>
        <w:t xml:space="preserve">Reflection</w:t>
      </w:r>
    </w:p>
    <w:p>
      <w:pPr>
        <w:spacing w:line="480" w:lineRule="auto"/>
        <w:jc w:val="center"/>
      </w:pPr>
      <w:r>
        <w:rPr>
          <w:rFonts w:ascii="Times New Roman" w:cs="Times New Roman" w:eastAsia="Times New Roman" w:hAnsi="Times New Roman"/>
          <w:b/>
          <w:bCs/>
          <w:sz w:val="24"/>
          <w:szCs w:val="24"/>
        </w:rPr>
        <w:t xml:space="preserve">Testing Techniques</w:t>
      </w:r>
    </w:p>
    <w:p>
      <w:pPr>
        <w:spacing w:line="480" w:lineRule="auto"/>
        <w:ind w:firstLine="720"/>
        <w:jc w:val="left"/>
      </w:pPr>
      <w:r>
        <w:rPr>
          <w:rFonts w:ascii="Times New Roman" w:cs="Times New Roman" w:eastAsia="Times New Roman" w:hAnsi="Times New Roman"/>
          <w:sz w:val="24"/>
          <w:szCs w:val="24"/>
        </w:rPr>
        <w:t xml:space="preserve">This project used black-box testing built from equivalence partitioning and boundary value analysis, picking a representative value from each valid and invalid class and testing hardest at the boundary (García, 2017). Each class was tested at the component level in isolation, with no UI or data store involved, which ISTQB calls unit or component testing (Hambling et al., 2019). Every "shall not" in the requirements, null, too long, duplicate ID, unknown ID, a past date, got a dedicated negative test with assertThrows. New specifically to this project was white-box, coverage-driven testing with an actual tool: attaching JaCoCo as a java agent and generating a report instead of estimating coverage by reading my own code.</w:t>
      </w:r>
    </w:p>
    <w:p>
      <w:pPr>
        <w:spacing w:line="480" w:lineRule="auto"/>
        <w:ind w:firstLine="720"/>
        <w:jc w:val="left"/>
      </w:pPr>
      <w:r>
        <w:rPr>
          <w:rFonts w:ascii="Times New Roman" w:cs="Times New Roman" w:eastAsia="Times New Roman" w:hAnsi="Times New Roman"/>
          <w:sz w:val="24"/>
          <w:szCs w:val="24"/>
        </w:rPr>
        <w:t xml:space="preserve">None of the three services are wired to each other or to a UI or real data store yet, so there has been no integration testing between components, no system testing end to end, and no acceptance testing with an actual customer, the three test levels ISTQB places above unit testing (Hambling et al., 2019). I never needed test doubles like mocks, stubs, or drivers, since those stand in for a dependency a class cannot easily reach yet, and every class here is self-contained. I also never used JUnit’s parameterized tests, so each boundary value sits in its own named method, and I never touched non-functional testing, performance, security, or usability, since nothing here is user facing yet.</w:t>
      </w:r>
    </w:p>
    <w:p>
      <w:pPr>
        <w:spacing w:line="480" w:lineRule="auto"/>
        <w:ind w:firstLine="720"/>
        <w:jc w:val="left"/>
      </w:pPr>
      <w:r>
        <w:rPr>
          <w:rFonts w:ascii="Times New Roman" w:cs="Times New Roman" w:eastAsia="Times New Roman" w:hAnsi="Times New Roman"/>
          <w:sz w:val="24"/>
          <w:szCs w:val="24"/>
        </w:rPr>
        <w:t xml:space="preserve">Boundary value testing earns its keep whenever a spec hands you a crisp numeric contract, exactly what these three milestones had, and matters less once requirements get vague or visual. Component-level unit testing is the right first line of defense, but it only proves the pieces work alone; integration, system, and acceptance testing become necessary the moment a UI or a database enters the picture, exactly what happens once these services get assembled into one real app. Test doubles earn their place the moment a class depends on something slow or unpredictable, letting tests stay fast instead of flaky. White-box coverage tooling matters most on larger or regulated codebases, where a team wants a measured number instead of a developer’s word, and having now used it myself, I would reach for it on any project past a few classes.</w:t>
      </w:r>
    </w:p>
    <w:p>
      <w:pPr>
        <w:spacing w:line="480" w:lineRule="auto"/>
        <w:jc w:val="center"/>
      </w:pPr>
      <w:r>
        <w:rPr>
          <w:rFonts w:ascii="Times New Roman" w:cs="Times New Roman" w:eastAsia="Times New Roman" w:hAnsi="Times New Roman"/>
          <w:b/>
          <w:bCs/>
          <w:sz w:val="24"/>
          <w:szCs w:val="24"/>
        </w:rPr>
        <w:t xml:space="preserve">Mindset</w:t>
      </w:r>
    </w:p>
    <w:p>
      <w:pPr>
        <w:spacing w:line="480" w:lineRule="auto"/>
        <w:ind w:firstLine="720"/>
        <w:jc w:val="left"/>
      </w:pPr>
      <w:r>
        <w:rPr>
          <w:rFonts w:ascii="Times New Roman" w:cs="Times New Roman" w:eastAsia="Times New Roman" w:hAnsi="Times New Roman"/>
          <w:sz w:val="24"/>
          <w:szCs w:val="24"/>
        </w:rPr>
        <w:t xml:space="preserve">Acting as tester, I tried to stay cautious about code that merely looked correct rather than code I had actually proven correct. Appointment.java is the clearest example: the appointmentDate field interrelates with whatever Date object the caller still holds a reference to, so validating it once at construction looks sufficient until you notice the caller can mutate that object afterward, which would have let a validated appointment silently become a past one. The null guard gap in all three add methods makes a quieter version of the same point: it looked like ordinary defensive code until a coverage tool showed it had never actually run. Caution here meant not treating code that looks handled as the same thing as code that is verified.</w:t>
      </w:r>
    </w:p>
    <w:p>
      <w:pPr>
        <w:spacing w:line="480" w:lineRule="auto"/>
        <w:ind w:firstLine="720"/>
        <w:jc w:val="left"/>
      </w:pPr>
      <w:r>
        <w:rPr>
          <w:rFonts w:ascii="Times New Roman" w:cs="Times New Roman" w:eastAsia="Times New Roman" w:hAnsi="Times New Roman"/>
          <w:sz w:val="24"/>
          <w:szCs w:val="24"/>
        </w:rPr>
        <w:t xml:space="preserve">I wrote the production code and its tests myself, which is a real bias risk: a developer testing their own work tends to write tests around the paths they already thought of, not the ones that would break it (García, 2017). The repeated null guard gap is the clearest evidence of that bias, since the same blind spot showed up in all three services because I was reasoning from the same mental model each time. ISTQB treats this as expected at the component level, where developers normally test their own units, but reserves system and acceptance testing for independent testers specifically because of this risk (Hambling et al., 2019). Yes, bias would be a real concern testing only my own code professionally, which is why I leaned on techniques that do not depend on my own imagination: boundary analysis derived straight from the requirement wording, and a coverage tool reporting what actually ran rather than what I believe I covered.</w:t>
      </w:r>
    </w:p>
    <w:p>
      <w:pPr>
        <w:spacing w:line="480" w:lineRule="auto"/>
        <w:ind w:firstLine="720"/>
        <w:jc w:val="left"/>
      </w:pPr>
      <w:r>
        <w:rPr>
          <w:rFonts w:ascii="Times New Roman" w:cs="Times New Roman" w:eastAsia="Times New Roman" w:hAnsi="Times New Roman"/>
          <w:sz w:val="24"/>
          <w:szCs w:val="24"/>
        </w:rPr>
        <w:t xml:space="preserve">Being disciplined about quality meant closing the null guard gap once I found it instead of leaving it as a known issue, and insisting on a measured coverage number rather than a confident sounding estimate. Cutting corners on tests is how technical debt gets created quietly: a missing test does not fail a build; it just waits until the one time that branch actually runs. Going forward I plan to avoid that by writing tests alongside the code instead of after it under deadline pressure, keeping validation logic single sourced the way Contact, Task, and Appointment already do, and reaching for a real coverage tool instead of trusting my own read of the code.</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García, B. (2017). </w:t>
      </w:r>
      <w:r>
        <w:rPr>
          <w:rFonts w:ascii="Times New Roman" w:cs="Times New Roman" w:eastAsia="Times New Roman" w:hAnsi="Times New Roman"/>
          <w:i/>
          <w:iCs/>
          <w:sz w:val="24"/>
          <w:szCs w:val="24"/>
        </w:rPr>
        <w:t xml:space="preserve">Mastering software testing with JUnit 5.</w:t>
      </w:r>
      <w:r>
        <w:rPr>
          <w:rFonts w:ascii="Times New Roman" w:cs="Times New Roman" w:eastAsia="Times New Roman" w:hAnsi="Times New Roman"/>
          <w:sz w:val="24"/>
          <w:szCs w:val="24"/>
        </w:rPr>
        <w:t xml:space="preserve"> Packt Publishing.</w:t>
      </w:r>
    </w:p>
    <w:p>
      <w:pPr>
        <w:spacing w:line="480" w:lineRule="auto"/>
        <w:ind w:left="720" w:hanging="720"/>
      </w:pPr>
      <w:r>
        <w:rPr>
          <w:rFonts w:ascii="Times New Roman" w:cs="Times New Roman" w:eastAsia="Times New Roman" w:hAnsi="Times New Roman"/>
          <w:sz w:val="24"/>
          <w:szCs w:val="24"/>
        </w:rPr>
        <w:t xml:space="preserve">Hambling, B., van Goethem, P., &amp; Falken, N. (2019). </w:t>
      </w:r>
      <w:r>
        <w:rPr>
          <w:rFonts w:ascii="Times New Roman" w:cs="Times New Roman" w:eastAsia="Times New Roman" w:hAnsi="Times New Roman"/>
          <w:i/>
          <w:iCs/>
          <w:sz w:val="24"/>
          <w:szCs w:val="24"/>
        </w:rPr>
        <w:t xml:space="preserve">Software testing: An ISTQB-BCS certified tester foundation guide</w:t>
      </w:r>
      <w:r>
        <w:rPr>
          <w:rFonts w:ascii="Times New Roman" w:cs="Times New Roman" w:eastAsia="Times New Roman" w:hAnsi="Times New Roman"/>
          <w:sz w:val="24"/>
          <w:szCs w:val="24"/>
        </w:rPr>
        <w:t xml:space="preserve"> (4th ed.). BCS Learning &amp;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2026-10-12T18:15:15.127Z</dcterms:created>
  <dcterms:modified xsi:type="dcterms:W3CDTF">2026-10-12T18:15:15.128Z</dcterms:modified>
</cp:coreProperties>
</file>

<file path=docProps/custom.xml><?xml version="1.0" encoding="utf-8"?>
<Properties xmlns="http://schemas.openxmlformats.org/officeDocument/2006/custom-properties" xmlns:vt="http://schemas.openxmlformats.org/officeDocument/2006/docPropsVTypes"/>
</file>