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D6D0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Technical Capability</w:t>
      </w:r>
    </w:p>
    <w:p w14:paraId="11B7A103" w14:textId="77777777" w:rsidR="00256DC6" w:rsidRDefault="00256DC6" w:rsidP="00256DC6">
      <w:pPr>
        <w:pStyle w:val="NormalWeb"/>
      </w:pPr>
      <w:r>
        <w:t>MERP Systems Inc. proposes a structured and technically robust approach to meet the requirements defined in the Statement of Work (SOW) for the modernization of the Information Product Data System (IPDS). Our methodology centers around a multi-phase data migration strategy supported by ShareGate Migrate Pro and the development of a modern, scalable, and compliant architecture leveraging Microsoft 365 and Azure platforms.</w:t>
      </w:r>
    </w:p>
    <w:p w14:paraId="4CA8B373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Data Migration Strategy</w:t>
      </w:r>
    </w:p>
    <w:p w14:paraId="7EF927ED" w14:textId="77777777" w:rsidR="00256DC6" w:rsidRDefault="00256DC6" w:rsidP="00256DC6">
      <w:pPr>
        <w:pStyle w:val="NormalWeb"/>
      </w:pPr>
      <w:r>
        <w:t xml:space="preserve">Our team will execute </w:t>
      </w:r>
      <w:proofErr w:type="gramStart"/>
      <w:r>
        <w:t>the SharePoint</w:t>
      </w:r>
      <w:proofErr w:type="gramEnd"/>
      <w:r>
        <w:t xml:space="preserve"> 2019 to SharePoint Online migration using a phased model, with embedded controls to preserve metadata, user permissions, and version history. The following outlines our process:</w:t>
      </w:r>
    </w:p>
    <w:p w14:paraId="377DB78B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Discovery and Planning Phase (Q4 2025 – Q1 2026)</w:t>
      </w:r>
    </w:p>
    <w:p w14:paraId="6CF7207E" w14:textId="77777777" w:rsidR="00256DC6" w:rsidRDefault="00256DC6" w:rsidP="00256DC6">
      <w:pPr>
        <w:pStyle w:val="NormalWeb"/>
        <w:numPr>
          <w:ilvl w:val="0"/>
          <w:numId w:val="1"/>
        </w:numPr>
      </w:pPr>
      <w:r>
        <w:t>Assess SharePoint 2019 environment including content structure, metadata, retention settings, and access roles.</w:t>
      </w:r>
    </w:p>
    <w:p w14:paraId="5FA6692C" w14:textId="77777777" w:rsidR="00256DC6" w:rsidRDefault="00256DC6" w:rsidP="00256DC6">
      <w:pPr>
        <w:pStyle w:val="NormalWeb"/>
        <w:numPr>
          <w:ilvl w:val="0"/>
          <w:numId w:val="1"/>
        </w:numPr>
      </w:pPr>
      <w:r>
        <w:t>Identify sensitive and regulated data to apply appropriate controls.</w:t>
      </w:r>
    </w:p>
    <w:p w14:paraId="0E1DB04D" w14:textId="77777777" w:rsidR="00256DC6" w:rsidRDefault="00256DC6" w:rsidP="00256DC6">
      <w:pPr>
        <w:pStyle w:val="NormalWeb"/>
        <w:numPr>
          <w:ilvl w:val="0"/>
          <w:numId w:val="1"/>
        </w:numPr>
      </w:pPr>
      <w:r>
        <w:t>Document current infrastructure, usage trends, and compliance needs.</w:t>
      </w:r>
    </w:p>
    <w:p w14:paraId="2401425B" w14:textId="77777777" w:rsidR="00256DC6" w:rsidRDefault="00256DC6" w:rsidP="00256DC6">
      <w:pPr>
        <w:pStyle w:val="NormalWeb"/>
        <w:numPr>
          <w:ilvl w:val="0"/>
          <w:numId w:val="1"/>
        </w:numPr>
      </w:pPr>
      <w:r>
        <w:t>Develop and finalize a ShareGate-powered runbook and migration schedule.</w:t>
      </w:r>
    </w:p>
    <w:p w14:paraId="5F5B625E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Phase 1: Archive Site Migration (Q1 – Q2 2026)</w:t>
      </w:r>
    </w:p>
    <w:p w14:paraId="4FD98AA9" w14:textId="77777777" w:rsidR="00256DC6" w:rsidRDefault="00256DC6" w:rsidP="00256DC6">
      <w:pPr>
        <w:pStyle w:val="NormalWeb"/>
        <w:numPr>
          <w:ilvl w:val="0"/>
          <w:numId w:val="2"/>
        </w:numPr>
      </w:pPr>
      <w:r>
        <w:t>Migrate ~3.6TB from WSS_Content_IPDSv2_Archive.</w:t>
      </w:r>
    </w:p>
    <w:p w14:paraId="67A95F6A" w14:textId="77777777" w:rsidR="00256DC6" w:rsidRDefault="00256DC6" w:rsidP="00256DC6">
      <w:pPr>
        <w:pStyle w:val="NormalWeb"/>
        <w:numPr>
          <w:ilvl w:val="0"/>
          <w:numId w:val="2"/>
        </w:numPr>
      </w:pPr>
      <w:r>
        <w:t>Maintain fidelity of metadata, folder structure, and permissions.</w:t>
      </w:r>
    </w:p>
    <w:p w14:paraId="67BE6688" w14:textId="77777777" w:rsidR="00256DC6" w:rsidRDefault="00256DC6" w:rsidP="00256DC6">
      <w:pPr>
        <w:pStyle w:val="NormalWeb"/>
        <w:numPr>
          <w:ilvl w:val="0"/>
          <w:numId w:val="2"/>
        </w:numPr>
      </w:pPr>
      <w:r>
        <w:t>Schedule during low-impact hours to minimize user disruption.</w:t>
      </w:r>
    </w:p>
    <w:p w14:paraId="0E70675F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Phase 2: Active Libraries Migration (Q2 – Q3 2026)</w:t>
      </w:r>
    </w:p>
    <w:p w14:paraId="093A5393" w14:textId="77777777" w:rsidR="00256DC6" w:rsidRDefault="00256DC6" w:rsidP="00256DC6">
      <w:pPr>
        <w:pStyle w:val="NormalWeb"/>
        <w:numPr>
          <w:ilvl w:val="0"/>
          <w:numId w:val="3"/>
        </w:numPr>
      </w:pPr>
      <w:r>
        <w:t>Migrate Content0–4 (~150–170 GB each).</w:t>
      </w:r>
    </w:p>
    <w:p w14:paraId="1DA4DA63" w14:textId="77777777" w:rsidR="00256DC6" w:rsidRDefault="00256DC6" w:rsidP="00256DC6">
      <w:pPr>
        <w:pStyle w:val="NormalWeb"/>
        <w:numPr>
          <w:ilvl w:val="0"/>
          <w:numId w:val="3"/>
        </w:numPr>
      </w:pPr>
      <w:r>
        <w:t>Utilize ShareGate’s incremental sync to ensure continuity of operations.</w:t>
      </w:r>
    </w:p>
    <w:p w14:paraId="585AD357" w14:textId="77777777" w:rsidR="00256DC6" w:rsidRDefault="00256DC6" w:rsidP="00256DC6">
      <w:pPr>
        <w:pStyle w:val="NormalWeb"/>
        <w:numPr>
          <w:ilvl w:val="0"/>
          <w:numId w:val="3"/>
        </w:numPr>
      </w:pPr>
      <w:r>
        <w:t>Validate post-migration document integrity and accessibility.</w:t>
      </w:r>
    </w:p>
    <w:p w14:paraId="2F6AA678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Phase 3: Utility and Home Sites (Q4 2026)</w:t>
      </w:r>
    </w:p>
    <w:p w14:paraId="298118B8" w14:textId="77777777" w:rsidR="00256DC6" w:rsidRDefault="00256DC6" w:rsidP="00256DC6">
      <w:pPr>
        <w:pStyle w:val="NormalWeb"/>
        <w:numPr>
          <w:ilvl w:val="0"/>
          <w:numId w:val="4"/>
        </w:numPr>
      </w:pPr>
      <w:r>
        <w:t>Migrate WSS_Content_IPDSv2_Home (~1.4 GB).</w:t>
      </w:r>
    </w:p>
    <w:p w14:paraId="589E1D7D" w14:textId="77777777" w:rsidR="00256DC6" w:rsidRDefault="00256DC6" w:rsidP="00256DC6">
      <w:pPr>
        <w:pStyle w:val="NormalWeb"/>
        <w:numPr>
          <w:ilvl w:val="0"/>
          <w:numId w:val="4"/>
        </w:numPr>
      </w:pPr>
      <w:r>
        <w:t>Confirm branding, UI/UX fidelity, and end-user readiness in SharePoint Online.</w:t>
      </w:r>
    </w:p>
    <w:p w14:paraId="44DE2BA9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Data Validation and Continuity</w:t>
      </w:r>
    </w:p>
    <w:p w14:paraId="1A3DD7C6" w14:textId="77777777" w:rsidR="00256DC6" w:rsidRDefault="00256DC6" w:rsidP="00256DC6">
      <w:pPr>
        <w:pStyle w:val="NormalWeb"/>
      </w:pPr>
      <w:r>
        <w:t>We will implement ShareGate’s comparison and rollback tools to validate data migration. Operations will be performed during off-peak hours, with user outreach and training to prepare stakeholders.</w:t>
      </w:r>
    </w:p>
    <w:p w14:paraId="518B978D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Access and Permissions Requirements</w:t>
      </w:r>
    </w:p>
    <w:p w14:paraId="7341E724" w14:textId="77777777" w:rsidR="00256DC6" w:rsidRDefault="00256DC6" w:rsidP="00256DC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lastRenderedPageBreak/>
        <w:t>SharePoint 2019:</w:t>
      </w:r>
      <w:r>
        <w:t xml:space="preserve"> Farm Admin or Site Collection Admin for data extraction.</w:t>
      </w:r>
    </w:p>
    <w:p w14:paraId="424D5800" w14:textId="77777777" w:rsidR="00256DC6" w:rsidRDefault="00256DC6" w:rsidP="00256DC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SQL Server:</w:t>
      </w:r>
      <w:r>
        <w:t xml:space="preserve"> Read-only access for analytics (optional).</w:t>
      </w:r>
    </w:p>
    <w:p w14:paraId="2C35BEA9" w14:textId="77777777" w:rsidR="00256DC6" w:rsidRDefault="00256DC6" w:rsidP="00256DC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Microsoft 365:</w:t>
      </w:r>
      <w:r>
        <w:t xml:space="preserve"> Global and SharePoint Admin for provisioning, configuration, and access management.</w:t>
      </w:r>
    </w:p>
    <w:p w14:paraId="24E017E3" w14:textId="77777777" w:rsidR="00256DC6" w:rsidRDefault="00256DC6" w:rsidP="00256DC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Azure AD:</w:t>
      </w:r>
      <w:r>
        <w:t xml:space="preserve"> Admin access to manage security groups, MFA, and conditional access.</w:t>
      </w:r>
    </w:p>
    <w:p w14:paraId="440125AC" w14:textId="77777777" w:rsidR="00256DC6" w:rsidRDefault="00256DC6" w:rsidP="00256DC6">
      <w:pPr>
        <w:pStyle w:val="NormalWeb"/>
      </w:pPr>
      <w:r>
        <w:t xml:space="preserve">All permissions will be granted under DOI policy using time-restricted, </w:t>
      </w:r>
      <w:proofErr w:type="gramStart"/>
      <w:r>
        <w:t>least-privilege</w:t>
      </w:r>
      <w:proofErr w:type="gramEnd"/>
      <w:r>
        <w:t xml:space="preserve"> models.</w:t>
      </w:r>
    </w:p>
    <w:p w14:paraId="7B0F18E3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Migration Tool Justification – ShareGate Migrate Pro</w:t>
      </w:r>
    </w:p>
    <w:p w14:paraId="0D3AC1C4" w14:textId="77777777" w:rsidR="00256DC6" w:rsidRDefault="00256DC6" w:rsidP="00256DC6">
      <w:pPr>
        <w:pStyle w:val="NormalWeb"/>
      </w:pPr>
      <w:r>
        <w:t>MERP Systems will use ShareGate Migrate Pro to manage all phases of migration. This tool is widely used for secure, high-volume migrations in federal environments and meets all USGS requirements.</w:t>
      </w:r>
    </w:p>
    <w:p w14:paraId="22283513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License and Capabilities</w:t>
      </w:r>
    </w:p>
    <w:p w14:paraId="7B88EE91" w14:textId="77777777" w:rsidR="00256DC6" w:rsidRDefault="00256DC6" w:rsidP="00256DC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Tier:</w:t>
      </w:r>
      <w:r>
        <w:t xml:space="preserve"> Pro</w:t>
      </w:r>
    </w:p>
    <w:p w14:paraId="4F353A9E" w14:textId="77777777" w:rsidR="00256DC6" w:rsidRDefault="00256DC6" w:rsidP="00256DC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Annual Cost:</w:t>
      </w:r>
      <w:r>
        <w:t xml:space="preserve"> $9,995</w:t>
      </w:r>
    </w:p>
    <w:p w14:paraId="4816A8AC" w14:textId="77777777" w:rsidR="00256DC6" w:rsidRDefault="00256DC6" w:rsidP="00256DC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Activations:</w:t>
      </w:r>
      <w:r>
        <w:t xml:space="preserve"> Up to 5 concurrent admin machines</w:t>
      </w:r>
    </w:p>
    <w:p w14:paraId="2851B031" w14:textId="77777777" w:rsidR="00256DC6" w:rsidRDefault="00256DC6" w:rsidP="00256DC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Features:</w:t>
      </w:r>
      <w:r>
        <w:t xml:space="preserve"> Unlimited data migration, version and metadata retention, PowerShell automation, reporting, and rollback</w:t>
      </w:r>
    </w:p>
    <w:p w14:paraId="60E11C3E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Cost Efficiency:</w:t>
      </w:r>
      <w:r>
        <w:t xml:space="preserve"> The Pro tier is optimal for this engagement, avoiding unnecessary cost associated with the Enterprise tier (which supports 25+ activations at $17,995/year). ShareGate Pro meets the project scope while reducing </w:t>
      </w:r>
      <w:proofErr w:type="gramStart"/>
      <w:r>
        <w:t>cost</w:t>
      </w:r>
      <w:proofErr w:type="gramEnd"/>
      <w:r>
        <w:t xml:space="preserve"> by ~45%.</w:t>
      </w:r>
    </w:p>
    <w:p w14:paraId="37056B90" w14:textId="77777777" w:rsidR="00256DC6" w:rsidRDefault="00256DC6" w:rsidP="00256DC6">
      <w:pPr>
        <w:pStyle w:val="NormalWeb"/>
      </w:pPr>
      <w:r>
        <w:t>Optional add-on: ShareGate Protect ($1,995/year) is available for post-migration governance and lifecycle management.</w:t>
      </w:r>
    </w:p>
    <w:p w14:paraId="65FC4282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Architecture and Platform Design</w:t>
      </w:r>
    </w:p>
    <w:p w14:paraId="19907535" w14:textId="77777777" w:rsidR="00256DC6" w:rsidRDefault="00256DC6" w:rsidP="00256DC6">
      <w:pPr>
        <w:pStyle w:val="NormalWeb"/>
      </w:pPr>
      <w:r>
        <w:t>The future-state IPDS environment will be cloud-native and FSP-compliant, leveraging:</w:t>
      </w:r>
    </w:p>
    <w:p w14:paraId="55ED2F05" w14:textId="77777777" w:rsidR="00256DC6" w:rsidRDefault="00256DC6" w:rsidP="00256DC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SharePoint Online and OneDrive</w:t>
      </w:r>
      <w:r>
        <w:t xml:space="preserve"> for content management</w:t>
      </w:r>
    </w:p>
    <w:p w14:paraId="0731B893" w14:textId="77777777" w:rsidR="00256DC6" w:rsidRDefault="00256DC6" w:rsidP="00256DC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Power Platform</w:t>
      </w:r>
      <w:r>
        <w:t xml:space="preserve"> for automation and business logic</w:t>
      </w:r>
    </w:p>
    <w:p w14:paraId="19828625" w14:textId="77777777" w:rsidR="00256DC6" w:rsidRDefault="00256DC6" w:rsidP="00256DC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Azure SQL and Blob Storage</w:t>
      </w:r>
      <w:r>
        <w:t xml:space="preserve"> for scalable data services</w:t>
      </w:r>
    </w:p>
    <w:p w14:paraId="3F60E965" w14:textId="77777777" w:rsidR="00256DC6" w:rsidRDefault="00256DC6" w:rsidP="00256DC6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Azure API Management</w:t>
      </w:r>
      <w:r>
        <w:t xml:space="preserve"> for system interoperability</w:t>
      </w:r>
    </w:p>
    <w:p w14:paraId="03E6AB20" w14:textId="77777777" w:rsidR="00256DC6" w:rsidRDefault="00256DC6" w:rsidP="00256DC6">
      <w:pPr>
        <w:pStyle w:val="NormalWeb"/>
      </w:pPr>
      <w:r>
        <w:t>The platform will support over 3,000 users and accommodate over 10,000 annual product submissions.</w:t>
      </w:r>
    </w:p>
    <w:p w14:paraId="433F9F86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Workflow Modernization</w:t>
      </w:r>
    </w:p>
    <w:p w14:paraId="7AD7BAA8" w14:textId="77777777" w:rsidR="00256DC6" w:rsidRDefault="00256DC6" w:rsidP="00256DC6">
      <w:pPr>
        <w:pStyle w:val="NormalWeb"/>
      </w:pPr>
      <w:r>
        <w:t>IPDS workflows will be replatformed using Microsoft Power Automate and Power Apps:</w:t>
      </w:r>
    </w:p>
    <w:p w14:paraId="4120BD36" w14:textId="77777777" w:rsidR="00256DC6" w:rsidRDefault="00256DC6" w:rsidP="00256DC6">
      <w:pPr>
        <w:pStyle w:val="NormalWeb"/>
        <w:numPr>
          <w:ilvl w:val="0"/>
          <w:numId w:val="8"/>
        </w:numPr>
      </w:pPr>
      <w:r>
        <w:t>Peer review management and approval routing</w:t>
      </w:r>
    </w:p>
    <w:p w14:paraId="200795F6" w14:textId="77777777" w:rsidR="00256DC6" w:rsidRDefault="00256DC6" w:rsidP="00256DC6">
      <w:pPr>
        <w:pStyle w:val="NormalWeb"/>
        <w:numPr>
          <w:ilvl w:val="0"/>
          <w:numId w:val="8"/>
        </w:numPr>
      </w:pPr>
      <w:r>
        <w:lastRenderedPageBreak/>
        <w:t>Metadata-driven content handling</w:t>
      </w:r>
    </w:p>
    <w:p w14:paraId="5E10D3EF" w14:textId="77777777" w:rsidR="00256DC6" w:rsidRDefault="00256DC6" w:rsidP="00256DC6">
      <w:pPr>
        <w:pStyle w:val="NormalWeb"/>
        <w:numPr>
          <w:ilvl w:val="0"/>
          <w:numId w:val="8"/>
        </w:numPr>
      </w:pPr>
      <w:r>
        <w:t>Reviewer anonymity and FSP validation logic</w:t>
      </w:r>
    </w:p>
    <w:p w14:paraId="469F624C" w14:textId="77777777" w:rsidR="00256DC6" w:rsidRDefault="00256DC6" w:rsidP="00256DC6">
      <w:pPr>
        <w:pStyle w:val="NormalWeb"/>
      </w:pPr>
      <w:r>
        <w:t>Power BI dashboards will offer visibility into task status and performance.</w:t>
      </w:r>
    </w:p>
    <w:p w14:paraId="6B8ADBB8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Performance Optimization and Monitoring</w:t>
      </w:r>
    </w:p>
    <w:p w14:paraId="491C0114" w14:textId="77777777" w:rsidR="00256DC6" w:rsidRDefault="00256DC6" w:rsidP="00256DC6">
      <w:pPr>
        <w:pStyle w:val="NormalWeb"/>
        <w:numPr>
          <w:ilvl w:val="0"/>
          <w:numId w:val="9"/>
        </w:numPr>
      </w:pPr>
      <w:r>
        <w:t>Index high-traffic libraries to enhance responsiveness</w:t>
      </w:r>
    </w:p>
    <w:p w14:paraId="52623102" w14:textId="77777777" w:rsidR="00256DC6" w:rsidRDefault="00256DC6" w:rsidP="00256DC6">
      <w:pPr>
        <w:pStyle w:val="NormalWeb"/>
        <w:numPr>
          <w:ilvl w:val="0"/>
          <w:numId w:val="9"/>
        </w:numPr>
      </w:pPr>
      <w:r>
        <w:t>Segregate archival data to reduce load</w:t>
      </w:r>
    </w:p>
    <w:p w14:paraId="1BFF0447" w14:textId="77777777" w:rsidR="00256DC6" w:rsidRDefault="00256DC6" w:rsidP="00256DC6">
      <w:pPr>
        <w:pStyle w:val="NormalWeb"/>
        <w:numPr>
          <w:ilvl w:val="0"/>
          <w:numId w:val="9"/>
        </w:numPr>
      </w:pPr>
      <w:r>
        <w:t>Use Azure Monitor and Power BI for real-time analytics</w:t>
      </w:r>
    </w:p>
    <w:p w14:paraId="2153D683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Security and Accessibility</w:t>
      </w:r>
    </w:p>
    <w:p w14:paraId="28591457" w14:textId="77777777" w:rsidR="00256DC6" w:rsidRDefault="00256DC6" w:rsidP="00256DC6">
      <w:pPr>
        <w:pStyle w:val="NormalWeb"/>
        <w:numPr>
          <w:ilvl w:val="0"/>
          <w:numId w:val="10"/>
        </w:numPr>
      </w:pPr>
      <w:r>
        <w:t>MFA, conditional access, and federated identity via Azure AD</w:t>
      </w:r>
    </w:p>
    <w:p w14:paraId="7C6E22A5" w14:textId="77777777" w:rsidR="00256DC6" w:rsidRDefault="00256DC6" w:rsidP="00256DC6">
      <w:pPr>
        <w:pStyle w:val="NormalWeb"/>
        <w:numPr>
          <w:ilvl w:val="0"/>
          <w:numId w:val="10"/>
        </w:numPr>
      </w:pPr>
      <w:r>
        <w:t>Section 508-compliant interfaces with screen reader support</w:t>
      </w:r>
    </w:p>
    <w:p w14:paraId="28341A5D" w14:textId="77777777" w:rsidR="00256DC6" w:rsidRDefault="00256DC6" w:rsidP="00256DC6">
      <w:pPr>
        <w:pStyle w:val="NormalWeb"/>
        <w:numPr>
          <w:ilvl w:val="0"/>
          <w:numId w:val="10"/>
        </w:numPr>
      </w:pPr>
      <w:r>
        <w:t>Use of Purview for sensitivity labels and DLP enforcement</w:t>
      </w:r>
    </w:p>
    <w:p w14:paraId="71E43687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Roadmap and Innovation (Option Year 2+)</w:t>
      </w:r>
    </w:p>
    <w:p w14:paraId="5B0CC397" w14:textId="77777777" w:rsidR="00256DC6" w:rsidRDefault="00256DC6" w:rsidP="00256DC6">
      <w:pPr>
        <w:pStyle w:val="NormalWeb"/>
      </w:pPr>
      <w:r>
        <w:t>Enhancements include:</w:t>
      </w:r>
    </w:p>
    <w:p w14:paraId="13B85D16" w14:textId="77777777" w:rsidR="00256DC6" w:rsidRDefault="00256DC6" w:rsidP="00256DC6">
      <w:pPr>
        <w:pStyle w:val="NormalWeb"/>
        <w:numPr>
          <w:ilvl w:val="0"/>
          <w:numId w:val="11"/>
        </w:numPr>
      </w:pPr>
      <w:r>
        <w:t>AI reviewer suggestions (Graph API + Azure AI)</w:t>
      </w:r>
    </w:p>
    <w:p w14:paraId="22D7D7AE" w14:textId="77777777" w:rsidR="00256DC6" w:rsidRDefault="00256DC6" w:rsidP="00256DC6">
      <w:pPr>
        <w:pStyle w:val="NormalWeb"/>
        <w:numPr>
          <w:ilvl w:val="0"/>
          <w:numId w:val="11"/>
        </w:numPr>
      </w:pPr>
      <w:r>
        <w:t>FSP rule enforcement automation (AI Builder + Power Automate)</w:t>
      </w:r>
    </w:p>
    <w:p w14:paraId="4D79FB03" w14:textId="77777777" w:rsidR="00256DC6" w:rsidRDefault="00256DC6" w:rsidP="00256DC6">
      <w:pPr>
        <w:pStyle w:val="NormalWeb"/>
        <w:numPr>
          <w:ilvl w:val="0"/>
          <w:numId w:val="11"/>
        </w:numPr>
      </w:pPr>
      <w:r>
        <w:t>Metadata extraction (Microsoft Syntex)</w:t>
      </w:r>
    </w:p>
    <w:p w14:paraId="5B9F82E5" w14:textId="77777777" w:rsidR="00256DC6" w:rsidRDefault="00256DC6" w:rsidP="00256DC6">
      <w:pPr>
        <w:pStyle w:val="NormalWeb"/>
        <w:numPr>
          <w:ilvl w:val="0"/>
          <w:numId w:val="11"/>
        </w:numPr>
      </w:pPr>
      <w:r>
        <w:t>Usage analytics via Azure Monitor</w:t>
      </w:r>
    </w:p>
    <w:p w14:paraId="116D7F1C" w14:textId="77777777" w:rsidR="00256DC6" w:rsidRDefault="00256DC6" w:rsidP="00256DC6">
      <w:pPr>
        <w:pStyle w:val="NormalWeb"/>
      </w:pPr>
      <w:r>
        <w:rPr>
          <w:rStyle w:val="Strong"/>
          <w:rFonts w:eastAsiaTheme="majorEastAsia"/>
        </w:rPr>
        <w:t>Deliverables</w:t>
      </w:r>
    </w:p>
    <w:p w14:paraId="30B20893" w14:textId="77777777" w:rsidR="00256DC6" w:rsidRDefault="00256DC6" w:rsidP="00256DC6">
      <w:pPr>
        <w:pStyle w:val="NormalWeb"/>
        <w:numPr>
          <w:ilvl w:val="0"/>
          <w:numId w:val="12"/>
        </w:numPr>
      </w:pPr>
      <w:r>
        <w:t>Fully functional SharePoint Online-hosted IPDS</w:t>
      </w:r>
    </w:p>
    <w:p w14:paraId="38FFBA1B" w14:textId="77777777" w:rsidR="00256DC6" w:rsidRDefault="00256DC6" w:rsidP="00256DC6">
      <w:pPr>
        <w:pStyle w:val="NormalWeb"/>
        <w:numPr>
          <w:ilvl w:val="0"/>
          <w:numId w:val="12"/>
        </w:numPr>
      </w:pPr>
      <w:r>
        <w:t>Migration runbooks, logs, and rollback tools</w:t>
      </w:r>
    </w:p>
    <w:p w14:paraId="45937B52" w14:textId="77777777" w:rsidR="00256DC6" w:rsidRDefault="00256DC6" w:rsidP="00256DC6">
      <w:pPr>
        <w:pStyle w:val="NormalWeb"/>
        <w:numPr>
          <w:ilvl w:val="0"/>
          <w:numId w:val="12"/>
        </w:numPr>
      </w:pPr>
      <w:r>
        <w:t>Documentation and user guides</w:t>
      </w:r>
    </w:p>
    <w:p w14:paraId="45EEC6A4" w14:textId="77777777" w:rsidR="00256DC6" w:rsidRDefault="00256DC6" w:rsidP="00256DC6">
      <w:pPr>
        <w:pStyle w:val="NormalWeb"/>
        <w:numPr>
          <w:ilvl w:val="0"/>
          <w:numId w:val="12"/>
        </w:numPr>
      </w:pPr>
      <w:r>
        <w:t xml:space="preserve">API integrations with </w:t>
      </w:r>
      <w:proofErr w:type="spellStart"/>
      <w:r>
        <w:t>ScienceBase</w:t>
      </w:r>
      <w:proofErr w:type="spellEnd"/>
      <w:r>
        <w:t xml:space="preserve"> and SIPP</w:t>
      </w:r>
    </w:p>
    <w:p w14:paraId="744750D9" w14:textId="77777777" w:rsidR="00256DC6" w:rsidRDefault="00256DC6" w:rsidP="00256DC6">
      <w:pPr>
        <w:pStyle w:val="NormalWeb"/>
        <w:numPr>
          <w:ilvl w:val="0"/>
          <w:numId w:val="12"/>
        </w:numPr>
      </w:pPr>
      <w:r>
        <w:t>Access and security configuration</w:t>
      </w:r>
    </w:p>
    <w:p w14:paraId="6EF59BC6" w14:textId="77777777" w:rsidR="00256DC6" w:rsidRDefault="00256DC6" w:rsidP="00256DC6">
      <w:pPr>
        <w:pStyle w:val="NormalWeb"/>
        <w:numPr>
          <w:ilvl w:val="0"/>
          <w:numId w:val="12"/>
        </w:numPr>
      </w:pPr>
      <w:r>
        <w:t>Power BI reporting and system dashboards</w:t>
      </w:r>
    </w:p>
    <w:p w14:paraId="5F660060" w14:textId="77777777" w:rsidR="00256DC6" w:rsidRDefault="00256DC6" w:rsidP="00256DC6">
      <w:pPr>
        <w:pStyle w:val="NormalWeb"/>
      </w:pPr>
      <w:r>
        <w:t xml:space="preserve">MERP Systems </w:t>
      </w:r>
      <w:proofErr w:type="gramStart"/>
      <w:r>
        <w:t>has</w:t>
      </w:r>
      <w:proofErr w:type="gramEnd"/>
      <w:r>
        <w:t xml:space="preserve"> the required capabilities, platform familiarity, and execution discipline to deliver a secure, compliant, and future-ready modernization of the IPDS in accordance with USGS and DOI requirements.</w:t>
      </w:r>
    </w:p>
    <w:p w14:paraId="5AF8D955" w14:textId="77777777" w:rsidR="00143399" w:rsidRDefault="00143399"/>
    <w:sectPr w:rsidR="0014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481F"/>
    <w:multiLevelType w:val="multilevel"/>
    <w:tmpl w:val="258A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73AA0"/>
    <w:multiLevelType w:val="multilevel"/>
    <w:tmpl w:val="79F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A4A9B"/>
    <w:multiLevelType w:val="multilevel"/>
    <w:tmpl w:val="E294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A1412"/>
    <w:multiLevelType w:val="multilevel"/>
    <w:tmpl w:val="384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E4346"/>
    <w:multiLevelType w:val="multilevel"/>
    <w:tmpl w:val="4F42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2082"/>
    <w:multiLevelType w:val="multilevel"/>
    <w:tmpl w:val="8F84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72A32"/>
    <w:multiLevelType w:val="multilevel"/>
    <w:tmpl w:val="F32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839F1"/>
    <w:multiLevelType w:val="multilevel"/>
    <w:tmpl w:val="3A4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8B7"/>
    <w:multiLevelType w:val="multilevel"/>
    <w:tmpl w:val="1D4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C355F"/>
    <w:multiLevelType w:val="multilevel"/>
    <w:tmpl w:val="81E4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44423"/>
    <w:multiLevelType w:val="multilevel"/>
    <w:tmpl w:val="7ED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83E3C"/>
    <w:multiLevelType w:val="multilevel"/>
    <w:tmpl w:val="6D9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198826">
    <w:abstractNumId w:val="1"/>
  </w:num>
  <w:num w:numId="2" w16cid:durableId="556818736">
    <w:abstractNumId w:val="0"/>
  </w:num>
  <w:num w:numId="3" w16cid:durableId="631181427">
    <w:abstractNumId w:val="4"/>
  </w:num>
  <w:num w:numId="4" w16cid:durableId="149643938">
    <w:abstractNumId w:val="6"/>
  </w:num>
  <w:num w:numId="5" w16cid:durableId="15158831">
    <w:abstractNumId w:val="5"/>
  </w:num>
  <w:num w:numId="6" w16cid:durableId="1688411650">
    <w:abstractNumId w:val="2"/>
  </w:num>
  <w:num w:numId="7" w16cid:durableId="1825664940">
    <w:abstractNumId w:val="8"/>
  </w:num>
  <w:num w:numId="8" w16cid:durableId="116408947">
    <w:abstractNumId w:val="7"/>
  </w:num>
  <w:num w:numId="9" w16cid:durableId="861626747">
    <w:abstractNumId w:val="10"/>
  </w:num>
  <w:num w:numId="10" w16cid:durableId="1650860738">
    <w:abstractNumId w:val="11"/>
  </w:num>
  <w:num w:numId="11" w16cid:durableId="2105689351">
    <w:abstractNumId w:val="3"/>
  </w:num>
  <w:num w:numId="12" w16cid:durableId="911112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DC6"/>
    <w:rsid w:val="00143399"/>
    <w:rsid w:val="00256DC6"/>
    <w:rsid w:val="004F6F17"/>
    <w:rsid w:val="00A91130"/>
    <w:rsid w:val="00AD1C5A"/>
    <w:rsid w:val="00E469DB"/>
    <w:rsid w:val="00EE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9B23"/>
  <w15:chartTrackingRefBased/>
  <w15:docId w15:val="{4AFD925A-2C6B-4629-B0E5-691AC135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56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Graf</dc:creator>
  <cp:keywords/>
  <dc:description/>
  <cp:lastModifiedBy>Jessica Graf</cp:lastModifiedBy>
  <cp:revision>1</cp:revision>
  <dcterms:created xsi:type="dcterms:W3CDTF">2025-07-29T17:00:00Z</dcterms:created>
  <dcterms:modified xsi:type="dcterms:W3CDTF">2025-07-29T17:01:00Z</dcterms:modified>
</cp:coreProperties>
</file>