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4984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Formal Risk Assessment and Operational Justification for Granting Scoped Central Administration Access to the IPDS Development Team</w:t>
      </w:r>
    </w:p>
    <w:p w14:paraId="770B2750" w14:textId="77777777" w:rsidR="00017C42" w:rsidRPr="00017C42" w:rsidRDefault="00017C42" w:rsidP="00871165">
      <w:pPr>
        <w:spacing w:after="120" w:line="240" w:lineRule="auto"/>
      </w:pPr>
      <w:r w:rsidRPr="00017C42">
        <w:pict w14:anchorId="677F8167">
          <v:rect id="_x0000_i1025" style="width:0;height:1.5pt" o:hralign="center" o:hrstd="t" o:hr="t" fillcolor="#a0a0a0" stroked="f"/>
        </w:pict>
      </w:r>
    </w:p>
    <w:p w14:paraId="01F02A84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1. Operational and Technical Tasks Requiring Farm-Level Administrative Access</w:t>
      </w:r>
    </w:p>
    <w:p w14:paraId="759BC691" w14:textId="77777777" w:rsidR="00017C42" w:rsidRPr="00017C42" w:rsidRDefault="00017C42" w:rsidP="00871165">
      <w:pPr>
        <w:spacing w:after="120" w:line="240" w:lineRule="auto"/>
      </w:pPr>
      <w:r w:rsidRPr="00017C42">
        <w:t xml:space="preserve">The RFQ ("B08 - RFQ Attachment (PWS)") clearly outlines several tasks that </w:t>
      </w:r>
      <w:r w:rsidRPr="00017C42">
        <w:rPr>
          <w:i/>
          <w:iCs/>
        </w:rPr>
        <w:t>cannot be executed effectively without SharePoint Central Administration (farm-level) access</w:t>
      </w:r>
      <w:r w:rsidRPr="00017C42">
        <w:t>. These include:</w:t>
      </w:r>
    </w:p>
    <w:p w14:paraId="741DA6DB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a. Timer Job Configuration</w:t>
      </w:r>
    </w:p>
    <w:p w14:paraId="30970BFB" w14:textId="77777777" w:rsidR="00017C42" w:rsidRPr="00017C42" w:rsidRDefault="00017C42" w:rsidP="00871165">
      <w:pPr>
        <w:numPr>
          <w:ilvl w:val="0"/>
          <w:numId w:val="1"/>
        </w:numPr>
        <w:spacing w:after="120" w:line="240" w:lineRule="auto"/>
      </w:pPr>
      <w:r w:rsidRPr="00017C42">
        <w:t xml:space="preserve">The IPDS application involves </w:t>
      </w:r>
      <w:r w:rsidRPr="00017C42">
        <w:rPr>
          <w:b/>
          <w:bCs/>
        </w:rPr>
        <w:t>routing workflows</w:t>
      </w:r>
      <w:r w:rsidRPr="00017C42">
        <w:t>, metadata reminders, and automated document dissemination, which rely on timer jobs for task execution and notifications.</w:t>
      </w:r>
    </w:p>
    <w:p w14:paraId="2DB36FBB" w14:textId="77777777" w:rsidR="00017C42" w:rsidRPr="00017C42" w:rsidRDefault="00017C42" w:rsidP="00871165">
      <w:pPr>
        <w:numPr>
          <w:ilvl w:val="0"/>
          <w:numId w:val="1"/>
        </w:numPr>
        <w:spacing w:after="120" w:line="240" w:lineRule="auto"/>
      </w:pPr>
      <w:r w:rsidRPr="00017C42">
        <w:t>These require visibility and control over timer job definitions, history, and execution—all accessible only via Central Admin or equivalent PowerShell management interfaces.</w:t>
      </w:r>
    </w:p>
    <w:p w14:paraId="57D220B7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b. Diagnostic Tooling</w:t>
      </w:r>
    </w:p>
    <w:p w14:paraId="333DE6C5" w14:textId="77777777" w:rsidR="00017C42" w:rsidRPr="00017C42" w:rsidRDefault="00017C42" w:rsidP="00871165">
      <w:pPr>
        <w:numPr>
          <w:ilvl w:val="0"/>
          <w:numId w:val="2"/>
        </w:numPr>
        <w:spacing w:after="120" w:line="240" w:lineRule="auto"/>
      </w:pPr>
      <w:r w:rsidRPr="00017C42">
        <w:t>The platform must enable diagnostics for performance issues, integration failures (e.g., with SIPP, Publications Warehouse), and task execution delays.</w:t>
      </w:r>
    </w:p>
    <w:p w14:paraId="68CAE8AF" w14:textId="77777777" w:rsidR="00017C42" w:rsidRPr="00017C42" w:rsidRDefault="00017C42" w:rsidP="00871165">
      <w:pPr>
        <w:numPr>
          <w:ilvl w:val="0"/>
          <w:numId w:val="2"/>
        </w:numPr>
        <w:spacing w:after="120" w:line="240" w:lineRule="auto"/>
      </w:pPr>
      <w:r w:rsidRPr="00017C42">
        <w:t>ULS logs alone are insufficient for root cause analysis involving service proxies or config DB inconsistencies, as confirmed in Microsoft documentation and reiterated in the Rebuttal documents.</w:t>
      </w:r>
    </w:p>
    <w:p w14:paraId="4B4D689A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c. Service Application Maintenance</w:t>
      </w:r>
    </w:p>
    <w:p w14:paraId="73B2AC6A" w14:textId="77777777" w:rsidR="00017C42" w:rsidRPr="00017C42" w:rsidRDefault="00017C42" w:rsidP="00871165">
      <w:pPr>
        <w:numPr>
          <w:ilvl w:val="0"/>
          <w:numId w:val="3"/>
        </w:numPr>
        <w:spacing w:after="120" w:line="240" w:lineRule="auto"/>
      </w:pPr>
      <w:r w:rsidRPr="00017C42">
        <w:t>The system requires integration with:</w:t>
      </w:r>
    </w:p>
    <w:p w14:paraId="288D61DC" w14:textId="77777777" w:rsidR="00017C42" w:rsidRPr="00017C42" w:rsidRDefault="00017C42" w:rsidP="00871165">
      <w:pPr>
        <w:numPr>
          <w:ilvl w:val="1"/>
          <w:numId w:val="3"/>
        </w:numPr>
        <w:spacing w:after="120" w:line="240" w:lineRule="auto"/>
      </w:pPr>
      <w:r w:rsidRPr="00017C42">
        <w:t>DOI Azure Active Directory (for authentication and metadata population),</w:t>
      </w:r>
    </w:p>
    <w:p w14:paraId="52EFF86E" w14:textId="77777777" w:rsidR="00017C42" w:rsidRPr="00017C42" w:rsidRDefault="00017C42" w:rsidP="00871165">
      <w:pPr>
        <w:numPr>
          <w:ilvl w:val="1"/>
          <w:numId w:val="3"/>
        </w:numPr>
        <w:spacing w:after="120" w:line="240" w:lineRule="auto"/>
      </w:pPr>
      <w:r w:rsidRPr="00017C42">
        <w:t xml:space="preserve">Web services/APIs for SIPP and </w:t>
      </w:r>
      <w:proofErr w:type="spellStart"/>
      <w:r w:rsidRPr="00017C42">
        <w:t>ScienceBase</w:t>
      </w:r>
      <w:proofErr w:type="spellEnd"/>
      <w:r w:rsidRPr="00017C42">
        <w:t>.</w:t>
      </w:r>
    </w:p>
    <w:p w14:paraId="5B1A870D" w14:textId="77777777" w:rsidR="00017C42" w:rsidRPr="00017C42" w:rsidRDefault="00017C42" w:rsidP="00871165">
      <w:pPr>
        <w:numPr>
          <w:ilvl w:val="0"/>
          <w:numId w:val="3"/>
        </w:numPr>
        <w:spacing w:after="120" w:line="240" w:lineRule="auto"/>
      </w:pPr>
      <w:r w:rsidRPr="00017C42">
        <w:t xml:space="preserve">Managing these integrations involves configuring </w:t>
      </w:r>
      <w:r w:rsidRPr="00017C42">
        <w:rPr>
          <w:b/>
          <w:bCs/>
        </w:rPr>
        <w:t>User Profile Service</w:t>
      </w:r>
      <w:r w:rsidRPr="00017C42">
        <w:t xml:space="preserve">, </w:t>
      </w:r>
      <w:r w:rsidRPr="00017C42">
        <w:rPr>
          <w:b/>
          <w:bCs/>
        </w:rPr>
        <w:t>Search Service</w:t>
      </w:r>
      <w:r w:rsidRPr="00017C42">
        <w:t xml:space="preserve">, and secure </w:t>
      </w:r>
      <w:r w:rsidRPr="00017C42">
        <w:rPr>
          <w:b/>
          <w:bCs/>
        </w:rPr>
        <w:t>Service Application Proxy Groups</w:t>
      </w:r>
      <w:r w:rsidRPr="00017C42">
        <w:t>, which require farm-level access.</w:t>
      </w:r>
    </w:p>
    <w:p w14:paraId="23BBD790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d. Platform-Level Monitoring</w:t>
      </w:r>
    </w:p>
    <w:p w14:paraId="784980FB" w14:textId="77777777" w:rsidR="00017C42" w:rsidRPr="00017C42" w:rsidRDefault="00017C42" w:rsidP="00871165">
      <w:pPr>
        <w:numPr>
          <w:ilvl w:val="0"/>
          <w:numId w:val="4"/>
        </w:numPr>
        <w:spacing w:after="120" w:line="240" w:lineRule="auto"/>
      </w:pPr>
      <w:r w:rsidRPr="00017C42">
        <w:t>Per the PWS, IPDS must support:</w:t>
      </w:r>
    </w:p>
    <w:p w14:paraId="36E61CF0" w14:textId="77777777" w:rsidR="00017C42" w:rsidRPr="00017C42" w:rsidRDefault="00017C42" w:rsidP="00871165">
      <w:pPr>
        <w:numPr>
          <w:ilvl w:val="1"/>
          <w:numId w:val="4"/>
        </w:numPr>
        <w:spacing w:after="120" w:line="240" w:lineRule="auto"/>
      </w:pPr>
      <w:r w:rsidRPr="00017C42">
        <w:t>Uptime requirements,</w:t>
      </w:r>
    </w:p>
    <w:p w14:paraId="34F0F17D" w14:textId="77777777" w:rsidR="00017C42" w:rsidRPr="00017C42" w:rsidRDefault="00017C42" w:rsidP="00871165">
      <w:pPr>
        <w:numPr>
          <w:ilvl w:val="1"/>
          <w:numId w:val="4"/>
        </w:numPr>
        <w:spacing w:after="120" w:line="240" w:lineRule="auto"/>
      </w:pPr>
      <w:r w:rsidRPr="00017C42">
        <w:t>Data integrity monitoring,</w:t>
      </w:r>
    </w:p>
    <w:p w14:paraId="1A6D1B22" w14:textId="77777777" w:rsidR="00017C42" w:rsidRPr="00017C42" w:rsidRDefault="00017C42" w:rsidP="00871165">
      <w:pPr>
        <w:numPr>
          <w:ilvl w:val="1"/>
          <w:numId w:val="4"/>
        </w:numPr>
        <w:spacing w:after="120" w:line="240" w:lineRule="auto"/>
      </w:pPr>
      <w:r w:rsidRPr="00017C42">
        <w:t>Automated clean-up jobs,</w:t>
      </w:r>
    </w:p>
    <w:p w14:paraId="66B6AF35" w14:textId="77777777" w:rsidR="00017C42" w:rsidRPr="00017C42" w:rsidRDefault="00017C42" w:rsidP="00871165">
      <w:pPr>
        <w:numPr>
          <w:ilvl w:val="1"/>
          <w:numId w:val="4"/>
        </w:numPr>
        <w:spacing w:after="120" w:line="240" w:lineRule="auto"/>
      </w:pPr>
      <w:r w:rsidRPr="00017C42">
        <w:t>Performance tracking across 3,000 users and 160,000 records.</w:t>
      </w:r>
    </w:p>
    <w:p w14:paraId="096C6584" w14:textId="77777777" w:rsidR="00017C42" w:rsidRPr="00017C42" w:rsidRDefault="00017C42" w:rsidP="00871165">
      <w:pPr>
        <w:numPr>
          <w:ilvl w:val="0"/>
          <w:numId w:val="4"/>
        </w:numPr>
        <w:spacing w:after="120" w:line="240" w:lineRule="auto"/>
      </w:pPr>
      <w:r w:rsidRPr="00017C42">
        <w:t xml:space="preserve">Monitoring tools like </w:t>
      </w:r>
      <w:r w:rsidRPr="00017C42">
        <w:rPr>
          <w:b/>
          <w:bCs/>
        </w:rPr>
        <w:t>Health Analyzer</w:t>
      </w:r>
      <w:r w:rsidRPr="00017C42">
        <w:t xml:space="preserve">, </w:t>
      </w:r>
      <w:r w:rsidRPr="00017C42">
        <w:rPr>
          <w:b/>
          <w:bCs/>
        </w:rPr>
        <w:t>Diagnostic Logging Configuration</w:t>
      </w:r>
      <w:r w:rsidRPr="00017C42">
        <w:t xml:space="preserve">, and </w:t>
      </w:r>
      <w:r w:rsidRPr="00017C42">
        <w:rPr>
          <w:b/>
          <w:bCs/>
        </w:rPr>
        <w:t>Resource Throttling</w:t>
      </w:r>
      <w:r w:rsidRPr="00017C42">
        <w:t xml:space="preserve"> settings are all administered via Central Admin.</w:t>
      </w:r>
    </w:p>
    <w:p w14:paraId="1E7F2397" w14:textId="77777777" w:rsidR="00017C42" w:rsidRPr="00017C42" w:rsidRDefault="00017C42" w:rsidP="00871165">
      <w:pPr>
        <w:spacing w:after="120" w:line="240" w:lineRule="auto"/>
      </w:pPr>
      <w:r w:rsidRPr="00017C42">
        <w:pict w14:anchorId="21942788">
          <v:rect id="_x0000_i1026" style="width:0;height:1.5pt" o:hralign="center" o:hrstd="t" o:hr="t" fillcolor="#a0a0a0" stroked="f"/>
        </w:pict>
      </w:r>
    </w:p>
    <w:p w14:paraId="0E8518E6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2. Policy Justification for Scoped Administrative Access</w:t>
      </w:r>
    </w:p>
    <w:p w14:paraId="2318D625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a. NIST SP 800-53</w:t>
      </w:r>
    </w:p>
    <w:p w14:paraId="0ADC11D3" w14:textId="77777777" w:rsidR="00017C42" w:rsidRPr="00017C42" w:rsidRDefault="00017C42" w:rsidP="00871165">
      <w:pPr>
        <w:numPr>
          <w:ilvl w:val="0"/>
          <w:numId w:val="5"/>
        </w:numPr>
        <w:spacing w:after="120" w:line="240" w:lineRule="auto"/>
      </w:pPr>
      <w:r w:rsidRPr="00017C42">
        <w:rPr>
          <w:b/>
          <w:bCs/>
        </w:rPr>
        <w:t>AC-6 (Least Privilege)</w:t>
      </w:r>
      <w:r w:rsidRPr="00017C42">
        <w:t xml:space="preserve">: Supports </w:t>
      </w:r>
      <w:r w:rsidRPr="00017C42">
        <w:rPr>
          <w:i/>
          <w:iCs/>
        </w:rPr>
        <w:t>role-based administrative scoping</w:t>
      </w:r>
      <w:r w:rsidRPr="00017C42">
        <w:t xml:space="preserve"> with minimum required access.</w:t>
      </w:r>
    </w:p>
    <w:p w14:paraId="37A490F6" w14:textId="77777777" w:rsidR="00017C42" w:rsidRPr="00017C42" w:rsidRDefault="00017C42" w:rsidP="00871165">
      <w:pPr>
        <w:numPr>
          <w:ilvl w:val="0"/>
          <w:numId w:val="5"/>
        </w:numPr>
        <w:spacing w:after="120" w:line="240" w:lineRule="auto"/>
      </w:pPr>
      <w:r w:rsidRPr="00017C42">
        <w:rPr>
          <w:b/>
          <w:bCs/>
        </w:rPr>
        <w:lastRenderedPageBreak/>
        <w:t>AC-5 (Separation of Duties)</w:t>
      </w:r>
      <w:r w:rsidRPr="00017C42">
        <w:t>: Allows role blending when:</w:t>
      </w:r>
    </w:p>
    <w:p w14:paraId="3F5A07E2" w14:textId="14F0A99A" w:rsidR="00017C42" w:rsidRPr="00017C42" w:rsidRDefault="00017C42" w:rsidP="00871165">
      <w:pPr>
        <w:spacing w:after="120" w:line="240" w:lineRule="auto"/>
      </w:pPr>
      <w:r w:rsidRPr="00017C42">
        <w:t>“</w:t>
      </w:r>
      <w:r w:rsidR="005C1BD1" w:rsidRPr="00017C42">
        <w:t>Risk</w:t>
      </w:r>
      <w:r w:rsidRPr="00017C42">
        <w:t xml:space="preserve"> is low and compensating controls (e.g., logging, reviews) are in place”.</w:t>
      </w:r>
    </w:p>
    <w:p w14:paraId="7BED2CC2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b. OMB Circular A-130</w:t>
      </w:r>
    </w:p>
    <w:p w14:paraId="54DB0F81" w14:textId="77777777" w:rsidR="00017C42" w:rsidRPr="00017C42" w:rsidRDefault="00017C42" w:rsidP="00871165">
      <w:pPr>
        <w:numPr>
          <w:ilvl w:val="0"/>
          <w:numId w:val="6"/>
        </w:numPr>
        <w:spacing w:after="120" w:line="240" w:lineRule="auto"/>
      </w:pPr>
      <w:r w:rsidRPr="00017C42">
        <w:rPr>
          <w:b/>
          <w:bCs/>
        </w:rPr>
        <w:t>Section 8(b)(4)(ii)</w:t>
      </w:r>
      <w:r w:rsidRPr="00017C42">
        <w:t xml:space="preserve"> mandates agencies to:</w:t>
      </w:r>
    </w:p>
    <w:p w14:paraId="72EE999B" w14:textId="77777777" w:rsidR="00017C42" w:rsidRPr="00017C42" w:rsidRDefault="00017C42" w:rsidP="00871165">
      <w:pPr>
        <w:spacing w:after="120" w:line="240" w:lineRule="auto"/>
      </w:pPr>
      <w:r w:rsidRPr="00017C42">
        <w:t>“Ensure information systems maintain availability through appropriate technical controls…”</w:t>
      </w:r>
    </w:p>
    <w:p w14:paraId="4687D608" w14:textId="3E299B9F" w:rsidR="00017C42" w:rsidRPr="00017C42" w:rsidRDefault="00017C42" w:rsidP="00871165">
      <w:pPr>
        <w:numPr>
          <w:ilvl w:val="0"/>
          <w:numId w:val="6"/>
        </w:numPr>
        <w:spacing w:after="120" w:line="240" w:lineRule="auto"/>
      </w:pPr>
      <w:r w:rsidRPr="00017C42">
        <w:t xml:space="preserve">Limiting farm </w:t>
      </w:r>
      <w:r w:rsidR="005C1BD1" w:rsidRPr="00017C42">
        <w:t>access</w:t>
      </w:r>
      <w:r w:rsidRPr="00017C42">
        <w:t xml:space="preserve"> required </w:t>
      </w:r>
      <w:r w:rsidRPr="00017C42">
        <w:rPr>
          <w:b/>
          <w:bCs/>
        </w:rPr>
        <w:t>violates system availability and continuity mandates</w:t>
      </w:r>
      <w:r w:rsidRPr="00017C42">
        <w:t>.</w:t>
      </w:r>
    </w:p>
    <w:p w14:paraId="642ABB29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c. USGS IT Security Program Plan v5.0</w:t>
      </w:r>
    </w:p>
    <w:p w14:paraId="565AEDF5" w14:textId="77777777" w:rsidR="00017C42" w:rsidRPr="00017C42" w:rsidRDefault="00017C42" w:rsidP="00871165">
      <w:pPr>
        <w:numPr>
          <w:ilvl w:val="0"/>
          <w:numId w:val="7"/>
        </w:numPr>
        <w:spacing w:after="120" w:line="240" w:lineRule="auto"/>
      </w:pPr>
      <w:r w:rsidRPr="00017C42">
        <w:rPr>
          <w:b/>
          <w:bCs/>
        </w:rPr>
        <w:t>Section 4.3.2</w:t>
      </w:r>
      <w:r w:rsidRPr="00017C42">
        <w:t>: Emphasizes that access controls must:</w:t>
      </w:r>
    </w:p>
    <w:p w14:paraId="7967B694" w14:textId="7D42E72D" w:rsidR="00017C42" w:rsidRPr="00017C42" w:rsidRDefault="00017C42" w:rsidP="00871165">
      <w:pPr>
        <w:spacing w:after="120" w:line="240" w:lineRule="auto"/>
      </w:pPr>
      <w:r w:rsidRPr="00017C42">
        <w:t>“</w:t>
      </w:r>
      <w:r w:rsidR="005C1BD1" w:rsidRPr="00017C42">
        <w:t>Enable</w:t>
      </w:r>
      <w:r w:rsidRPr="00017C42">
        <w:t xml:space="preserve"> personnel to fulfill mission-essential </w:t>
      </w:r>
      <w:r w:rsidR="005C1BD1" w:rsidRPr="00017C42">
        <w:t>functions and</w:t>
      </w:r>
      <w:r w:rsidRPr="00017C42">
        <w:t xml:space="preserve"> must not introduce operational barriers.”</w:t>
      </w:r>
    </w:p>
    <w:p w14:paraId="1AD43F28" w14:textId="77777777" w:rsidR="00017C42" w:rsidRPr="00017C42" w:rsidRDefault="00017C42" w:rsidP="00871165">
      <w:pPr>
        <w:numPr>
          <w:ilvl w:val="0"/>
          <w:numId w:val="7"/>
        </w:numPr>
        <w:spacing w:after="120" w:line="240" w:lineRule="auto"/>
      </w:pPr>
      <w:r w:rsidRPr="00017C42">
        <w:rPr>
          <w:b/>
          <w:bCs/>
        </w:rPr>
        <w:t>Section 6.2</w:t>
      </w:r>
      <w:r w:rsidRPr="00017C42">
        <w:t>: Requires access to:</w:t>
      </w:r>
    </w:p>
    <w:p w14:paraId="5B87B0E1" w14:textId="496AFD2E" w:rsidR="00017C42" w:rsidRPr="00017C42" w:rsidRDefault="00017C42" w:rsidP="00871165">
      <w:pPr>
        <w:spacing w:after="120" w:line="240" w:lineRule="auto"/>
      </w:pPr>
      <w:r w:rsidRPr="00017C42">
        <w:t>“</w:t>
      </w:r>
      <w:r w:rsidR="005C1BD1" w:rsidRPr="00017C42">
        <w:t>Monitoring</w:t>
      </w:r>
      <w:r w:rsidRPr="00017C42">
        <w:t xml:space="preserve"> tools and logs across all operational layers.”</w:t>
      </w:r>
    </w:p>
    <w:p w14:paraId="7F998F49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d. USGS Manual Chapter 600.5</w:t>
      </w:r>
    </w:p>
    <w:p w14:paraId="411AE4C5" w14:textId="77777777" w:rsidR="00017C42" w:rsidRPr="00017C42" w:rsidRDefault="00017C42" w:rsidP="00871165">
      <w:pPr>
        <w:numPr>
          <w:ilvl w:val="0"/>
          <w:numId w:val="8"/>
        </w:numPr>
        <w:spacing w:after="120" w:line="240" w:lineRule="auto"/>
      </w:pPr>
      <w:r w:rsidRPr="00017C42">
        <w:rPr>
          <w:b/>
          <w:bCs/>
        </w:rPr>
        <w:t>Section 7</w:t>
      </w:r>
      <w:r w:rsidRPr="00017C42">
        <w:t xml:space="preserve"> allows:</w:t>
      </w:r>
    </w:p>
    <w:p w14:paraId="3FC74025" w14:textId="398E0683" w:rsidR="00017C42" w:rsidRPr="00017C42" w:rsidRDefault="00017C42" w:rsidP="00871165">
      <w:pPr>
        <w:spacing w:after="120" w:line="240" w:lineRule="auto"/>
      </w:pPr>
      <w:r w:rsidRPr="00017C42">
        <w:t>“</w:t>
      </w:r>
      <w:r w:rsidR="005C1BD1" w:rsidRPr="00017C42">
        <w:t>Assignment</w:t>
      </w:r>
      <w:r w:rsidRPr="00017C42">
        <w:t xml:space="preserve"> of multiple roles... in small teams... if periodic audits and reviews are enforced.”</w:t>
      </w:r>
    </w:p>
    <w:p w14:paraId="59F49877" w14:textId="77777777" w:rsidR="00017C42" w:rsidRPr="00017C42" w:rsidRDefault="00017C42" w:rsidP="00871165">
      <w:pPr>
        <w:spacing w:after="120" w:line="240" w:lineRule="auto"/>
      </w:pPr>
      <w:r w:rsidRPr="00017C42">
        <w:pict w14:anchorId="4BBD6173">
          <v:rect id="_x0000_i1027" style="width:0;height:1.5pt" o:hralign="center" o:hrstd="t" o:hr="t" fillcolor="#a0a0a0" stroked="f"/>
        </w:pict>
      </w:r>
    </w:p>
    <w:p w14:paraId="178A02F2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3. Rebuttals to Common Objections</w:t>
      </w:r>
    </w:p>
    <w:p w14:paraId="249FBF1B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a. Violation of Least Privilege</w:t>
      </w:r>
    </w:p>
    <w:p w14:paraId="1F732356" w14:textId="77777777" w:rsidR="00017C42" w:rsidRPr="00017C42" w:rsidRDefault="00017C42" w:rsidP="00871165">
      <w:pPr>
        <w:numPr>
          <w:ilvl w:val="0"/>
          <w:numId w:val="9"/>
        </w:numPr>
        <w:spacing w:after="120" w:line="240" w:lineRule="auto"/>
      </w:pPr>
      <w:r w:rsidRPr="00017C42">
        <w:t xml:space="preserve">Misunderstanding: Least privilege means </w:t>
      </w:r>
      <w:r w:rsidRPr="00017C42">
        <w:rPr>
          <w:i/>
          <w:iCs/>
        </w:rPr>
        <w:t>granting minimum access</w:t>
      </w:r>
      <w:r w:rsidRPr="00017C42">
        <w:t xml:space="preserve"> </w:t>
      </w:r>
      <w:r w:rsidRPr="00017C42">
        <w:rPr>
          <w:b/>
          <w:bCs/>
        </w:rPr>
        <w:t>required</w:t>
      </w:r>
      <w:r w:rsidRPr="00017C42">
        <w:t xml:space="preserve">, not </w:t>
      </w:r>
      <w:r w:rsidRPr="00017C42">
        <w:rPr>
          <w:i/>
          <w:iCs/>
        </w:rPr>
        <w:t>denying</w:t>
      </w:r>
      <w:r w:rsidRPr="00017C42">
        <w:t xml:space="preserve"> necessary access.</w:t>
      </w:r>
    </w:p>
    <w:p w14:paraId="1F1F5A62" w14:textId="1AB09BAE" w:rsidR="00017C42" w:rsidRPr="00017C42" w:rsidRDefault="00017C42" w:rsidP="00871165">
      <w:pPr>
        <w:numPr>
          <w:ilvl w:val="0"/>
          <w:numId w:val="9"/>
        </w:numPr>
        <w:spacing w:after="120" w:line="240" w:lineRule="auto"/>
      </w:pPr>
      <w:r w:rsidRPr="00017C42">
        <w:t xml:space="preserve">Scoped access via Central Admin with JEA and audit controls directly </w:t>
      </w:r>
      <w:proofErr w:type="gramStart"/>
      <w:r w:rsidRPr="00017C42">
        <w:t>fulfills</w:t>
      </w:r>
      <w:proofErr w:type="gramEnd"/>
      <w:r w:rsidRPr="00017C42">
        <w:t xml:space="preserve"> </w:t>
      </w:r>
      <w:r w:rsidR="005C1BD1" w:rsidRPr="00017C42">
        <w:t>the least</w:t>
      </w:r>
      <w:r w:rsidRPr="00017C42">
        <w:t xml:space="preserve"> privilege policies.</w:t>
      </w:r>
    </w:p>
    <w:p w14:paraId="10DB27AA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b. Violation of Separation of Duties</w:t>
      </w:r>
    </w:p>
    <w:p w14:paraId="428D51DD" w14:textId="77777777" w:rsidR="00017C42" w:rsidRPr="00017C42" w:rsidRDefault="00017C42" w:rsidP="00871165">
      <w:pPr>
        <w:numPr>
          <w:ilvl w:val="0"/>
          <w:numId w:val="10"/>
        </w:numPr>
        <w:spacing w:after="120" w:line="240" w:lineRule="auto"/>
      </w:pPr>
      <w:r w:rsidRPr="00017C42">
        <w:t>Contextual application is supported:</w:t>
      </w:r>
    </w:p>
    <w:p w14:paraId="5455F747" w14:textId="77777777" w:rsidR="00017C42" w:rsidRPr="00017C42" w:rsidRDefault="00017C42" w:rsidP="00871165">
      <w:pPr>
        <w:numPr>
          <w:ilvl w:val="1"/>
          <w:numId w:val="10"/>
        </w:numPr>
        <w:spacing w:after="120" w:line="240" w:lineRule="auto"/>
      </w:pPr>
      <w:r w:rsidRPr="00017C42">
        <w:t xml:space="preserve">USGS and NIST permit </w:t>
      </w:r>
      <w:proofErr w:type="spellStart"/>
      <w:r w:rsidRPr="00017C42">
        <w:t>SoD</w:t>
      </w:r>
      <w:proofErr w:type="spellEnd"/>
      <w:r w:rsidRPr="00017C42">
        <w:t xml:space="preserve"> flexibility in low-risk, small teams.</w:t>
      </w:r>
    </w:p>
    <w:p w14:paraId="00FC338B" w14:textId="77777777" w:rsidR="00017C42" w:rsidRPr="00017C42" w:rsidRDefault="00017C42" w:rsidP="00871165">
      <w:pPr>
        <w:numPr>
          <w:ilvl w:val="1"/>
          <w:numId w:val="10"/>
        </w:numPr>
        <w:spacing w:after="120" w:line="240" w:lineRule="auto"/>
      </w:pPr>
      <w:r w:rsidRPr="00017C42">
        <w:t xml:space="preserve">Logging, peer review, and change management are </w:t>
      </w:r>
      <w:r w:rsidRPr="00017C42">
        <w:rPr>
          <w:b/>
          <w:bCs/>
        </w:rPr>
        <w:t>valid compensating controls</w:t>
      </w:r>
      <w:r w:rsidRPr="00017C42">
        <w:t>.</w:t>
      </w:r>
    </w:p>
    <w:p w14:paraId="6651F951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c. Change Control Conflicts</w:t>
      </w:r>
    </w:p>
    <w:p w14:paraId="71D67D81" w14:textId="77777777" w:rsidR="00017C42" w:rsidRPr="00017C42" w:rsidRDefault="00017C42" w:rsidP="00871165">
      <w:pPr>
        <w:numPr>
          <w:ilvl w:val="0"/>
          <w:numId w:val="11"/>
        </w:numPr>
        <w:spacing w:after="120" w:line="240" w:lineRule="auto"/>
      </w:pPr>
      <w:r w:rsidRPr="00017C42">
        <w:t>Developers executing changes ≠ owning governance.</w:t>
      </w:r>
    </w:p>
    <w:p w14:paraId="4C99A471" w14:textId="77777777" w:rsidR="00017C42" w:rsidRPr="00017C42" w:rsidRDefault="00017C42" w:rsidP="00871165">
      <w:pPr>
        <w:numPr>
          <w:ilvl w:val="0"/>
          <w:numId w:val="11"/>
        </w:numPr>
        <w:spacing w:after="120" w:line="240" w:lineRule="auto"/>
      </w:pPr>
      <w:r w:rsidRPr="00017C42">
        <w:t>ITSM-01 policy:</w:t>
      </w:r>
    </w:p>
    <w:p w14:paraId="3D465027" w14:textId="77777777" w:rsidR="00017C42" w:rsidRPr="00017C42" w:rsidRDefault="00017C42" w:rsidP="00871165">
      <w:pPr>
        <w:spacing w:after="120" w:line="240" w:lineRule="auto"/>
      </w:pPr>
      <w:r w:rsidRPr="00017C42">
        <w:t>“Bureau teams are responsible for executing approved changes… under CAB processes”.</w:t>
      </w:r>
    </w:p>
    <w:p w14:paraId="4D7DBE7C" w14:textId="77777777" w:rsidR="00017C42" w:rsidRPr="00017C42" w:rsidRDefault="00017C42" w:rsidP="00871165">
      <w:pPr>
        <w:numPr>
          <w:ilvl w:val="0"/>
          <w:numId w:val="11"/>
        </w:numPr>
        <w:spacing w:after="120" w:line="240" w:lineRule="auto"/>
      </w:pPr>
      <w:r w:rsidRPr="00017C42">
        <w:t>This model is already standard across USGS.</w:t>
      </w:r>
    </w:p>
    <w:p w14:paraId="6C017E79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d. ULS Logs Are Sufficient</w:t>
      </w:r>
    </w:p>
    <w:p w14:paraId="105DE996" w14:textId="77777777" w:rsidR="00017C42" w:rsidRPr="00017C42" w:rsidRDefault="00017C42" w:rsidP="00871165">
      <w:pPr>
        <w:numPr>
          <w:ilvl w:val="0"/>
          <w:numId w:val="12"/>
        </w:numPr>
        <w:spacing w:after="120" w:line="240" w:lineRule="auto"/>
      </w:pPr>
      <w:r w:rsidRPr="00017C42">
        <w:t>Technically inaccurate. ULS:</w:t>
      </w:r>
    </w:p>
    <w:p w14:paraId="7DD6DC41" w14:textId="77777777" w:rsidR="00017C42" w:rsidRPr="00017C42" w:rsidRDefault="00017C42" w:rsidP="00871165">
      <w:pPr>
        <w:numPr>
          <w:ilvl w:val="1"/>
          <w:numId w:val="12"/>
        </w:numPr>
        <w:spacing w:after="120" w:line="240" w:lineRule="auto"/>
      </w:pPr>
      <w:r w:rsidRPr="00017C42">
        <w:t>Lacks visibility into farm-level issues (e.g., misconfigured service proxies).</w:t>
      </w:r>
    </w:p>
    <w:p w14:paraId="36CCB5BB" w14:textId="77777777" w:rsidR="00017C42" w:rsidRPr="00017C42" w:rsidRDefault="00017C42" w:rsidP="00871165">
      <w:pPr>
        <w:numPr>
          <w:ilvl w:val="1"/>
          <w:numId w:val="12"/>
        </w:numPr>
        <w:spacing w:after="120" w:line="240" w:lineRule="auto"/>
      </w:pPr>
      <w:r w:rsidRPr="00017C42">
        <w:t>Cannot substitute Central Admin views like Health Analyzer and timer job status.</w:t>
      </w:r>
    </w:p>
    <w:p w14:paraId="6664942F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lastRenderedPageBreak/>
        <w:t>e. IPDS Should Build Its Own Farm</w:t>
      </w:r>
    </w:p>
    <w:p w14:paraId="3B95B354" w14:textId="77777777" w:rsidR="00017C42" w:rsidRPr="00017C42" w:rsidRDefault="00017C42" w:rsidP="00871165">
      <w:pPr>
        <w:numPr>
          <w:ilvl w:val="0"/>
          <w:numId w:val="13"/>
        </w:numPr>
        <w:spacing w:after="120" w:line="240" w:lineRule="auto"/>
      </w:pPr>
      <w:proofErr w:type="gramStart"/>
      <w:r w:rsidRPr="00017C42">
        <w:t>Violates</w:t>
      </w:r>
      <w:proofErr w:type="gramEnd"/>
      <w:r w:rsidRPr="00017C42">
        <w:t>:</w:t>
      </w:r>
    </w:p>
    <w:p w14:paraId="790D78B3" w14:textId="77777777" w:rsidR="00017C42" w:rsidRPr="00017C42" w:rsidRDefault="00017C42" w:rsidP="00871165">
      <w:pPr>
        <w:numPr>
          <w:ilvl w:val="1"/>
          <w:numId w:val="13"/>
        </w:numPr>
        <w:spacing w:after="120" w:line="240" w:lineRule="auto"/>
      </w:pPr>
      <w:r w:rsidRPr="00017C42">
        <w:t>DOI IT Shared Services Framework</w:t>
      </w:r>
    </w:p>
    <w:p w14:paraId="14DC6D68" w14:textId="77777777" w:rsidR="00017C42" w:rsidRPr="00017C42" w:rsidRDefault="00017C42" w:rsidP="00871165">
      <w:pPr>
        <w:numPr>
          <w:ilvl w:val="1"/>
          <w:numId w:val="13"/>
        </w:numPr>
        <w:spacing w:after="120" w:line="240" w:lineRule="auto"/>
      </w:pPr>
      <w:r w:rsidRPr="00017C42">
        <w:t>USGS OCIO guidance</w:t>
      </w:r>
    </w:p>
    <w:p w14:paraId="675DE45A" w14:textId="77777777" w:rsidR="00017C42" w:rsidRPr="00017C42" w:rsidRDefault="00017C42" w:rsidP="00871165">
      <w:pPr>
        <w:numPr>
          <w:ilvl w:val="1"/>
          <w:numId w:val="13"/>
        </w:numPr>
        <w:spacing w:after="120" w:line="240" w:lineRule="auto"/>
      </w:pPr>
      <w:r w:rsidRPr="00017C42">
        <w:t>OMB A-11 and FITARA</w:t>
      </w:r>
    </w:p>
    <w:p w14:paraId="180E4C08" w14:textId="436EB77D" w:rsidR="00017C42" w:rsidRPr="00017C42" w:rsidRDefault="005C1BD1" w:rsidP="00871165">
      <w:pPr>
        <w:numPr>
          <w:ilvl w:val="0"/>
          <w:numId w:val="13"/>
        </w:numPr>
        <w:spacing w:after="120" w:line="240" w:lineRule="auto"/>
      </w:pPr>
      <w:r w:rsidRPr="00017C42">
        <w:t>would</w:t>
      </w:r>
      <w:r w:rsidR="00017C42" w:rsidRPr="00017C42">
        <w:t xml:space="preserve"> increase </w:t>
      </w:r>
      <w:proofErr w:type="gramStart"/>
      <w:r w:rsidR="00017C42" w:rsidRPr="00017C42">
        <w:t>cost</w:t>
      </w:r>
      <w:proofErr w:type="gramEnd"/>
      <w:r w:rsidR="00017C42" w:rsidRPr="00017C42">
        <w:t>, delay delivery, and reduce alignment with enterprise security baselines.</w:t>
      </w:r>
    </w:p>
    <w:p w14:paraId="778781A1" w14:textId="77777777" w:rsidR="00017C42" w:rsidRPr="00017C42" w:rsidRDefault="00017C42" w:rsidP="00871165">
      <w:pPr>
        <w:spacing w:after="120" w:line="240" w:lineRule="auto"/>
      </w:pPr>
      <w:r w:rsidRPr="00017C42">
        <w:pict w14:anchorId="3B5058D6">
          <v:rect id="_x0000_i1028" style="width:0;height:1.5pt" o:hralign="center" o:hrstd="t" o:hr="t" fillcolor="#a0a0a0" stroked="f"/>
        </w:pict>
      </w:r>
    </w:p>
    <w:p w14:paraId="2484FC92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4. Risk Implications of Denial</w:t>
      </w:r>
    </w:p>
    <w:tbl>
      <w:tblPr>
        <w:tblStyle w:val="TableGrid"/>
        <w:tblW w:w="0" w:type="auto"/>
        <w:tblInd w:w="63" w:type="dxa"/>
        <w:tblLook w:val="04A0" w:firstRow="1" w:lastRow="0" w:firstColumn="1" w:lastColumn="0" w:noHBand="0" w:noVBand="1"/>
      </w:tblPr>
      <w:tblGrid>
        <w:gridCol w:w="1819"/>
        <w:gridCol w:w="7694"/>
      </w:tblGrid>
      <w:tr w:rsidR="00017C42" w:rsidRPr="00017C42" w14:paraId="2662C504" w14:textId="77777777" w:rsidTr="00871165">
        <w:trPr>
          <w:trHeight w:val="340"/>
        </w:trPr>
        <w:tc>
          <w:tcPr>
            <w:tcW w:w="0" w:type="auto"/>
            <w:hideMark/>
          </w:tcPr>
          <w:p w14:paraId="1CDA22EA" w14:textId="77777777" w:rsidR="00017C42" w:rsidRPr="00017C42" w:rsidRDefault="00017C42" w:rsidP="00871165">
            <w:pPr>
              <w:spacing w:after="120"/>
              <w:rPr>
                <w:b/>
                <w:bCs/>
              </w:rPr>
            </w:pPr>
            <w:r w:rsidRPr="00017C42">
              <w:rPr>
                <w:b/>
                <w:bCs/>
              </w:rPr>
              <w:t>Risk Area</w:t>
            </w:r>
          </w:p>
        </w:tc>
        <w:tc>
          <w:tcPr>
            <w:tcW w:w="0" w:type="auto"/>
            <w:hideMark/>
          </w:tcPr>
          <w:p w14:paraId="777A357C" w14:textId="77777777" w:rsidR="00017C42" w:rsidRPr="00017C42" w:rsidRDefault="00017C42" w:rsidP="00871165">
            <w:pPr>
              <w:spacing w:after="120"/>
              <w:rPr>
                <w:b/>
                <w:bCs/>
              </w:rPr>
            </w:pPr>
            <w:r w:rsidRPr="00017C42">
              <w:rPr>
                <w:b/>
                <w:bCs/>
              </w:rPr>
              <w:t>Implication</w:t>
            </w:r>
          </w:p>
        </w:tc>
      </w:tr>
      <w:tr w:rsidR="00017C42" w:rsidRPr="00017C42" w14:paraId="5BF3C61A" w14:textId="77777777" w:rsidTr="00871165">
        <w:trPr>
          <w:trHeight w:val="340"/>
        </w:trPr>
        <w:tc>
          <w:tcPr>
            <w:tcW w:w="0" w:type="auto"/>
            <w:hideMark/>
          </w:tcPr>
          <w:p w14:paraId="362D04BE" w14:textId="77777777" w:rsidR="00017C42" w:rsidRPr="00017C42" w:rsidRDefault="00017C42" w:rsidP="00871165">
            <w:pPr>
              <w:spacing w:after="120"/>
            </w:pPr>
            <w:r w:rsidRPr="00017C42">
              <w:rPr>
                <w:b/>
                <w:bCs/>
              </w:rPr>
              <w:t>Project Timeline</w:t>
            </w:r>
          </w:p>
        </w:tc>
        <w:tc>
          <w:tcPr>
            <w:tcW w:w="0" w:type="auto"/>
            <w:hideMark/>
          </w:tcPr>
          <w:p w14:paraId="781BC224" w14:textId="244C1084" w:rsidR="00017C42" w:rsidRPr="00017C42" w:rsidRDefault="00017C42" w:rsidP="00871165">
            <w:pPr>
              <w:spacing w:after="120"/>
            </w:pPr>
            <w:r w:rsidRPr="00017C42">
              <w:rPr>
                <w:b/>
                <w:bCs/>
              </w:rPr>
              <w:t xml:space="preserve">July 14, </w:t>
            </w:r>
            <w:r w:rsidR="005C1BD1" w:rsidRPr="00017C42">
              <w:rPr>
                <w:b/>
                <w:bCs/>
              </w:rPr>
              <w:t>2026,</w:t>
            </w:r>
            <w:r w:rsidRPr="00017C42">
              <w:t xml:space="preserve"> </w:t>
            </w:r>
            <w:r w:rsidR="005C1BD1" w:rsidRPr="00017C42">
              <w:t>the modernization</w:t>
            </w:r>
            <w:r w:rsidRPr="00017C42">
              <w:t xml:space="preserve"> deadline will be missed due to dependency on external admin teams for every config, diagnostic, or deployment task.</w:t>
            </w:r>
          </w:p>
        </w:tc>
      </w:tr>
      <w:tr w:rsidR="00017C42" w:rsidRPr="00017C42" w14:paraId="2AD5FDC5" w14:textId="77777777" w:rsidTr="00871165">
        <w:trPr>
          <w:trHeight w:val="340"/>
        </w:trPr>
        <w:tc>
          <w:tcPr>
            <w:tcW w:w="0" w:type="auto"/>
            <w:hideMark/>
          </w:tcPr>
          <w:p w14:paraId="3203CA5C" w14:textId="77777777" w:rsidR="00017C42" w:rsidRPr="00017C42" w:rsidRDefault="00017C42" w:rsidP="00871165">
            <w:pPr>
              <w:spacing w:after="120"/>
            </w:pPr>
            <w:r w:rsidRPr="00017C42">
              <w:rPr>
                <w:b/>
                <w:bCs/>
              </w:rPr>
              <w:t>Operational Continuity</w:t>
            </w:r>
          </w:p>
        </w:tc>
        <w:tc>
          <w:tcPr>
            <w:tcW w:w="0" w:type="auto"/>
            <w:hideMark/>
          </w:tcPr>
          <w:p w14:paraId="5676E903" w14:textId="77777777" w:rsidR="00017C42" w:rsidRPr="00017C42" w:rsidRDefault="00017C42" w:rsidP="00871165">
            <w:pPr>
              <w:spacing w:after="120"/>
            </w:pPr>
            <w:r w:rsidRPr="00017C42">
              <w:t>Lack of direct control will lead to delays in issue diagnosis and system downtime — undermining user trust and continuity.</w:t>
            </w:r>
          </w:p>
        </w:tc>
      </w:tr>
      <w:tr w:rsidR="00017C42" w:rsidRPr="00017C42" w14:paraId="69A0655C" w14:textId="77777777" w:rsidTr="00871165">
        <w:trPr>
          <w:trHeight w:val="340"/>
        </w:trPr>
        <w:tc>
          <w:tcPr>
            <w:tcW w:w="0" w:type="auto"/>
            <w:hideMark/>
          </w:tcPr>
          <w:p w14:paraId="6E7534B2" w14:textId="77777777" w:rsidR="00017C42" w:rsidRPr="00017C42" w:rsidRDefault="00017C42" w:rsidP="00871165">
            <w:pPr>
              <w:spacing w:after="120"/>
            </w:pPr>
            <w:r w:rsidRPr="00017C42">
              <w:rPr>
                <w:b/>
                <w:bCs/>
              </w:rPr>
              <w:t>Policy Compliance</w:t>
            </w:r>
          </w:p>
        </w:tc>
        <w:tc>
          <w:tcPr>
            <w:tcW w:w="0" w:type="auto"/>
            <w:hideMark/>
          </w:tcPr>
          <w:p w14:paraId="21739178" w14:textId="618BF76C" w:rsidR="00017C42" w:rsidRPr="00017C42" w:rsidRDefault="00017C42" w:rsidP="00871165">
            <w:pPr>
              <w:spacing w:after="120"/>
            </w:pPr>
            <w:r w:rsidRPr="00017C42">
              <w:t xml:space="preserve">Inability to maintain audit trails, Health Analyzer thresholds, or integrate properly with USGS systems will </w:t>
            </w:r>
            <w:r w:rsidR="005C1BD1" w:rsidRPr="00017C42">
              <w:t>break</w:t>
            </w:r>
            <w:r w:rsidRPr="00017C42">
              <w:t xml:space="preserve"> FSP and OMB mandates.</w:t>
            </w:r>
          </w:p>
        </w:tc>
      </w:tr>
      <w:tr w:rsidR="00017C42" w:rsidRPr="00017C42" w14:paraId="0209F119" w14:textId="77777777" w:rsidTr="00871165">
        <w:trPr>
          <w:trHeight w:val="340"/>
        </w:trPr>
        <w:tc>
          <w:tcPr>
            <w:tcW w:w="0" w:type="auto"/>
            <w:hideMark/>
          </w:tcPr>
          <w:p w14:paraId="495D602D" w14:textId="77777777" w:rsidR="00017C42" w:rsidRPr="00017C42" w:rsidRDefault="00017C42" w:rsidP="00871165">
            <w:pPr>
              <w:spacing w:after="120"/>
            </w:pPr>
            <w:r w:rsidRPr="00017C42">
              <w:rPr>
                <w:b/>
                <w:bCs/>
              </w:rPr>
              <w:t>Cost &amp; Duplication</w:t>
            </w:r>
          </w:p>
        </w:tc>
        <w:tc>
          <w:tcPr>
            <w:tcW w:w="0" w:type="auto"/>
            <w:hideMark/>
          </w:tcPr>
          <w:p w14:paraId="1E3F6B74" w14:textId="77777777" w:rsidR="00017C42" w:rsidRPr="00017C42" w:rsidRDefault="00017C42" w:rsidP="00871165">
            <w:pPr>
              <w:spacing w:after="120"/>
            </w:pPr>
            <w:r w:rsidRPr="00017C42">
              <w:t>Without access, separate infrastructure may be proposed — violating DOI shared services and inflating costs.</w:t>
            </w:r>
          </w:p>
        </w:tc>
      </w:tr>
    </w:tbl>
    <w:p w14:paraId="52730926" w14:textId="77777777" w:rsidR="00017C42" w:rsidRPr="00017C42" w:rsidRDefault="00017C42" w:rsidP="00871165">
      <w:pPr>
        <w:spacing w:after="120" w:line="240" w:lineRule="auto"/>
      </w:pPr>
      <w:r w:rsidRPr="00017C42">
        <w:pict w14:anchorId="146CDE57">
          <v:rect id="_x0000_i1029" style="width:0;height:1.5pt" o:hralign="center" o:hrstd="t" o:hr="t" fillcolor="#a0a0a0" stroked="f"/>
        </w:pict>
      </w:r>
    </w:p>
    <w:p w14:paraId="2232D212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5. Recommended Compensating Controls</w:t>
      </w:r>
    </w:p>
    <w:p w14:paraId="12B1D02A" w14:textId="77777777" w:rsidR="00017C42" w:rsidRPr="00017C42" w:rsidRDefault="00017C42" w:rsidP="00871165">
      <w:pPr>
        <w:spacing w:after="120" w:line="240" w:lineRule="auto"/>
      </w:pPr>
      <w:r w:rsidRPr="00017C42">
        <w:t>To balance access and governance:</w:t>
      </w:r>
    </w:p>
    <w:p w14:paraId="4A8B83A5" w14:textId="77777777" w:rsidR="00017C42" w:rsidRPr="00017C42" w:rsidRDefault="00017C42" w:rsidP="00871165">
      <w:pPr>
        <w:numPr>
          <w:ilvl w:val="0"/>
          <w:numId w:val="14"/>
        </w:numPr>
        <w:spacing w:after="120" w:line="240" w:lineRule="auto"/>
      </w:pPr>
      <w:r w:rsidRPr="00017C42">
        <w:rPr>
          <w:b/>
          <w:bCs/>
        </w:rPr>
        <w:t>PowerShell Just Enough Administration (JEA)</w:t>
      </w:r>
    </w:p>
    <w:p w14:paraId="6546271B" w14:textId="77777777" w:rsidR="00017C42" w:rsidRPr="00017C42" w:rsidRDefault="00017C42" w:rsidP="00871165">
      <w:pPr>
        <w:numPr>
          <w:ilvl w:val="1"/>
          <w:numId w:val="14"/>
        </w:numPr>
        <w:spacing w:after="120" w:line="240" w:lineRule="auto"/>
      </w:pPr>
      <w:r w:rsidRPr="00017C42">
        <w:t>Restrict cmdlets to timer job, service proxy, and diagnostic functions.</w:t>
      </w:r>
    </w:p>
    <w:p w14:paraId="4F5732AA" w14:textId="77777777" w:rsidR="00017C42" w:rsidRPr="00017C42" w:rsidRDefault="00017C42" w:rsidP="00871165">
      <w:pPr>
        <w:numPr>
          <w:ilvl w:val="0"/>
          <w:numId w:val="14"/>
        </w:numPr>
        <w:spacing w:after="120" w:line="240" w:lineRule="auto"/>
      </w:pPr>
      <w:r w:rsidRPr="00017C42">
        <w:rPr>
          <w:b/>
          <w:bCs/>
        </w:rPr>
        <w:t>Scoped AD Role Assignment</w:t>
      </w:r>
    </w:p>
    <w:p w14:paraId="5F3F8743" w14:textId="77777777" w:rsidR="00017C42" w:rsidRPr="00017C42" w:rsidRDefault="00017C42" w:rsidP="00871165">
      <w:pPr>
        <w:numPr>
          <w:ilvl w:val="1"/>
          <w:numId w:val="14"/>
        </w:numPr>
        <w:spacing w:after="120" w:line="240" w:lineRule="auto"/>
      </w:pPr>
      <w:r w:rsidRPr="00017C42">
        <w:t>Access tied to specific IPDS-related service applications or site collections.</w:t>
      </w:r>
    </w:p>
    <w:p w14:paraId="2334F793" w14:textId="77777777" w:rsidR="00017C42" w:rsidRPr="00017C42" w:rsidRDefault="00017C42" w:rsidP="00871165">
      <w:pPr>
        <w:numPr>
          <w:ilvl w:val="0"/>
          <w:numId w:val="14"/>
        </w:numPr>
        <w:spacing w:after="120" w:line="240" w:lineRule="auto"/>
      </w:pPr>
      <w:r w:rsidRPr="00017C42">
        <w:rPr>
          <w:b/>
          <w:bCs/>
        </w:rPr>
        <w:t>Quarterly Access Review</w:t>
      </w:r>
    </w:p>
    <w:p w14:paraId="420A7AE6" w14:textId="77777777" w:rsidR="00017C42" w:rsidRPr="00017C42" w:rsidRDefault="00017C42" w:rsidP="00871165">
      <w:pPr>
        <w:numPr>
          <w:ilvl w:val="1"/>
          <w:numId w:val="14"/>
        </w:numPr>
        <w:spacing w:after="120" w:line="240" w:lineRule="auto"/>
      </w:pPr>
      <w:r w:rsidRPr="00017C42">
        <w:t>Documented in Change Management Plan; reviewed by IT Security Office.</w:t>
      </w:r>
    </w:p>
    <w:p w14:paraId="2719A1BF" w14:textId="77777777" w:rsidR="00017C42" w:rsidRPr="00017C42" w:rsidRDefault="00017C42" w:rsidP="00871165">
      <w:pPr>
        <w:numPr>
          <w:ilvl w:val="0"/>
          <w:numId w:val="14"/>
        </w:numPr>
        <w:spacing w:after="120" w:line="240" w:lineRule="auto"/>
      </w:pPr>
      <w:r w:rsidRPr="00017C42">
        <w:rPr>
          <w:b/>
          <w:bCs/>
        </w:rPr>
        <w:t>Formal Change Management</w:t>
      </w:r>
    </w:p>
    <w:p w14:paraId="1D5EEE36" w14:textId="34D7AD67" w:rsidR="00017C42" w:rsidRPr="00017C42" w:rsidRDefault="00017C42" w:rsidP="00871165">
      <w:pPr>
        <w:numPr>
          <w:ilvl w:val="1"/>
          <w:numId w:val="14"/>
        </w:numPr>
        <w:spacing w:after="120" w:line="240" w:lineRule="auto"/>
      </w:pPr>
      <w:r w:rsidRPr="00017C42">
        <w:t xml:space="preserve">All configuration changes </w:t>
      </w:r>
      <w:r w:rsidR="005C1BD1" w:rsidRPr="00017C42">
        <w:t>are routed</w:t>
      </w:r>
      <w:r w:rsidRPr="00017C42">
        <w:t xml:space="preserve"> through CAB for approval.</w:t>
      </w:r>
    </w:p>
    <w:p w14:paraId="5DE54E94" w14:textId="77777777" w:rsidR="00017C42" w:rsidRPr="00017C42" w:rsidRDefault="00017C42" w:rsidP="00871165">
      <w:pPr>
        <w:numPr>
          <w:ilvl w:val="0"/>
          <w:numId w:val="14"/>
        </w:numPr>
        <w:spacing w:after="120" w:line="240" w:lineRule="auto"/>
      </w:pPr>
      <w:r w:rsidRPr="00017C42">
        <w:rPr>
          <w:b/>
          <w:bCs/>
        </w:rPr>
        <w:t>Audit Logging &amp; Alerting</w:t>
      </w:r>
    </w:p>
    <w:p w14:paraId="4104701D" w14:textId="77777777" w:rsidR="00017C42" w:rsidRPr="00017C42" w:rsidRDefault="00017C42" w:rsidP="00871165">
      <w:pPr>
        <w:numPr>
          <w:ilvl w:val="1"/>
          <w:numId w:val="14"/>
        </w:numPr>
        <w:spacing w:after="120" w:line="240" w:lineRule="auto"/>
      </w:pPr>
      <w:r w:rsidRPr="00017C42">
        <w:t>Enable centralized audit of all privileged operations.</w:t>
      </w:r>
    </w:p>
    <w:p w14:paraId="624DD509" w14:textId="77777777" w:rsidR="00017C42" w:rsidRPr="00017C42" w:rsidRDefault="00017C42" w:rsidP="00871165">
      <w:pPr>
        <w:numPr>
          <w:ilvl w:val="0"/>
          <w:numId w:val="14"/>
        </w:numPr>
        <w:spacing w:after="120" w:line="240" w:lineRule="auto"/>
      </w:pPr>
      <w:r w:rsidRPr="00017C42">
        <w:rPr>
          <w:b/>
          <w:bCs/>
        </w:rPr>
        <w:t>Access Expiry &amp; Revalidation</w:t>
      </w:r>
    </w:p>
    <w:p w14:paraId="5EF2A591" w14:textId="77777777" w:rsidR="00017C42" w:rsidRPr="00017C42" w:rsidRDefault="00017C42" w:rsidP="00871165">
      <w:pPr>
        <w:numPr>
          <w:ilvl w:val="1"/>
          <w:numId w:val="14"/>
        </w:numPr>
        <w:spacing w:after="120" w:line="240" w:lineRule="auto"/>
      </w:pPr>
      <w:r w:rsidRPr="00017C42">
        <w:t>Time-bound access with justification renewal requirements.</w:t>
      </w:r>
    </w:p>
    <w:p w14:paraId="1DC689B7" w14:textId="77777777" w:rsidR="00017C42" w:rsidRPr="00017C42" w:rsidRDefault="00017C42" w:rsidP="00871165">
      <w:pPr>
        <w:spacing w:after="120" w:line="240" w:lineRule="auto"/>
      </w:pPr>
      <w:r w:rsidRPr="00017C42">
        <w:pict w14:anchorId="2F9A65DB">
          <v:rect id="_x0000_i1030" style="width:0;height:1.5pt" o:hralign="center" o:hrstd="t" o:hr="t" fillcolor="#a0a0a0" stroked="f"/>
        </w:pict>
      </w:r>
    </w:p>
    <w:p w14:paraId="649DE361" w14:textId="77777777" w:rsidR="00017C42" w:rsidRPr="00017C42" w:rsidRDefault="00017C42" w:rsidP="00871165">
      <w:pPr>
        <w:spacing w:after="120" w:line="240" w:lineRule="auto"/>
        <w:rPr>
          <w:b/>
          <w:bCs/>
        </w:rPr>
      </w:pPr>
      <w:r w:rsidRPr="00017C42">
        <w:rPr>
          <w:b/>
          <w:bCs/>
        </w:rPr>
        <w:t>6. Conclusion and Recommendation</w:t>
      </w:r>
    </w:p>
    <w:p w14:paraId="1828FF65" w14:textId="77777777" w:rsidR="00017C42" w:rsidRPr="00017C42" w:rsidRDefault="00017C42" w:rsidP="00871165">
      <w:pPr>
        <w:spacing w:after="120" w:line="240" w:lineRule="auto"/>
      </w:pPr>
      <w:r w:rsidRPr="00017C42">
        <w:rPr>
          <w:b/>
          <w:bCs/>
        </w:rPr>
        <w:lastRenderedPageBreak/>
        <w:t>Recommendation</w:t>
      </w:r>
      <w:r w:rsidRPr="00017C42">
        <w:t>:</w:t>
      </w:r>
      <w:r w:rsidRPr="00017C42">
        <w:br/>
        <w:t xml:space="preserve">Authorize </w:t>
      </w:r>
      <w:r w:rsidRPr="00017C42">
        <w:rPr>
          <w:b/>
          <w:bCs/>
        </w:rPr>
        <w:t>scoped SharePoint Central Administration access</w:t>
      </w:r>
      <w:r w:rsidRPr="00017C42">
        <w:t xml:space="preserve"> for the IPDS development team. Limit access to specific operational components and implement robust compensating controls.</w:t>
      </w:r>
    </w:p>
    <w:p w14:paraId="77DA8288" w14:textId="77777777" w:rsidR="00017C42" w:rsidRPr="00017C42" w:rsidRDefault="00017C42" w:rsidP="00871165">
      <w:pPr>
        <w:spacing w:after="120" w:line="240" w:lineRule="auto"/>
      </w:pPr>
      <w:r w:rsidRPr="00017C42">
        <w:rPr>
          <w:b/>
          <w:bCs/>
        </w:rPr>
        <w:t>Rationale</w:t>
      </w:r>
      <w:r w:rsidRPr="00017C42">
        <w:t>:</w:t>
      </w:r>
    </w:p>
    <w:p w14:paraId="14CE8821" w14:textId="77777777" w:rsidR="00017C42" w:rsidRPr="00017C42" w:rsidRDefault="00017C42" w:rsidP="00871165">
      <w:pPr>
        <w:numPr>
          <w:ilvl w:val="0"/>
          <w:numId w:val="15"/>
        </w:numPr>
        <w:spacing w:after="120" w:line="240" w:lineRule="auto"/>
      </w:pPr>
      <w:r w:rsidRPr="00017C42">
        <w:rPr>
          <w:b/>
          <w:bCs/>
        </w:rPr>
        <w:t>Technically Necessary</w:t>
      </w:r>
      <w:r w:rsidRPr="00017C42">
        <w:t>: Required for timer jobs, service apps, diagnostics, and integrations.</w:t>
      </w:r>
    </w:p>
    <w:p w14:paraId="5249230B" w14:textId="77777777" w:rsidR="00017C42" w:rsidRPr="00017C42" w:rsidRDefault="00017C42" w:rsidP="00871165">
      <w:pPr>
        <w:numPr>
          <w:ilvl w:val="0"/>
          <w:numId w:val="15"/>
        </w:numPr>
        <w:spacing w:after="120" w:line="240" w:lineRule="auto"/>
      </w:pPr>
      <w:r w:rsidRPr="00017C42">
        <w:rPr>
          <w:b/>
          <w:bCs/>
        </w:rPr>
        <w:t>Policy Supported</w:t>
      </w:r>
      <w:r w:rsidRPr="00017C42">
        <w:t>: Aligned with NIST SP 800-53, OMB A-130, and USGS IT Security Plan v5.0.</w:t>
      </w:r>
    </w:p>
    <w:p w14:paraId="5AD23AA8" w14:textId="77777777" w:rsidR="00017C42" w:rsidRPr="00017C42" w:rsidRDefault="00017C42" w:rsidP="00871165">
      <w:pPr>
        <w:numPr>
          <w:ilvl w:val="0"/>
          <w:numId w:val="15"/>
        </w:numPr>
        <w:spacing w:after="120" w:line="240" w:lineRule="auto"/>
      </w:pPr>
      <w:r w:rsidRPr="00017C42">
        <w:rPr>
          <w:b/>
          <w:bCs/>
        </w:rPr>
        <w:t>Operationally Efficient</w:t>
      </w:r>
      <w:r w:rsidRPr="00017C42">
        <w:t>: Prevents avoidable delays and dependence on admin bottlenecks.</w:t>
      </w:r>
    </w:p>
    <w:p w14:paraId="4E211AD1" w14:textId="77777777" w:rsidR="00017C42" w:rsidRPr="00017C42" w:rsidRDefault="00017C42" w:rsidP="00871165">
      <w:pPr>
        <w:numPr>
          <w:ilvl w:val="0"/>
          <w:numId w:val="15"/>
        </w:numPr>
        <w:spacing w:after="120" w:line="240" w:lineRule="auto"/>
      </w:pPr>
      <w:r w:rsidRPr="00017C42">
        <w:rPr>
          <w:b/>
          <w:bCs/>
        </w:rPr>
        <w:t>Governance Ready</w:t>
      </w:r>
      <w:r w:rsidRPr="00017C42">
        <w:t>: Risk can be mitigated using standard enterprise access control mechanisms.</w:t>
      </w:r>
    </w:p>
    <w:p w14:paraId="670EB152" w14:textId="77777777" w:rsidR="00017C42" w:rsidRPr="00017C42" w:rsidRDefault="00017C42" w:rsidP="00871165">
      <w:pPr>
        <w:spacing w:after="120" w:line="240" w:lineRule="auto"/>
      </w:pPr>
      <w:r w:rsidRPr="00017C42">
        <w:t>Denial of this access would hinder modernization, violate multiple policy mandates, and jeopardize project success.</w:t>
      </w:r>
    </w:p>
    <w:p w14:paraId="10D2E35C" w14:textId="77777777" w:rsidR="00143399" w:rsidRDefault="00143399" w:rsidP="00871165">
      <w:pPr>
        <w:spacing w:after="120" w:line="240" w:lineRule="auto"/>
      </w:pPr>
    </w:p>
    <w:sectPr w:rsidR="00143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778A3" w14:textId="77777777" w:rsidR="003A091E" w:rsidRDefault="003A091E" w:rsidP="00871165">
      <w:pPr>
        <w:spacing w:after="0" w:line="240" w:lineRule="auto"/>
      </w:pPr>
      <w:r>
        <w:separator/>
      </w:r>
    </w:p>
  </w:endnote>
  <w:endnote w:type="continuationSeparator" w:id="0">
    <w:p w14:paraId="264146E8" w14:textId="77777777" w:rsidR="003A091E" w:rsidRDefault="003A091E" w:rsidP="0087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44B69" w14:textId="77777777" w:rsidR="00871165" w:rsidRDefault="00871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37AFE" w14:textId="22813B4F" w:rsidR="00871165" w:rsidRPr="00871165" w:rsidRDefault="00871165" w:rsidP="00871165">
    <w:pPr>
      <w:pStyle w:val="Footer"/>
      <w:jc w:val="right"/>
      <w:rPr>
        <w:sz w:val="20"/>
      </w:rPr>
    </w:pPr>
    <w:r w:rsidRPr="00871165">
      <w:rPr>
        <w:sz w:val="20"/>
      </w:rPr>
      <w:t xml:space="preserve">Page </w:t>
    </w:r>
    <w:r w:rsidRPr="00871165">
      <w:rPr>
        <w:sz w:val="20"/>
      </w:rPr>
      <w:fldChar w:fldCharType="begin"/>
    </w:r>
    <w:r w:rsidRPr="00871165">
      <w:rPr>
        <w:sz w:val="20"/>
      </w:rPr>
      <w:instrText xml:space="preserve"> PAGE  \* MERGEFORMAT </w:instrText>
    </w:r>
    <w:r w:rsidRPr="00871165">
      <w:rPr>
        <w:sz w:val="20"/>
      </w:rPr>
      <w:fldChar w:fldCharType="separate"/>
    </w:r>
    <w:r w:rsidRPr="00871165">
      <w:rPr>
        <w:noProof/>
        <w:sz w:val="20"/>
      </w:rPr>
      <w:t>3</w:t>
    </w:r>
    <w:r w:rsidRPr="00871165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D9D09" w14:textId="77777777" w:rsidR="00871165" w:rsidRDefault="00871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49FCF" w14:textId="77777777" w:rsidR="003A091E" w:rsidRDefault="003A091E" w:rsidP="00871165">
      <w:pPr>
        <w:spacing w:after="0" w:line="240" w:lineRule="auto"/>
      </w:pPr>
      <w:r>
        <w:separator/>
      </w:r>
    </w:p>
  </w:footnote>
  <w:footnote w:type="continuationSeparator" w:id="0">
    <w:p w14:paraId="222A233C" w14:textId="77777777" w:rsidR="003A091E" w:rsidRDefault="003A091E" w:rsidP="00871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C1C9" w14:textId="77777777" w:rsidR="00871165" w:rsidRDefault="00871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A402E" w14:textId="77777777" w:rsidR="00871165" w:rsidRDefault="008711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E6B3C" w14:textId="77777777" w:rsidR="00871165" w:rsidRDefault="00871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62E"/>
    <w:multiLevelType w:val="multilevel"/>
    <w:tmpl w:val="BF5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064E3"/>
    <w:multiLevelType w:val="multilevel"/>
    <w:tmpl w:val="6AFE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E205A"/>
    <w:multiLevelType w:val="multilevel"/>
    <w:tmpl w:val="A1C6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01C0D"/>
    <w:multiLevelType w:val="multilevel"/>
    <w:tmpl w:val="CF3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55960"/>
    <w:multiLevelType w:val="multilevel"/>
    <w:tmpl w:val="FBE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E554C"/>
    <w:multiLevelType w:val="multilevel"/>
    <w:tmpl w:val="15C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E7658"/>
    <w:multiLevelType w:val="multilevel"/>
    <w:tmpl w:val="9FB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570"/>
    <w:multiLevelType w:val="multilevel"/>
    <w:tmpl w:val="192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221F7"/>
    <w:multiLevelType w:val="multilevel"/>
    <w:tmpl w:val="7DB8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D1173"/>
    <w:multiLevelType w:val="multilevel"/>
    <w:tmpl w:val="196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C2EFB"/>
    <w:multiLevelType w:val="multilevel"/>
    <w:tmpl w:val="0FE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22CA0"/>
    <w:multiLevelType w:val="multilevel"/>
    <w:tmpl w:val="5B5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52F00"/>
    <w:multiLevelType w:val="multilevel"/>
    <w:tmpl w:val="C3A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12703"/>
    <w:multiLevelType w:val="multilevel"/>
    <w:tmpl w:val="B1D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F06C3"/>
    <w:multiLevelType w:val="multilevel"/>
    <w:tmpl w:val="3B70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743257">
    <w:abstractNumId w:val="4"/>
  </w:num>
  <w:num w:numId="2" w16cid:durableId="2097433415">
    <w:abstractNumId w:val="9"/>
  </w:num>
  <w:num w:numId="3" w16cid:durableId="980961060">
    <w:abstractNumId w:val="0"/>
  </w:num>
  <w:num w:numId="4" w16cid:durableId="727807506">
    <w:abstractNumId w:val="12"/>
  </w:num>
  <w:num w:numId="5" w16cid:durableId="848061131">
    <w:abstractNumId w:val="11"/>
  </w:num>
  <w:num w:numId="6" w16cid:durableId="2111318211">
    <w:abstractNumId w:val="2"/>
  </w:num>
  <w:num w:numId="7" w16cid:durableId="1107654847">
    <w:abstractNumId w:val="5"/>
  </w:num>
  <w:num w:numId="8" w16cid:durableId="1691948267">
    <w:abstractNumId w:val="10"/>
  </w:num>
  <w:num w:numId="9" w16cid:durableId="804740436">
    <w:abstractNumId w:val="8"/>
  </w:num>
  <w:num w:numId="10" w16cid:durableId="691103498">
    <w:abstractNumId w:val="3"/>
  </w:num>
  <w:num w:numId="11" w16cid:durableId="1641883238">
    <w:abstractNumId w:val="6"/>
  </w:num>
  <w:num w:numId="12" w16cid:durableId="158812951">
    <w:abstractNumId w:val="13"/>
  </w:num>
  <w:num w:numId="13" w16cid:durableId="903637090">
    <w:abstractNumId w:val="14"/>
  </w:num>
  <w:num w:numId="14" w16cid:durableId="1689523425">
    <w:abstractNumId w:val="1"/>
  </w:num>
  <w:num w:numId="15" w16cid:durableId="1983927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2"/>
    <w:rsid w:val="00017C42"/>
    <w:rsid w:val="00143399"/>
    <w:rsid w:val="001507D7"/>
    <w:rsid w:val="003A091E"/>
    <w:rsid w:val="004F6F17"/>
    <w:rsid w:val="005C1BD1"/>
    <w:rsid w:val="00871165"/>
    <w:rsid w:val="00A91130"/>
    <w:rsid w:val="00AD1C5A"/>
    <w:rsid w:val="00B02BB3"/>
    <w:rsid w:val="00E4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A436"/>
  <w15:chartTrackingRefBased/>
  <w15:docId w15:val="{3F49ACC8-DD1A-4CAF-B131-D6CB1888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42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4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4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4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4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4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4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4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7C4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C4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4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7C4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17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7C4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17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C4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4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4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17C4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C4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17C42"/>
    <w:rPr>
      <w:b/>
      <w:bCs/>
    </w:rPr>
  </w:style>
  <w:style w:type="character" w:styleId="Emphasis">
    <w:name w:val="Emphasis"/>
    <w:basedOn w:val="DefaultParagraphFont"/>
    <w:uiPriority w:val="20"/>
    <w:qFormat/>
    <w:rsid w:val="00017C42"/>
    <w:rPr>
      <w:i/>
      <w:iCs/>
    </w:rPr>
  </w:style>
  <w:style w:type="paragraph" w:styleId="NoSpacing">
    <w:name w:val="No Spacing"/>
    <w:uiPriority w:val="1"/>
    <w:qFormat/>
    <w:rsid w:val="00017C4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17C4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17C4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17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C42"/>
    <w:pPr>
      <w:outlineLvl w:val="9"/>
    </w:pPr>
  </w:style>
  <w:style w:type="table" w:styleId="TableGrid">
    <w:name w:val="Table Grid"/>
    <w:basedOn w:val="TableNormal"/>
    <w:uiPriority w:val="39"/>
    <w:rsid w:val="0087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16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16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Graf</dc:creator>
  <cp:keywords/>
  <dc:description/>
  <cp:lastModifiedBy>Jessica Graf</cp:lastModifiedBy>
  <cp:revision>3</cp:revision>
  <dcterms:created xsi:type="dcterms:W3CDTF">2025-07-29T17:54:00Z</dcterms:created>
  <dcterms:modified xsi:type="dcterms:W3CDTF">2025-07-29T17:58:00Z</dcterms:modified>
</cp:coreProperties>
</file>