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Plan Estratégico 2021–2024</w:t>
        <w:br/>
        <w:t>Incamotors S.A.C.</w:t>
      </w:r>
    </w:p>
    <w:p>
      <w:r>
        <w:t>Versión ejecutiva. Elaborado con base en mejores prácticas del sector y contexto del mercado automotor peruano 2021–2024.</w:t>
      </w:r>
    </w:p>
    <w:p>
      <w:pPr>
        <w:pStyle w:val="Heading1"/>
      </w:pPr>
      <w:r>
        <w:t>1. Introducción</w:t>
      </w:r>
    </w:p>
    <w:p>
      <w:pPr>
        <w:pStyle w:val="ListBullet"/>
      </w:pPr>
      <w:r>
        <w:t>Propósito: Guiar la recuperación post‑pandemia, la profesionalización de la gestión comercial y operativa, y el crecimiento rentable en líneas de 0 km, seminuevos, posventa y F&amp;I.</w:t>
      </w:r>
    </w:p>
    <w:p>
      <w:pPr>
        <w:pStyle w:val="ListBullet"/>
      </w:pPr>
      <w:r>
        <w:t>Alcance temporal: 2021–2024 (evaluación al cierre 2024).</w:t>
      </w:r>
    </w:p>
    <w:p>
      <w:pPr>
        <w:pStyle w:val="ListBullet"/>
      </w:pPr>
      <w:r>
        <w:t>Enfoque: Experiencia de cliente (CX), digitalización comercial/operativa, eficiencia de capital de trabajo, preparación para vehículos electrificados.</w:t>
      </w:r>
    </w:p>
    <w:p>
      <w:pPr>
        <w:pStyle w:val="ListBullet"/>
      </w:pPr>
      <w:r>
        <w:t>Justificación: Recuperación del mercado tras 2020, normalización de inventarios, presión de tasas 2022–2023 con mejora paulatina 2024, aceleración digital y mayores exigencias regulatorias.</w:t>
      </w:r>
    </w:p>
    <w:p>
      <w:pPr>
        <w:pStyle w:val="Heading1"/>
      </w:pPr>
      <w:r>
        <w:t>2. Análisis de la empresa</w:t>
      </w:r>
    </w:p>
    <w:p>
      <w:pPr>
        <w:pStyle w:val="ListBullet"/>
      </w:pPr>
      <w:r>
        <w:t>Posicionamiento: Concesionario/distribuidor automotor multimarca en Perú; 0 km, seminuevos, posventa, accesorios y F&amp;I.</w:t>
      </w:r>
    </w:p>
    <w:p>
      <w:pPr>
        <w:pStyle w:val="ListBullet"/>
      </w:pPr>
      <w:r>
        <w:t>Modelo de negocio:</w:t>
      </w:r>
    </w:p>
    <w:p>
      <w:pPr>
        <w:pStyle w:val="ListBullet2"/>
      </w:pPr>
      <w:r>
        <w:t>Ingresos: margen vehículo nuevo, F&amp;I (financiamiento/seguros), seminuevos, posventa (servicio y repuestos), accesorios.</w:t>
      </w:r>
    </w:p>
    <w:p>
      <w:pPr>
        <w:pStyle w:val="ListBullet2"/>
      </w:pPr>
      <w:r>
        <w:t>Costos críticos: inventario y logística, comisiones, marketing, personal técnico-comercial, infraestructura.</w:t>
      </w:r>
    </w:p>
    <w:p>
      <w:pPr>
        <w:pStyle w:val="ListBullet"/>
      </w:pPr>
      <w:r>
        <w:t>Capacidades clave:</w:t>
      </w:r>
    </w:p>
    <w:p>
      <w:pPr>
        <w:pStyle w:val="ListBullet2"/>
      </w:pPr>
      <w:r>
        <w:t>Relaciones con OEMs, capilaridad comercial, equipo técnico posventa, base de clientes fidelizada, capacidades iniciales de marketing digital y CRM.</w:t>
      </w:r>
    </w:p>
    <w:p>
      <w:pPr>
        <w:pStyle w:val="ListBullet"/>
      </w:pPr>
      <w:r>
        <w:t>Brechas:</w:t>
      </w:r>
    </w:p>
    <w:p>
      <w:pPr>
        <w:pStyle w:val="ListBullet2"/>
      </w:pPr>
      <w:r>
        <w:t>Alta dependencia de tráfico físico, madurez de CRM/automatización, analítica de pricing (nuevos/usados), rotación de inventarios, cross‑sell posventa, gobierno de datos.</w:t>
      </w:r>
    </w:p>
    <w:p>
      <w:pPr>
        <w:pStyle w:val="Heading1"/>
      </w:pPr>
      <w:r>
        <w:t>3. Análisis del entorno (PESTEL) 2021–2024</w:t>
      </w:r>
    </w:p>
    <w:p>
      <w:pPr>
        <w:pStyle w:val="ListBullet"/>
      </w:pPr>
      <w:r>
        <w:t>Político:</w:t>
      </w:r>
    </w:p>
    <w:p>
      <w:pPr>
        <w:pStyle w:val="ListBullet2"/>
      </w:pPr>
      <w:r>
        <w:t>Alta volatilidad política; riesgo regulatorio moderado; continuidad sectorial sin cambios estructurales mayores.</w:t>
      </w:r>
    </w:p>
    <w:p>
      <w:pPr>
        <w:pStyle w:val="ListBullet"/>
      </w:pPr>
      <w:r>
        <w:t>Económico:</w:t>
      </w:r>
    </w:p>
    <w:p>
      <w:pPr>
        <w:pStyle w:val="ListBullet2"/>
      </w:pPr>
      <w:r>
        <w:t>Recuperación tras 2020; inflación global 2022; tasas altas afectando crédito automotor; estabilización 2023–2024; tipo de cambio volátil.</w:t>
      </w:r>
    </w:p>
    <w:p>
      <w:pPr>
        <w:pStyle w:val="ListBullet"/>
      </w:pPr>
      <w:r>
        <w:t>Social:</w:t>
      </w:r>
    </w:p>
    <w:p>
      <w:pPr>
        <w:pStyle w:val="ListBullet2"/>
      </w:pPr>
      <w:r>
        <w:t>Consumidor más digital y sensible a cuota/tasa; mayor foco en seguridad y costo total de propiedad; comparación online.</w:t>
      </w:r>
    </w:p>
    <w:p>
      <w:pPr>
        <w:pStyle w:val="ListBullet"/>
      </w:pPr>
      <w:r>
        <w:t>Tecnológico:</w:t>
      </w:r>
    </w:p>
    <w:p>
      <w:pPr>
        <w:pStyle w:val="ListBullet2"/>
      </w:pPr>
      <w:r>
        <w:t>E‑commerce, generación de leads y CRM; diagnósticos y conectividad vehicular; crecimiento gradual de vehículos electrificados.</w:t>
      </w:r>
    </w:p>
    <w:p>
      <w:pPr>
        <w:pStyle w:val="ListBullet"/>
      </w:pPr>
      <w:r>
        <w:t>Ecológico:</w:t>
      </w:r>
    </w:p>
    <w:p>
      <w:pPr>
        <w:pStyle w:val="ListBullet2"/>
      </w:pPr>
      <w:r>
        <w:t>Regulaciones de emisiones más estrictas; presión por renovación de flota y responsabilidad ambiental.</w:t>
      </w:r>
    </w:p>
    <w:p>
      <w:pPr>
        <w:pStyle w:val="ListBullet"/>
      </w:pPr>
      <w:r>
        <w:t>Legal:</w:t>
      </w:r>
    </w:p>
    <w:p>
      <w:pPr>
        <w:pStyle w:val="ListBullet2"/>
      </w:pPr>
      <w:r>
        <w:t>Protección al consumidor, garantías, seguridad y emisiones; compliance en financiamiento/seguros.</w:t>
      </w:r>
    </w:p>
    <w:p>
      <w:pPr>
        <w:pStyle w:val="Heading1"/>
      </w:pPr>
      <w:r>
        <w:t>4. Análisis estratégico</w:t>
      </w:r>
    </w:p>
    <w:p>
      <w:pPr>
        <w:pStyle w:val="ListBullet"/>
      </w:pPr>
      <w:r>
        <w:t>Interno (VRIO):</w:t>
      </w:r>
    </w:p>
    <w:p>
      <w:pPr>
        <w:pStyle w:val="ListBullet2"/>
      </w:pPr>
      <w:r>
        <w:t>Base de clientes y reputación local: valiosa y defendible mediante CX.</w:t>
      </w:r>
    </w:p>
    <w:p>
      <w:pPr>
        <w:pStyle w:val="ListBullet2"/>
      </w:pPr>
      <w:r>
        <w:t>Relaciones con OEMs: clave y defendible con cumplimiento de KPIs.</w:t>
      </w:r>
    </w:p>
    <w:p>
      <w:pPr>
        <w:pStyle w:val="ListBullet2"/>
      </w:pPr>
      <w:r>
        <w:t>Capacidades digitales: valiosas pero imitables; escalar para diferenciación.</w:t>
      </w:r>
    </w:p>
    <w:p>
      <w:pPr>
        <w:pStyle w:val="ListBullet"/>
      </w:pPr>
      <w:r>
        <w:t>Externo (Oportunidades/Amenazas):</w:t>
      </w:r>
    </w:p>
    <w:p>
      <w:pPr>
        <w:pStyle w:val="ListBullet2"/>
      </w:pPr>
      <w:r>
        <w:t>Oportunidades: recuperación de demanda, seminuevos, posventa recurrente, alianzas financieras, e‑commerce, B2B/flotas, electrificados.</w:t>
      </w:r>
    </w:p>
    <w:p>
      <w:pPr>
        <w:pStyle w:val="ListBullet2"/>
      </w:pPr>
      <w:r>
        <w:t>Amenazas: tasas y cuotas elevadas, importadores paralelos, volatilidad cambiaria, ciclos de oferta OEM, canales directos.</w:t>
      </w:r>
    </w:p>
    <w:p>
      <w:pPr>
        <w:pStyle w:val="ListBullet"/>
      </w:pPr>
      <w:r>
        <w:t>FODA:</w:t>
      </w:r>
    </w:p>
    <w:p>
      <w:pPr>
        <w:pStyle w:val="ListBullet2"/>
      </w:pPr>
      <w:r>
        <w:t>Fortalezas: portafolio multimarca, posventa instalada, cercanía al cliente, conocimiento local.</w:t>
      </w:r>
    </w:p>
    <w:p>
      <w:pPr>
        <w:pStyle w:val="ListBullet2"/>
      </w:pPr>
      <w:r>
        <w:t>Debilidades: madurez CRM/analytics, rotación de inventarios, cobertura de leads, estandarización de procesos.</w:t>
      </w:r>
    </w:p>
    <w:p>
      <w:pPr>
        <w:pStyle w:val="ListBullet2"/>
      </w:pPr>
      <w:r>
        <w:t>Oportunidades: digitalización, F&amp;I, B2B/flotas, cross‑sell, electrificación.</w:t>
      </w:r>
    </w:p>
    <w:p>
      <w:pPr>
        <w:pStyle w:val="ListBullet2"/>
      </w:pPr>
      <w:r>
        <w:t>Amenazas: tasas, tipo de cambio, entrantes digitales, dependencia de asignaciones OEM.</w:t>
      </w:r>
    </w:p>
    <w:p>
      <w:pPr>
        <w:pStyle w:val="Heading1"/>
      </w:pPr>
      <w:r>
        <w:t>5. Dirección estratégica</w:t>
      </w:r>
    </w:p>
    <w:p>
      <w:pPr>
        <w:pStyle w:val="ListBullet"/>
      </w:pPr>
      <w:r>
        <w:t>Objetivo general: Crecer rentablemente con excelencia en CX y eficiencia operativa, consolidando posventa y seminuevos como pilares de resiliencia.</w:t>
      </w:r>
    </w:p>
    <w:p>
      <w:pPr>
        <w:pStyle w:val="ListBullet"/>
      </w:pPr>
      <w:r>
        <w:t>Objetivos específicos (SMART) a 2024:</w:t>
      </w:r>
    </w:p>
    <w:p>
      <w:pPr>
        <w:pStyle w:val="ListBullet2"/>
      </w:pPr>
      <w:r>
        <w:t>1) Ventas unitarias acumuladas 2021–2024 en dos dígitos vs. 2019; margen bruto promedio ≥ X% (por marca).</w:t>
      </w:r>
    </w:p>
    <w:p>
      <w:pPr>
        <w:pStyle w:val="ListBullet2"/>
      </w:pPr>
      <w:r>
        <w:t>2) F&amp;I en ≥ 35% de operaciones 0 km y ≥ 25% en seminuevos a dic‑2024.</w:t>
      </w:r>
    </w:p>
    <w:p>
      <w:pPr>
        <w:pStyle w:val="ListBullet2"/>
      </w:pPr>
      <w:r>
        <w:t>3) Rotación de inventario: nuevos ≤ 60 días; seminuevos ≤ 45 días promedio 2024.</w:t>
      </w:r>
    </w:p>
    <w:p>
      <w:pPr>
        <w:pStyle w:val="ListBullet2"/>
      </w:pPr>
      <w:r>
        <w:t>4) Posventa: +20% ingresos por VIO 2024 vs. 2021; retención 1er/2do servicio ≥ 65%/50%.</w:t>
      </w:r>
    </w:p>
    <w:p>
      <w:pPr>
        <w:pStyle w:val="ListBullet2"/>
      </w:pPr>
      <w:r>
        <w:t>5) CX: NPS ≥ 70 (ventas) y ≥ 65 (posventa); CES ≤ 2.0.</w:t>
      </w:r>
    </w:p>
    <w:p>
      <w:pPr>
        <w:pStyle w:val="ListBullet2"/>
      </w:pPr>
      <w:r>
        <w:t>6) Electrificados: ≥ 2 modelos con plan comercial y capacitación; 5% del mix 2024 donde aplique.</w:t>
      </w:r>
    </w:p>
    <w:p>
      <w:pPr>
        <w:pStyle w:val="ListBullet"/>
      </w:pPr>
      <w:r>
        <w:t>Estrategias:</w:t>
      </w:r>
    </w:p>
    <w:p>
      <w:pPr>
        <w:pStyle w:val="ListBullet2"/>
      </w:pPr>
      <w:r>
        <w:t>Crecimiento enfocado: segmentos rentables, B2B/flotas, seminuevos certificados, upsell posventa.</w:t>
      </w:r>
    </w:p>
    <w:p>
      <w:pPr>
        <w:pStyle w:val="ListBullet2"/>
      </w:pPr>
      <w:r>
        <w:t>Diferenciación por CX: omnicanalidad, respuesta rápida, transparencia de precios, conveniencia.</w:t>
      </w:r>
    </w:p>
    <w:p>
      <w:pPr>
        <w:pStyle w:val="ListBullet2"/>
      </w:pPr>
      <w:r>
        <w:t>Excelencia operativa: S&amp;OP, gestión de inventarios basada en datos, procesos estándar en showroom/taller.</w:t>
      </w:r>
    </w:p>
    <w:p>
      <w:pPr>
        <w:pStyle w:val="ListBullet2"/>
      </w:pPr>
      <w:r>
        <w:t>Digital y datos: funnel robusto, CRM con automatizaciones, analítica de propensión, tableros unificados.</w:t>
      </w:r>
    </w:p>
    <w:p>
      <w:pPr>
        <w:pStyle w:val="ListBullet2"/>
      </w:pPr>
      <w:r>
        <w:t>Alianzas: financieras/aseguradoras, logística, infraestructura de carga (EV/híbridos).</w:t>
      </w:r>
    </w:p>
    <w:p>
      <w:pPr>
        <w:pStyle w:val="Heading1"/>
      </w:pPr>
      <w:r>
        <w:t>6. Planes funcionales</w:t>
      </w:r>
    </w:p>
    <w:p>
      <w:pPr>
        <w:pStyle w:val="Heading2"/>
      </w:pPr>
      <w:r>
        <w:t>6.1 Marketing y Comercial</w:t>
      </w:r>
    </w:p>
    <w:p>
      <w:pPr>
        <w:pStyle w:val="ListBullet"/>
      </w:pPr>
      <w:r>
        <w:t>Iniciativas:</w:t>
      </w:r>
    </w:p>
    <w:p>
      <w:pPr>
        <w:pStyle w:val="ListBullet2"/>
      </w:pPr>
      <w:r>
        <w:t>Performance marketing always‑on (Search, Social, Marketplaces) con atribución multi‑touch.</w:t>
      </w:r>
    </w:p>
    <w:p>
      <w:pPr>
        <w:pStyle w:val="ListBullet2"/>
      </w:pPr>
      <w:r>
        <w:t>CRM 360: scoring de leads, SLAs de contacto (&lt;15 min), cadencias automatizadas y remarketing.</w:t>
      </w:r>
    </w:p>
    <w:p>
      <w:pPr>
        <w:pStyle w:val="ListBullet2"/>
      </w:pPr>
      <w:r>
        <w:t>Programa de trade‑in/compra inteligente para escalar seminuevos certificados.</w:t>
      </w:r>
    </w:p>
    <w:p>
      <w:pPr>
        <w:pStyle w:val="ListBullet2"/>
      </w:pPr>
      <w:r>
        <w:t>Pricing dinámico: benchmarking semanal y ajustes por días en stock y elasticidades.</w:t>
      </w:r>
    </w:p>
    <w:p>
      <w:pPr>
        <w:pStyle w:val="ListBullet2"/>
      </w:pPr>
      <w:r>
        <w:t>Contenido y test drive a domicilio; vitrinas digitales 360.</w:t>
      </w:r>
    </w:p>
    <w:p>
      <w:pPr>
        <w:pStyle w:val="ListBullet2"/>
      </w:pPr>
      <w:r>
        <w:t>B2B: células de ejecutivos para flotas/empresas y convenios con beneficios de posventa.</w:t>
      </w:r>
    </w:p>
    <w:p>
      <w:pPr>
        <w:pStyle w:val="ListBullet"/>
      </w:pPr>
      <w:r>
        <w:t>KPIs:</w:t>
      </w:r>
    </w:p>
    <w:p>
      <w:pPr>
        <w:pStyle w:val="ListBullet2"/>
      </w:pPr>
      <w:r>
        <w:t>MQL/SQL, tasa de contacto &lt; 15 min, conversión a test drive y a venta, CAC, margen por unidad, F&amp;I attach, NPS ventas.</w:t>
      </w:r>
    </w:p>
    <w:p>
      <w:pPr>
        <w:pStyle w:val="Heading2"/>
      </w:pPr>
      <w:r>
        <w:t>6.2 Operaciones (Ventas y Posventa)</w:t>
      </w:r>
    </w:p>
    <w:p>
      <w:pPr>
        <w:pStyle w:val="ListBullet"/>
      </w:pPr>
      <w:r>
        <w:t>Iniciativas:</w:t>
      </w:r>
    </w:p>
    <w:p>
      <w:pPr>
        <w:pStyle w:val="ListBullet2"/>
      </w:pPr>
      <w:r>
        <w:t>S&amp;OP mensual con OEM: proyección trimestral, mix por versión, cobertura 45–60 días.</w:t>
      </w:r>
    </w:p>
    <w:p>
      <w:pPr>
        <w:pStyle w:val="ListBullet2"/>
      </w:pPr>
      <w:r>
        <w:t>Turn‑around seminuevos: recondicionamiento estándar ≤ 5 días; auditoría 120 puntos.</w:t>
      </w:r>
    </w:p>
    <w:p>
      <w:pPr>
        <w:pStyle w:val="ListBullet2"/>
      </w:pPr>
      <w:r>
        <w:t>Taller: quick service, citas online, fill rate repuestos ≥ 90%, TAT por tipo de servicio.</w:t>
      </w:r>
    </w:p>
    <w:p>
      <w:pPr>
        <w:pStyle w:val="ListBullet2"/>
      </w:pPr>
      <w:r>
        <w:t>Herramientas: check‑in digital, cotización transparente, seguimiento post‑servicio.</w:t>
      </w:r>
    </w:p>
    <w:p>
      <w:pPr>
        <w:pStyle w:val="ListBullet"/>
      </w:pPr>
      <w:r>
        <w:t>KPIs:</w:t>
      </w:r>
    </w:p>
    <w:p>
      <w:pPr>
        <w:pStyle w:val="ListBullet2"/>
      </w:pPr>
      <w:r>
        <w:t>Días inventario (nuevos/usados), TAT taller, ocupación de bahías, horas vendidas/orden, fill rate, retención 1er/2do servicio, margen posventa.</w:t>
      </w:r>
    </w:p>
    <w:p>
      <w:pPr>
        <w:pStyle w:val="Heading2"/>
      </w:pPr>
      <w:r>
        <w:t>6.3 Personas (RR.HH.)</w:t>
      </w:r>
    </w:p>
    <w:p>
      <w:pPr>
        <w:pStyle w:val="ListBullet"/>
      </w:pPr>
      <w:r>
        <w:t>Iniciativas:</w:t>
      </w:r>
    </w:p>
    <w:p>
      <w:pPr>
        <w:pStyle w:val="ListBullet2"/>
      </w:pPr>
      <w:r>
        <w:t>Academia comercial y técnica (ventas consultivas, F&amp;I, EV/HEV, diagnóstico).</w:t>
      </w:r>
    </w:p>
    <w:p>
      <w:pPr>
        <w:pStyle w:val="ListBullet2"/>
      </w:pPr>
      <w:r>
        <w:t>Incentivos alineados a margen, F&amp;I, NPS y retención posventa.</w:t>
      </w:r>
    </w:p>
    <w:p>
      <w:pPr>
        <w:pStyle w:val="ListBullet2"/>
      </w:pPr>
      <w:r>
        <w:t>Playbooks de procesos comerciales y de experiencia; certificaciones por rol.</w:t>
      </w:r>
    </w:p>
    <w:p>
      <w:pPr>
        <w:pStyle w:val="ListBullet"/>
      </w:pPr>
      <w:r>
        <w:t>KPIs:</w:t>
      </w:r>
    </w:p>
    <w:p>
      <w:pPr>
        <w:pStyle w:val="ListBullet2"/>
      </w:pPr>
      <w:r>
        <w:t>Rotación, tiempo a productividad, certificaciones, eNPS, cumplimiento de playbooks.</w:t>
      </w:r>
    </w:p>
    <w:p>
      <w:pPr>
        <w:pStyle w:val="Heading2"/>
      </w:pPr>
      <w:r>
        <w:t>6.4 Finanzas</w:t>
      </w:r>
    </w:p>
    <w:p>
      <w:pPr>
        <w:pStyle w:val="ListBullet"/>
      </w:pPr>
      <w:r>
        <w:t>Iniciativas:</w:t>
      </w:r>
    </w:p>
    <w:p>
      <w:pPr>
        <w:pStyle w:val="ListBullet2"/>
      </w:pPr>
      <w:r>
        <w:t>Gestión de capital de trabajo: pisos de inventario por marca, aging, costo financiero, CCC.</w:t>
      </w:r>
    </w:p>
    <w:p>
      <w:pPr>
        <w:pStyle w:val="ListBullet2"/>
      </w:pPr>
      <w:r>
        <w:t>Compras y hedging: coordinación FX, calendario de pagos OEM, simulación de tasas.</w:t>
      </w:r>
    </w:p>
    <w:p>
      <w:pPr>
        <w:pStyle w:val="ListBullet2"/>
      </w:pPr>
      <w:r>
        <w:t>Analítica de rentabilidad por modelo/canal y elasticidad de precio.</w:t>
      </w:r>
    </w:p>
    <w:p>
      <w:pPr>
        <w:pStyle w:val="ListBullet"/>
      </w:pPr>
      <w:r>
        <w:t>KPIs:</w:t>
      </w:r>
    </w:p>
    <w:p>
      <w:pPr>
        <w:pStyle w:val="ListBullet2"/>
      </w:pPr>
      <w:r>
        <w:t>Margen bruto y contribución por unidad, DIO/DSO/DPO, costo financiero, EBITDA, ROCE.</w:t>
      </w:r>
    </w:p>
    <w:p>
      <w:pPr>
        <w:pStyle w:val="Heading2"/>
      </w:pPr>
      <w:r>
        <w:t>6.5 Tecnología y Datos</w:t>
      </w:r>
    </w:p>
    <w:p>
      <w:pPr>
        <w:pStyle w:val="ListBullet"/>
      </w:pPr>
      <w:r>
        <w:t>Iniciativas:</w:t>
      </w:r>
    </w:p>
    <w:p>
      <w:pPr>
        <w:pStyle w:val="ListBullet2"/>
      </w:pPr>
      <w:r>
        <w:t>CRM integrado con DMS y canales digitales; CDP ligero para unificar identidad de cliente.</w:t>
      </w:r>
    </w:p>
    <w:p>
      <w:pPr>
        <w:pStyle w:val="ListBullet2"/>
      </w:pPr>
      <w:r>
        <w:t>Tableros ejecutivos autoservicio (ventas, funnel, posventa, finanzas) con alertas.</w:t>
      </w:r>
    </w:p>
    <w:p>
      <w:pPr>
        <w:pStyle w:val="ListBullet2"/>
      </w:pPr>
      <w:r>
        <w:t>Gobierno de datos: definiciones KPI, calidad, owners; compliance de privacidad.</w:t>
      </w:r>
    </w:p>
    <w:p>
      <w:pPr>
        <w:pStyle w:val="ListBullet"/>
      </w:pPr>
      <w:r>
        <w:t>KPIs:</w:t>
      </w:r>
    </w:p>
    <w:p>
      <w:pPr>
        <w:pStyle w:val="ListBullet2"/>
      </w:pPr>
      <w:r>
        <w:t>Adopción de CRM (registros completos), tiempo de respuesta automatizado, % decisiones soportadas por datos.</w:t>
      </w:r>
    </w:p>
    <w:p>
      <w:pPr>
        <w:pStyle w:val="Heading1"/>
      </w:pPr>
      <w:r>
        <w:t>7. Implementación (2021–2024)</w:t>
      </w:r>
    </w:p>
    <w:p>
      <w:pPr>
        <w:pStyle w:val="ListBullet"/>
      </w:pPr>
      <w:r>
        <w:t>2021 – Recuperación y base digital:</w:t>
      </w:r>
    </w:p>
    <w:p>
      <w:pPr>
        <w:pStyle w:val="ListBullet2"/>
      </w:pPr>
      <w:r>
        <w:t>Implementar CRM, campañas performance y SLAs de contacto; relanzar seminuevos certificados; quick wins en posventa (citas online, TAT).</w:t>
      </w:r>
    </w:p>
    <w:p>
      <w:pPr>
        <w:pStyle w:val="ListBullet"/>
      </w:pPr>
      <w:r>
        <w:t>2022 – Eficiencia y estandarización:</w:t>
      </w:r>
    </w:p>
    <w:p>
      <w:pPr>
        <w:pStyle w:val="ListBullet2"/>
      </w:pPr>
      <w:r>
        <w:t>S&amp;OP con OEMs, pricing dinámico, recondicionamiento estandarizado, tableros integrados, piloto EV/HEV.</w:t>
      </w:r>
    </w:p>
    <w:p>
      <w:pPr>
        <w:pStyle w:val="ListBullet"/>
      </w:pPr>
      <w:r>
        <w:t>2023 – Escalamiento y B2B:</w:t>
      </w:r>
    </w:p>
    <w:p>
      <w:pPr>
        <w:pStyle w:val="ListBullet2"/>
      </w:pPr>
      <w:r>
        <w:t>Célula flotas/B2B, alianzas financieras, cross‑sell posventa, optimización de capital de trabajo.</w:t>
      </w:r>
    </w:p>
    <w:p>
      <w:pPr>
        <w:pStyle w:val="ListBullet"/>
      </w:pPr>
      <w:r>
        <w:t>2024 – Consolidación y experiencia:</w:t>
      </w:r>
    </w:p>
    <w:p>
      <w:pPr>
        <w:pStyle w:val="ListBullet2"/>
      </w:pPr>
      <w:r>
        <w:t>NPS elevado y consistente, mix electrificado 5% (donde aplique), mayor retención posventa y profit por unidad.</w:t>
      </w:r>
    </w:p>
    <w:p>
      <w:pPr>
        <w:pStyle w:val="ListBullet"/>
      </w:pPr>
      <w:r>
        <w:t>Gobierno y responsables:</w:t>
      </w:r>
    </w:p>
    <w:p>
      <w:pPr>
        <w:pStyle w:val="ListBullet2"/>
      </w:pPr>
      <w:r>
        <w:t>PMO: Gerencia General + líderes Comercial, Posventa, Finanzas, RR.HH., TI/Datos.</w:t>
      </w:r>
    </w:p>
    <w:p>
      <w:pPr>
        <w:pStyle w:val="ListBullet2"/>
      </w:pPr>
      <w:r>
        <w:t>Cadencias: comité quincenal (operativo), mensual (ejecutivo) y QBR trimestral.</w:t>
      </w:r>
    </w:p>
    <w:p>
      <w:pPr>
        <w:pStyle w:val="Heading1"/>
      </w:pPr>
      <w:r>
        <w:t>8. Control y evaluación</w:t>
      </w:r>
    </w:p>
    <w:p>
      <w:pPr>
        <w:pStyle w:val="ListBullet"/>
      </w:pPr>
      <w:r>
        <w:t>KPIs ejecutivos (tablero):</w:t>
      </w:r>
    </w:p>
    <w:p>
      <w:pPr>
        <w:pStyle w:val="ListBullet2"/>
      </w:pPr>
      <w:r>
        <w:t>Crecimiento y margen por unidad.</w:t>
      </w:r>
    </w:p>
    <w:p>
      <w:pPr>
        <w:pStyle w:val="ListBullet2"/>
      </w:pPr>
      <w:r>
        <w:t>Rotación inventario y aging seminuevos.</w:t>
      </w:r>
    </w:p>
    <w:p>
      <w:pPr>
        <w:pStyle w:val="ListBullet2"/>
      </w:pPr>
      <w:r>
        <w:t>Posventa: horas vendidas, TAT, fill rate, ARPU, retención 1er/2do servicio.</w:t>
      </w:r>
    </w:p>
    <w:p>
      <w:pPr>
        <w:pStyle w:val="ListBullet2"/>
      </w:pPr>
      <w:r>
        <w:t>Funnel: MQL/SQL, contacto &lt;15 min, conversión test drive y venta, CAC.</w:t>
      </w:r>
    </w:p>
    <w:p>
      <w:pPr>
        <w:pStyle w:val="ListBullet2"/>
      </w:pPr>
      <w:r>
        <w:t>F&amp;I: tasa de adjunción y comisión promedio.</w:t>
      </w:r>
    </w:p>
    <w:p>
      <w:pPr>
        <w:pStyle w:val="ListBullet2"/>
      </w:pPr>
      <w:r>
        <w:t>CX: NPS ventas/posventa, CES, reclamos por 1,000 órdenes.</w:t>
      </w:r>
    </w:p>
    <w:p>
      <w:pPr>
        <w:pStyle w:val="ListBullet2"/>
      </w:pPr>
      <w:r>
        <w:t>Financiero: EBITDA, ROCE, CCC (DIO, DSO, DPO), costo financiero.</w:t>
      </w:r>
    </w:p>
    <w:p>
      <w:pPr>
        <w:pStyle w:val="ListBullet"/>
      </w:pPr>
      <w:r>
        <w:t>Ritmo de revisión:</w:t>
      </w:r>
    </w:p>
    <w:p>
      <w:pPr>
        <w:pStyle w:val="ListBullet2"/>
      </w:pPr>
      <w:r>
        <w:t>Semanal (operativo), mensual (integral y forecast), trimestral (QBR), anual (cierre 2024).</w:t>
      </w:r>
    </w:p>
    <w:p>
      <w:pPr>
        <w:pStyle w:val="Heading1"/>
      </w:pPr>
      <w:r>
        <w:t>9. Riesgos y mitigaciones</w:t>
      </w:r>
    </w:p>
    <w:p>
      <w:pPr>
        <w:pStyle w:val="ListBullet"/>
      </w:pPr>
      <w:r>
        <w:t>Tasas altas/crédito restringido: alianzas financieras, promos de cuota y valor agregado (mantenimiento incluido).</w:t>
      </w:r>
    </w:p>
    <w:p>
      <w:pPr>
        <w:pStyle w:val="ListBullet"/>
      </w:pPr>
      <w:r>
        <w:t>Volatilidad cambiaria: coberturas parciales, calendarización de pagos y pricing ágil.</w:t>
      </w:r>
    </w:p>
    <w:p>
      <w:pPr>
        <w:pStyle w:val="ListBullet"/>
      </w:pPr>
      <w:r>
        <w:t>Oferta limitada de OEM: foco en versiones de mayor rotación y mezcla rentable; seminuevos como amortiguador.</w:t>
      </w:r>
    </w:p>
    <w:p>
      <w:pPr>
        <w:pStyle w:val="ListBullet"/>
      </w:pPr>
      <w:r>
        <w:t>Competencia digital: acelerar omnicanal, respuesta en minutos, contenido y transparencia de precios.</w:t>
      </w:r>
    </w:p>
    <w:p>
      <w:pPr>
        <w:pStyle w:val="ListBullet"/>
      </w:pPr>
      <w:r>
        <w:t>Adopción EV lenta: enfoque en híbridos/HEV, capacitación y casos de uso B2B.</w:t>
      </w:r>
    </w:p>
    <w:p>
      <w:pPr>
        <w:pStyle w:val="Heading1"/>
      </w:pPr>
      <w:r>
        <w:t>10. Presupuesto indicativo</w:t>
      </w:r>
    </w:p>
    <w:p>
      <w:pPr>
        <w:pStyle w:val="ListBullet"/>
      </w:pPr>
      <w:r>
        <w:t>Marketing performance y CRM: % de ingresos con ROI &gt; 3x en performance.</w:t>
      </w:r>
    </w:p>
    <w:p>
      <w:pPr>
        <w:pStyle w:val="ListBullet"/>
      </w:pPr>
      <w:r>
        <w:t>Capacitación y certificaciones: inversión por FTE comercial/técnico.</w:t>
      </w:r>
    </w:p>
    <w:p>
      <w:pPr>
        <w:pStyle w:val="ListBullet"/>
      </w:pPr>
      <w:r>
        <w:t>TI/Datos: licencias CRM/DMS, integraciones y BI.</w:t>
      </w:r>
    </w:p>
    <w:p>
      <w:pPr>
        <w:pStyle w:val="ListBullet"/>
      </w:pPr>
      <w:r>
        <w:t>Infraestructura posventa: bahías rápidas y stock crítico de repuestos.</w:t>
      </w:r>
    </w:p>
    <w:p>
      <w:pPr>
        <w:pStyle w:val="Heading1"/>
      </w:pPr>
      <w:r>
        <w:t>11. Indicadores objetivo de cierre 2024 (referenciales)</w:t>
      </w:r>
    </w:p>
    <w:p>
      <w:pPr>
        <w:pStyle w:val="ListBullet"/>
      </w:pPr>
      <w:r>
        <w:t>Ventas: +X% vs 2021; margen bruto promedio ≥ X%.</w:t>
      </w:r>
    </w:p>
    <w:p>
      <w:pPr>
        <w:pStyle w:val="ListBullet"/>
      </w:pPr>
      <w:r>
        <w:t>F&amp;I attach: ≥ 35% (0 km); ≥ 25% (usados).</w:t>
      </w:r>
    </w:p>
    <w:p>
      <w:pPr>
        <w:pStyle w:val="ListBullet"/>
      </w:pPr>
      <w:r>
        <w:t>Días inventario: ≤ 60 (nuevos); ≤ 45 (usados).</w:t>
      </w:r>
    </w:p>
    <w:p>
      <w:pPr>
        <w:pStyle w:val="ListBullet"/>
      </w:pPr>
      <w:r>
        <w:t>Posventa: +20% ARPU vs 2021; retención 1er/2do servicio ≥ 65%/50%.</w:t>
      </w:r>
    </w:p>
    <w:p>
      <w:pPr>
        <w:pStyle w:val="ListBullet"/>
      </w:pPr>
      <w:r>
        <w:t>NPS: ventas ≥ 70; posventa ≥ 65.</w:t>
      </w:r>
    </w:p>
    <w:p>
      <w:pPr>
        <w:pStyle w:val="ListBullet"/>
      </w:pPr>
      <w:r>
        <w:t>EBITDA: margen ≥ X%; CCC ≤ N días.</w:t>
      </w:r>
    </w:p>
    <w:p>
      <w:pPr>
        <w:pStyle w:val="Heading1"/>
      </w:pPr>
      <w:r>
        <w:t>Notas sobre fuentes</w:t>
      </w:r>
    </w:p>
    <w:p>
      <w:pPr>
        <w:pStyle w:val="ListBullet"/>
      </w:pPr>
      <w:r>
        <w:t>Plan basado en prácticas del sector y contexto macro/sectorial peruano 2021–2024.</w:t>
      </w:r>
    </w:p>
    <w:p>
      <w:pPr>
        <w:pStyle w:val="ListBullet"/>
      </w:pPr>
      <w:r>
        <w:t>Se recomienda anexar cifras puntuales (AAP, BCRP) y referencias específicas según disponibilidad interna de KPIs para afinar metas.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