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ECTitle"/>
      </w:pPr>
      <w:r>
        <w:t xml:space="preserve">RETURN ON INVESTMENT (ROI) ANALYSIS</w:t>
      </w:r>
    </w:p>
    <w:p>
      <w:pPr>
        <w:pStyle w:val="BECSubtitle"/>
      </w:pPr>
      <w:r>
        <w:t xml:space="preserve">An Economic Evaluation of the BEC Web-Based Defective Equipment Reporting Management System</w:t>
      </w:r>
    </w:p>
    <w:p>
      <w:pPr>
        <w:pStyle w:val="Normal"/>
      </w:pPr>
      <w:r>
        <w:rPr>
          <w:b/>
        </w:rPr>
        <w:t xml:space="preserve">Institution:</w:t>
      </w:r>
      <w:r>
        <w:t xml:space="preserve"> Batangas Eastern Colleges (BEC), San Juan, Batangas </w:t>
      </w:r>
      <w:r>
        <w:rPr>
          <w:b/>
        </w:rPr>
        <w:t xml:space="preserve">Implementing Unit:</w:t>
      </w:r>
      <w:r>
        <w:t xml:space="preserve"> Property Management Office (PMO) </w:t>
      </w:r>
      <w:r>
        <w:rPr>
          <w:b/>
        </w:rPr>
        <w:t xml:space="preserve">System Under Evaluation:</w:t>
      </w:r>
      <w:r>
        <w:t xml:space="preserve"> BEC Web-Based Defective Equipment Reporting Management System </w:t>
      </w:r>
      <w:r>
        <w:rPr>
          <w:b/>
        </w:rPr>
        <w:t xml:space="preserve">Evaluation Horizon:</w:t>
      </w:r>
      <w:r>
        <w:t xml:space="preserve"> Five (5) years — Year 0 (deployment) through Year 5 </w:t>
      </w:r>
      <w:r>
        <w:rPr>
          <w:b/>
        </w:rPr>
        <w:t xml:space="preserve">Currency:</w:t>
      </w:r>
      <w:r>
        <w:t xml:space="preserve"> Philippine Peso (₱); USD converted at </w:t>
      </w:r>
      <w:r>
        <w:rPr>
          <w:b/>
        </w:rPr>
        <w:t xml:space="preserve">₱61.02 = US$1.00</w:t>
      </w:r>
      <w:r>
        <w:t xml:space="preserve"> (August 2026 average) </w:t>
      </w:r>
      <w:r>
        <w:rPr>
          <w:b/>
        </w:rPr>
        <w:t xml:space="preserve">Discount Rate:</w:t>
      </w:r>
      <w:r>
        <w:t xml:space="preserve"> 10.0% (NEDA-ICC social discount rate) </w:t>
      </w:r>
      <w:r>
        <w:rPr>
          <w:b/>
        </w:rPr>
        <w:t xml:space="preserve">Document Version:</w:t>
      </w:r>
      <w:r>
        <w:t xml:space="preserve"> 1.0 — 03 August 2026</w:t>
      </w:r>
    </w:p>
    <w:p>
      <w:pPr>
        <w:pStyle w:val="BECRule"/>
      </w:pPr>
    </w:p>
    <w:p>
      <w:pPr>
        <w:pStyle w:val="Heading2"/>
        <w:pageBreakBefore/>
      </w:pPr>
      <w:r>
        <w:t xml:space="preserve">ABSTRACT</w:t>
      </w:r>
    </w:p>
    <w:p>
      <w:pPr>
        <w:pStyle w:val="Normal"/>
      </w:pPr>
      <w:r>
        <w:t xml:space="preserve">This paper presents a formal cost–benefit and return-on-investment (ROI) evaluation of the BEC Web-Based Defective Equipment Reporting Management System, an institutional Computerized Maintenance Management System (CMMS) developed as a capstone project for the Property Management Office of Batangas Eastern Colleges. Using a five-year discounted cash-flow framework at the NEDA-prescribed 10% social discount rate, the study quantifies the system's total cost of ownership (TCO) against five monetizable benefit streams: reporter transaction-time savings, PMO administrative processing savings, technician productivity gains, consumable and records-management savings, and reduction in corrective maintenance expenditure.</w:t>
      </w:r>
    </w:p>
    <w:p>
      <w:pPr>
        <w:pStyle w:val="Normal"/>
      </w:pPr>
      <w:r>
        <w:t xml:space="preserve">Under base-case assumptions (1,200 defect reports per annum), the study estimates a Year-0 investment of </w:t>
      </w:r>
      <w:r>
        <w:rPr>
          <w:b/>
        </w:rPr>
        <w:t xml:space="preserve">₱185,944</w:t>
      </w:r>
      <w:r>
        <w:t xml:space="preserve">, recurring annual costs of </w:t>
      </w:r>
      <w:r>
        <w:rPr>
          <w:b/>
        </w:rPr>
        <w:t xml:space="preserve">₱34,149</w:t>
      </w:r>
      <w:r>
        <w:t xml:space="preserve">, and gross annual benefits of </w:t>
      </w:r>
      <w:r>
        <w:rPr>
          <w:b/>
        </w:rPr>
        <w:t xml:space="preserve">₱165,880</w:t>
      </w:r>
      <w:r>
        <w:t xml:space="preserve">. This yields a five-year </w:t>
      </w:r>
      <w:r>
        <w:rPr>
          <w:b/>
        </w:rPr>
        <w:t xml:space="preserve">Net Present Value (NPV) of ₱313,420</w:t>
      </w:r>
      <w:r>
        <w:t xml:space="preserve">, a </w:t>
      </w:r>
      <w:r>
        <w:rPr>
          <w:b/>
        </w:rPr>
        <w:t xml:space="preserve">Benefit–Cost Ratio (BCR) of 1.99</w:t>
      </w:r>
      <w:r>
        <w:t xml:space="preserve">, a </w:t>
      </w:r>
      <w:r>
        <w:rPr>
          <w:b/>
        </w:rPr>
        <w:t xml:space="preserve">five-year ROI of 99.4%</w:t>
      </w:r>
      <w:r>
        <w:t xml:space="preserve">, an </w:t>
      </w:r>
      <w:r>
        <w:rPr>
          <w:b/>
        </w:rPr>
        <w:t xml:space="preserve">Internal Rate of Return (IRR) of approximately 65%</w:t>
      </w:r>
      <w:r>
        <w:t xml:space="preserve">, and a </w:t>
      </w:r>
      <w:r>
        <w:rPr>
          <w:b/>
        </w:rPr>
        <w:t xml:space="preserve">simple payback period of 16.9 months</w:t>
      </w:r>
      <w:r>
        <w:t xml:space="preserve"> (19.3 months discounted). The equivalent annual cost of operating the system is </w:t>
      </w:r>
      <w:r>
        <w:rPr>
          <w:b/>
        </w:rPr>
        <w:t xml:space="preserve">₱83,201</w:t>
      </w:r>
      <w:r>
        <w:t xml:space="preserve">, or </w:t>
      </w:r>
      <w:r>
        <w:rPr>
          <w:b/>
        </w:rPr>
        <w:t xml:space="preserve">₱69.33 per defect report processed</w:t>
      </w:r>
      <w:r>
        <w:t xml:space="preserve"> and </w:t>
      </w:r>
      <w:r>
        <w:rPr>
          <w:b/>
        </w:rPr>
        <w:t xml:space="preserve">₱16.64 per registered campus user per year</w:t>
      </w:r>
      <w:r>
        <w:t xml:space="preserve">.</w:t>
      </w:r>
    </w:p>
    <w:p>
      <w:pPr>
        <w:pStyle w:val="Normal"/>
      </w:pPr>
      <w:r>
        <w:t xml:space="preserve">Sensitivity analysis establishes that the investment remains economically justified (NPV &gt; 0) so long as realized benefits exceed </w:t>
      </w:r>
      <w:r>
        <w:rPr>
          <w:b/>
        </w:rPr>
        <w:t xml:space="preserve">50.2%</w:t>
      </w:r>
      <w:r>
        <w:t xml:space="preserve"> of the base-case estimate, or costs do not exceed </w:t>
      </w:r>
      <w:r>
        <w:rPr>
          <w:b/>
        </w:rPr>
        <w:t xml:space="preserve">200%</w:t>
      </w:r>
      <w:r>
        <w:t xml:space="preserve"> of the base-case estimate. The analysis is, however, materially sensitive to two inputs — the shadow price assigned to institutional labor time and the assumed reduction in corrective maintenance expenditure — and the study identifies both as priority targets for post-implementation empirical validation. A comparative make-versus-buy analysis further finds the in-house system's five-year TCO to be </w:t>
      </w:r>
      <w:r>
        <w:rPr>
          <w:b/>
        </w:rPr>
        <w:t xml:space="preserve">55.8% lower</w:t>
      </w:r>
      <w:r>
        <w:t xml:space="preserve"> than the lowest-priced comparable commercial CMMS subscription.</w:t>
      </w:r>
    </w:p>
    <w:p>
      <w:pPr>
        <w:pStyle w:val="Normal"/>
      </w:pPr>
      <w:r>
        <w:rPr>
          <w:b/>
        </w:rPr>
        <w:t xml:space="preserve">Keywords:</w:t>
      </w:r>
      <w:r>
        <w:t xml:space="preserve"> return on investment, cost–benefit analysis, computerized maintenance management system, net present value, higher education information systems, property management</w:t>
      </w:r>
    </w:p>
    <w:p>
      <w:pPr>
        <w:pStyle w:val="BECRule"/>
      </w:pPr>
    </w:p>
    <w:p>
      <w:pPr>
        <w:pStyle w:val="Heading2"/>
        <w:pageBreakBefore/>
      </w:pPr>
      <w:r>
        <w:t xml:space="preserve">TABLE OF CONTENTS</w:t>
      </w:r>
    </w:p>
    <w:p>
      <w:pPr>
        <w:pStyle w:val="BECList"/>
      </w:pPr>
      <w:r>
        <w:rPr>
          <w:b/>
          <w:color w:val="7B1D1D"/>
        </w:rPr>
        <w:t xml:space="preserve">1.  </w:t>
      </w:r>
      <w:r>
        <w:t xml:space="preserve">Introduction and Rationale</w:t>
      </w:r>
    </w:p>
    <w:p>
      <w:pPr>
        <w:pStyle w:val="BECList"/>
      </w:pPr>
      <w:r>
        <w:rPr>
          <w:b/>
          <w:color w:val="7B1D1D"/>
        </w:rPr>
        <w:t xml:space="preserve">2.  </w:t>
      </w:r>
      <w:r>
        <w:t xml:space="preserve">Objectives of the Study</w:t>
      </w:r>
    </w:p>
    <w:p>
      <w:pPr>
        <w:pStyle w:val="BECList"/>
      </w:pPr>
      <w:r>
        <w:rPr>
          <w:b/>
          <w:color w:val="7B1D1D"/>
        </w:rPr>
        <w:t xml:space="preserve">3.  </w:t>
      </w:r>
      <w:r>
        <w:t xml:space="preserve">Scope and Delimitations</w:t>
      </w:r>
    </w:p>
    <w:p>
      <w:pPr>
        <w:pStyle w:val="BECList"/>
      </w:pPr>
      <w:r>
        <w:rPr>
          <w:b/>
          <w:color w:val="7B1D1D"/>
        </w:rPr>
        <w:t xml:space="preserve">4.  </w:t>
      </w:r>
      <w:r>
        <w:t xml:space="preserve">Review of Related Literature</w:t>
      </w:r>
    </w:p>
    <w:p>
      <w:pPr>
        <w:pStyle w:val="BECList"/>
      </w:pPr>
      <w:r>
        <w:rPr>
          <w:b/>
          <w:color w:val="7B1D1D"/>
        </w:rPr>
        <w:t xml:space="preserve">5.  </w:t>
      </w:r>
      <w:r>
        <w:t xml:space="preserve">Theoretical and Methodological Framework</w:t>
      </w:r>
    </w:p>
    <w:p>
      <w:pPr>
        <w:pStyle w:val="BECList"/>
      </w:pPr>
      <w:r>
        <w:rPr>
          <w:b/>
          <w:color w:val="7B1D1D"/>
        </w:rPr>
        <w:t xml:space="preserve">6.  </w:t>
      </w:r>
      <w:r>
        <w:t xml:space="preserve">Assumptions and Parameters</w:t>
      </w:r>
    </w:p>
    <w:p>
      <w:pPr>
        <w:pStyle w:val="BECList"/>
      </w:pPr>
      <w:r>
        <w:rPr>
          <w:b/>
          <w:color w:val="7B1D1D"/>
        </w:rPr>
        <w:t xml:space="preserve">7.  </w:t>
      </w:r>
      <w:r>
        <w:t xml:space="preserve">Cost Analysis</w:t>
      </w:r>
    </w:p>
    <w:p>
      <w:pPr>
        <w:pStyle w:val="BECList"/>
      </w:pPr>
      <w:r>
        <w:rPr>
          <w:b/>
          <w:color w:val="7B1D1D"/>
        </w:rPr>
        <w:t xml:space="preserve">8.  </w:t>
      </w:r>
      <w:r>
        <w:t xml:space="preserve">Benefit Analysis</w:t>
      </w:r>
    </w:p>
    <w:p>
      <w:pPr>
        <w:pStyle w:val="BECList"/>
      </w:pPr>
      <w:r>
        <w:rPr>
          <w:b/>
          <w:color w:val="7B1D1D"/>
        </w:rPr>
        <w:t xml:space="preserve">9.  </w:t>
      </w:r>
      <w:r>
        <w:t xml:space="preserve">ROI Computation and Financial Indicators</w:t>
      </w:r>
    </w:p>
    <w:p>
      <w:pPr>
        <w:pStyle w:val="BECList"/>
      </w:pPr>
      <w:r>
        <w:rPr>
          <w:b/>
          <w:color w:val="7B1D1D"/>
        </w:rPr>
        <w:t xml:space="preserve">10.  </w:t>
      </w:r>
      <w:r>
        <w:t xml:space="preserve">Scenario Analysis</w:t>
      </w:r>
    </w:p>
    <w:p>
      <w:pPr>
        <w:pStyle w:val="BECList"/>
      </w:pPr>
      <w:r>
        <w:rPr>
          <w:b/>
          <w:color w:val="7B1D1D"/>
        </w:rPr>
        <w:t xml:space="preserve">11.  </w:t>
      </w:r>
      <w:r>
        <w:t xml:space="preserve">Sensitivity and Break-Even Analysis</w:t>
      </w:r>
    </w:p>
    <w:p>
      <w:pPr>
        <w:pStyle w:val="BECList"/>
      </w:pPr>
      <w:r>
        <w:rPr>
          <w:b/>
          <w:color w:val="7B1D1D"/>
        </w:rPr>
        <w:t xml:space="preserve">12.  </w:t>
      </w:r>
      <w:r>
        <w:t xml:space="preserve">Alternative Analysis: Make versus Buy</w:t>
      </w:r>
    </w:p>
    <w:p>
      <w:pPr>
        <w:pStyle w:val="BECList"/>
      </w:pPr>
      <w:r>
        <w:rPr>
          <w:b/>
          <w:color w:val="7B1D1D"/>
        </w:rPr>
        <w:t xml:space="preserve">13.  </w:t>
      </w:r>
      <w:r>
        <w:t xml:space="preserve">Non-Monetized (Intangible) Benefits</w:t>
      </w:r>
    </w:p>
    <w:p>
      <w:pPr>
        <w:pStyle w:val="BECList"/>
      </w:pPr>
      <w:r>
        <w:rPr>
          <w:b/>
          <w:color w:val="7B1D1D"/>
        </w:rPr>
        <w:t xml:space="preserve">14.  </w:t>
      </w:r>
      <w:r>
        <w:t xml:space="preserve">Risk Assessment</w:t>
      </w:r>
    </w:p>
    <w:p>
      <w:pPr>
        <w:pStyle w:val="BECList"/>
      </w:pPr>
      <w:r>
        <w:rPr>
          <w:b/>
          <w:color w:val="7B1D1D"/>
        </w:rPr>
        <w:t xml:space="preserve">15.  </w:t>
      </w:r>
      <w:r>
        <w:t xml:space="preserve">Limitations of the Study</w:t>
      </w:r>
    </w:p>
    <w:p>
      <w:pPr>
        <w:pStyle w:val="BECList"/>
      </w:pPr>
      <w:r>
        <w:rPr>
          <w:b/>
          <w:color w:val="7B1D1D"/>
        </w:rPr>
        <w:t xml:space="preserve">16.  </w:t>
      </w:r>
      <w:r>
        <w:t xml:space="preserve">Conclusions</w:t>
      </w:r>
    </w:p>
    <w:p>
      <w:pPr>
        <w:pStyle w:val="BECList"/>
      </w:pPr>
      <w:r>
        <w:rPr>
          <w:b/>
          <w:color w:val="7B1D1D"/>
        </w:rPr>
        <w:t xml:space="preserve">17.  </w:t>
      </w:r>
      <w:r>
        <w:t xml:space="preserve">Recommendations</w:t>
      </w:r>
    </w:p>
    <w:p>
      <w:pPr>
        <w:pStyle w:val="BECList"/>
      </w:pPr>
      <w:r>
        <w:rPr>
          <w:b/>
          <w:color w:val="7B1D1D"/>
        </w:rPr>
        <w:t xml:space="preserve">18.  </w:t>
      </w:r>
      <w:r>
        <w:t xml:space="preserve">References</w:t>
      </w:r>
    </w:p>
    <w:p>
      <w:pPr>
        <w:pStyle w:val="BECList"/>
      </w:pPr>
      <w:r>
        <w:rPr>
          <w:b/>
          <w:color w:val="7B1D1D"/>
        </w:rPr>
        <w:t xml:space="preserve">19.  </w:t>
      </w:r>
      <w:r>
        <w:t xml:space="preserve">Appendices</w:t>
      </w:r>
    </w:p>
    <w:p>
      <w:pPr>
        <w:pStyle w:val="BECRule"/>
      </w:pPr>
    </w:p>
    <w:p>
      <w:pPr>
        <w:pStyle w:val="Heading2"/>
        <w:pageBreakBefore/>
      </w:pPr>
      <w:r>
        <w:t xml:space="preserve">1. INTRODUCTION AND RATIONALE</w:t>
      </w:r>
    </w:p>
    <w:p>
      <w:pPr>
        <w:pStyle w:val="Normal"/>
      </w:pPr>
      <w:r>
        <w:t xml:space="preserve">The Property Management Office (PMO) of Batangas Eastern Colleges is institutionally accountable for the serviceability of campus equipment and facilities. Prior to the deployment of the system under evaluation, the reporting and resolution of defective equipment was conducted through a manual, paper-mediated workflow: a reporter (student, faculty member, or staff member) physically transmitted a defect report to the PMO; the office logged the report in a register; work was verbally or manually assigned to a technician; and status information was available only by direct inquiry.</w:t>
      </w:r>
    </w:p>
    <w:p>
      <w:pPr>
        <w:pStyle w:val="Normal"/>
      </w:pPr>
      <w:r>
        <w:t xml:space="preserve">Such workflows exhibit three characteristic economic inefficiencies documented in the maintenance management literature: (i) </w:t>
      </w:r>
      <w:r>
        <w:rPr>
          <w:b/>
        </w:rPr>
        <w:t xml:space="preserve">transaction cost</w:t>
      </w:r>
      <w:r>
        <w:t xml:space="preserve"> — the labor time consumed by reporting, routing, and status-chasing, none of which produces maintenance output; (ii) </w:t>
      </w:r>
      <w:r>
        <w:rPr>
          <w:b/>
        </w:rPr>
        <w:t xml:space="preserve">information loss</w:t>
      </w:r>
      <w:r>
        <w:t xml:space="preserve"> — the absence of a durable, queryable maintenance history, which prevents evidence-based planning and preventive intervention; and (iii) </w:t>
      </w:r>
      <w:r>
        <w:rPr>
          <w:b/>
        </w:rPr>
        <w:t xml:space="preserve">response latency</w:t>
      </w:r>
      <w:r>
        <w:t xml:space="preserve"> — extended mean time to repair (MTTR), which prolongs equipment unavailability and accelerates asset deterioration.</w:t>
      </w:r>
    </w:p>
    <w:p>
      <w:pPr>
        <w:pStyle w:val="Normal"/>
      </w:pPr>
      <w:r>
        <w:t xml:space="preserve">The BEC Web-Based Defective Equipment Reporting Management System was developed to address these inefficiencies through a single official digital channel spanning the full lifecycle of a defect report — from submission through PMO receipt, approval, technician assignment and acceptance, repair execution, verification, and reporter satisfaction confirmation — with automated notification at every state transition.</w:t>
      </w:r>
    </w:p>
    <w:p>
      <w:pPr>
        <w:pStyle w:val="Normal"/>
      </w:pPr>
      <w:r>
        <w:t xml:space="preserve">Whereas the functional adequacy of the system has been established through system testing and user acceptance procedures documented elsewhere, its </w:t>
      </w:r>
      <w:r>
        <w:rPr>
          <w:b/>
        </w:rPr>
        <w:t xml:space="preserve">economic justification</w:t>
      </w:r>
      <w:r>
        <w:t xml:space="preserve"> has not previously been established. This paper supplies that evaluation. The rationale is threefold: (a) to demonstrate to institutional decision-makers that continued operation and maintenance of the system is a defensible use of institutional resources; (b) to establish a quantitative baseline against which actual post-implementation performance can be measured; and (c) to satisfy the analytical requirement, standard in capstone research of this type, that a proposed information system be evaluated not only for what it does but for what it is worth.</w:t>
      </w:r>
    </w:p>
    <w:p>
      <w:pPr>
        <w:pStyle w:val="BECRule"/>
      </w:pPr>
    </w:p>
    <w:p>
      <w:pPr>
        <w:pStyle w:val="Heading2"/>
      </w:pPr>
      <w:r>
        <w:t xml:space="preserve">2. OBJECTIVES OF THE STUDY</w:t>
      </w:r>
    </w:p>
    <w:p>
      <w:pPr>
        <w:pStyle w:val="Heading3"/>
      </w:pPr>
      <w:r>
        <w:t xml:space="preserve">2.1 General Objective</w:t>
      </w:r>
    </w:p>
    <w:p>
      <w:pPr>
        <w:pStyle w:val="Normal"/>
      </w:pPr>
      <w:r>
        <w:t xml:space="preserve">To determine, through a formal discounted cost–benefit analysis, whether the BEC Web-Based Defective Equipment Reporting Management System constitutes an economically justified investment for Batangas Eastern Colleges over a five-year operating horizon.</w:t>
      </w:r>
    </w:p>
    <w:p>
      <w:pPr>
        <w:pStyle w:val="Heading3"/>
      </w:pPr>
      <w:r>
        <w:t xml:space="preserve">2.2 Specific Objectives</w:t>
      </w:r>
    </w:p>
    <w:p>
      <w:pPr>
        <w:pStyle w:val="BECList"/>
      </w:pPr>
      <w:r>
        <w:rPr>
          <w:b/>
          <w:color w:val="7B1D1D"/>
        </w:rPr>
        <w:t xml:space="preserve">1.  </w:t>
      </w:r>
      <w:r>
        <w:t xml:space="preserve">To enumerate and quantify the total cost of ownership (TCO) of the system, disaggregated into development, deployment, and recurring operational cost categories.</w:t>
      </w:r>
    </w:p>
    <w:p>
      <w:pPr>
        <w:pStyle w:val="BECList"/>
      </w:pPr>
      <w:r>
        <w:rPr>
          <w:b/>
          <w:color w:val="7B1D1D"/>
        </w:rPr>
        <w:t xml:space="preserve">2.  </w:t>
      </w:r>
      <w:r>
        <w:t xml:space="preserve">To identify, quantify, and monetize the benefit streams attributable to the system, distinguishing clearly between monetizable and non-monetizable (intangible) benefits.</w:t>
      </w:r>
    </w:p>
    <w:p>
      <w:pPr>
        <w:pStyle w:val="BECList"/>
      </w:pPr>
      <w:r>
        <w:rPr>
          <w:b/>
          <w:color w:val="7B1D1D"/>
        </w:rPr>
        <w:t xml:space="preserve">3.  </w:t>
      </w:r>
      <w:r>
        <w:t xml:space="preserve">To compute the standard indicators of investment worth: Net Present Value (NPV), Benefit–Cost Ratio (BCR), Return on Investment (ROI), Internal Rate of Return (IRR), and payback period.</w:t>
      </w:r>
    </w:p>
    <w:p>
      <w:pPr>
        <w:pStyle w:val="BECList"/>
      </w:pPr>
      <w:r>
        <w:rPr>
          <w:b/>
          <w:color w:val="7B1D1D"/>
        </w:rPr>
        <w:t xml:space="preserve">4.  </w:t>
      </w:r>
      <w:r>
        <w:t xml:space="preserve">To test the robustness of the resulting conclusion through scenario analysis (pessimistic, base, optimistic) and one-way sensitivity analysis on each principal input parameter.</w:t>
      </w:r>
    </w:p>
    <w:p>
      <w:pPr>
        <w:pStyle w:val="BECList"/>
      </w:pPr>
      <w:r>
        <w:rPr>
          <w:b/>
          <w:color w:val="7B1D1D"/>
        </w:rPr>
        <w:t xml:space="preserve">5.  </w:t>
      </w:r>
      <w:r>
        <w:t xml:space="preserve">To determine the break-even thresholds at which the investment ceases to be economically justified.</w:t>
      </w:r>
    </w:p>
    <w:p>
      <w:pPr>
        <w:pStyle w:val="BECList"/>
      </w:pPr>
      <w:r>
        <w:rPr>
          <w:b/>
          <w:color w:val="7B1D1D"/>
        </w:rPr>
        <w:t xml:space="preserve">6.  </w:t>
      </w:r>
      <w:r>
        <w:t xml:space="preserve">To compare the in-house system against the commercial CMMS alternative on a total-cost-of-ownership basis.</w:t>
      </w:r>
    </w:p>
    <w:p>
      <w:pPr>
        <w:pStyle w:val="BECList"/>
      </w:pPr>
      <w:r>
        <w:rPr>
          <w:b/>
          <w:color w:val="7B1D1D"/>
        </w:rPr>
        <w:t xml:space="preserve">7.  </w:t>
      </w:r>
      <w:r>
        <w:t xml:space="preserve">To document the assumptions requiring empirical validation, and to specify the instruments by which that validation should be conducted post-implementation.</w:t>
      </w:r>
    </w:p>
    <w:p>
      <w:pPr>
        <w:pStyle w:val="BECRule"/>
      </w:pPr>
    </w:p>
    <w:p>
      <w:pPr>
        <w:pStyle w:val="Heading2"/>
      </w:pPr>
      <w:r>
        <w:t xml:space="preserve">3. SCOPE AND DELIMITATIONS</w:t>
      </w:r>
    </w:p>
    <w:p>
      <w:pPr>
        <w:pStyle w:val="Heading3"/>
      </w:pPr>
      <w:r>
        <w:t xml:space="preserve">3.1 Scope</w:t>
      </w:r>
    </w:p>
    <w:p>
      <w:pPr>
        <w:pStyle w:val="Normal"/>
      </w:pPr>
      <w:r>
        <w:t xml:space="preserve">The analysis covers the complete system as deployed: the public landing page and ticket tracker, the reporter portal, the PMO administrative suite (dashboard, analytics, defect review, work orders, preventive maintenance, inventory, user directory, audit log, backup and recovery, branded exports), and the technician progressive web application. It encompasses all direct costs of building, deploying, and operating the system, and all benefits accruing to the institution that can be traced to the system's operation.</w:t>
      </w:r>
    </w:p>
    <w:p>
      <w:pPr>
        <w:pStyle w:val="Heading3"/>
      </w:pPr>
      <w:r>
        <w:t xml:space="preserve">3.2 Delimitations</w:t>
      </w:r>
    </w:p>
    <w:p>
      <w:pPr>
        <w:pStyle w:val="Normal"/>
      </w:pPr>
      <w:r>
        <w:t xml:space="preserve">The following are </w:t>
      </w:r>
      <w:r>
        <w:rPr>
          <w:b/>
        </w:rPr>
        <w:t xml:space="preserve">excluded</w:t>
      </w:r>
      <w:r>
        <w:t xml:space="preserve"> from the quantified analysis, with justification:</w:t>
      </w:r>
    </w:p>
    <w:tbl>
      <w:tblPr>
        <w:tblStyle w:val="BECTable"/>
        <w:tblW w:w="9360" w:type="dxa"/>
        <w:tblLayout w:type="fixed"/>
        <w:tblCellMar>
          <w:top w:w="60" w:type="dxa"/>
          <w:left w:w="90" w:type="dxa"/>
          <w:bottom w:w="60" w:type="dxa"/>
          <w:right w:w="90" w:type="dxa"/>
        </w:tblCellMar>
      </w:tblPr>
      <w:tblGrid>
        <w:gridCol w:w="4601"/>
        <w:gridCol w:w="4759"/>
      </w:tblGrid>
      <w:tr>
        <w:trPr>
          <w:tblHeader/>
          <w:cantSplit/>
        </w:trPr>
        <w:tc>
          <w:tcPr>
            <w:tcW w:w="4601" w:type="dxa"/>
            <w:shd w:val="clear" w:color="auto" w:fill="7B1D1D"/>
            <w:vAlign w:val="center"/>
          </w:tcPr>
          <w:p>
            <w:pPr>
              <w:pStyle w:val="BECCell"/>
            </w:pPr>
            <w:r>
              <w:rPr>
                <w:b/>
                <w:color w:val="FFFFFF"/>
              </w:rPr>
              <w:t xml:space="preserve">Excluded item</w:t>
            </w:r>
          </w:p>
        </w:tc>
        <w:tc>
          <w:tcPr>
            <w:tcW w:w="4759" w:type="dxa"/>
            <w:shd w:val="clear" w:color="auto" w:fill="7B1D1D"/>
            <w:vAlign w:val="center"/>
          </w:tcPr>
          <w:p>
            <w:pPr>
              <w:pStyle w:val="BECCell"/>
            </w:pPr>
            <w:r>
              <w:rPr>
                <w:b/>
                <w:color w:val="FFFFFF"/>
              </w:rPr>
              <w:t xml:space="preserve">Justification for exclusion</w:t>
            </w:r>
          </w:p>
        </w:tc>
      </w:tr>
      <w:tr>
        <w:trPr>
          <w:cantSplit/>
        </w:trPr>
        <w:tc>
          <w:tcPr>
            <w:tcW w:w="4601" w:type="dxa"/>
            <w:vAlign w:val="center"/>
          </w:tcPr>
          <w:p>
            <w:pPr>
              <w:pStyle w:val="BECCell"/>
            </w:pPr>
            <w:r>
              <w:t xml:space="preserve">Value of instructional time lost to unavailable equipment</w:t>
            </w:r>
          </w:p>
        </w:tc>
        <w:tc>
          <w:tcPr>
            <w:tcW w:w="4759" w:type="dxa"/>
            <w:vAlign w:val="center"/>
          </w:tcPr>
          <w:p>
            <w:pPr>
              <w:pStyle w:val="BECCell"/>
            </w:pPr>
            <w:r>
              <w:t xml:space="preserve">Not reliably monetizable without institutional data on class disruption; treated as an intangible benefit (§13)</w:t>
            </w:r>
          </w:p>
        </w:tc>
      </w:tr>
      <w:tr>
        <w:trPr>
          <w:cantSplit/>
        </w:trPr>
        <w:tc>
          <w:tcPr>
            <w:tcW w:w="4601" w:type="dxa"/>
            <w:shd w:val="clear" w:color="auto" w:fill="F4F1EA"/>
            <w:vAlign w:val="center"/>
          </w:tcPr>
          <w:p>
            <w:pPr>
              <w:pStyle w:val="BECCell"/>
            </w:pPr>
            <w:r>
              <w:t xml:space="preserve">Reputational and accreditation value</w:t>
            </w:r>
          </w:p>
        </w:tc>
        <w:tc>
          <w:tcPr>
            <w:tcW w:w="4759" w:type="dxa"/>
            <w:shd w:val="clear" w:color="auto" w:fill="F4F1EA"/>
            <w:vAlign w:val="center"/>
          </w:tcPr>
          <w:p>
            <w:pPr>
              <w:pStyle w:val="BECCell"/>
            </w:pPr>
            <w:r>
              <w:t xml:space="preserve">Inherently non-monetizable; treated as intangible (§13)</w:t>
            </w:r>
          </w:p>
        </w:tc>
      </w:tr>
      <w:tr>
        <w:trPr>
          <w:cantSplit/>
        </w:trPr>
        <w:tc>
          <w:tcPr>
            <w:tcW w:w="4601" w:type="dxa"/>
            <w:vAlign w:val="center"/>
          </w:tcPr>
          <w:p>
            <w:pPr>
              <w:pStyle w:val="BECCell"/>
            </w:pPr>
            <w:r>
              <w:t xml:space="preserve">Pedagogical value to the developing student team</w:t>
            </w:r>
          </w:p>
        </w:tc>
        <w:tc>
          <w:tcPr>
            <w:tcW w:w="4759" w:type="dxa"/>
            <w:vAlign w:val="center"/>
          </w:tcPr>
          <w:p>
            <w:pPr>
              <w:pStyle w:val="BECCell"/>
            </w:pPr>
            <w:r>
              <w:t xml:space="preserve">An externality accruing to the developers, not the institution</w:t>
            </w:r>
          </w:p>
        </w:tc>
      </w:tr>
      <w:tr>
        <w:trPr>
          <w:cantSplit/>
        </w:trPr>
        <w:tc>
          <w:tcPr>
            <w:tcW w:w="4601" w:type="dxa"/>
            <w:shd w:val="clear" w:color="auto" w:fill="F4F1EA"/>
            <w:vAlign w:val="center"/>
          </w:tcPr>
          <w:p>
            <w:pPr>
              <w:pStyle w:val="BECCell"/>
            </w:pPr>
            <w:r>
              <w:t xml:space="preserve">Existing hardware (PCs, technicians' personal smartphones)</w:t>
            </w:r>
          </w:p>
        </w:tc>
        <w:tc>
          <w:tcPr>
            <w:tcW w:w="4759" w:type="dxa"/>
            <w:shd w:val="clear" w:color="auto" w:fill="F4F1EA"/>
            <w:vAlign w:val="center"/>
          </w:tcPr>
          <w:p>
            <w:pPr>
              <w:pStyle w:val="BECCell"/>
            </w:pPr>
            <w:r>
              <w:t xml:space="preserve">Pre-existing institutional and personal assets; no incremental acquisition is required by the system</w:t>
            </w:r>
          </w:p>
        </w:tc>
      </w:tr>
      <w:tr>
        <w:trPr>
          <w:cantSplit/>
        </w:trPr>
        <w:tc>
          <w:tcPr>
            <w:tcW w:w="4601" w:type="dxa"/>
            <w:vAlign w:val="center"/>
          </w:tcPr>
          <w:p>
            <w:pPr>
              <w:pStyle w:val="BECCell"/>
            </w:pPr>
            <w:r>
              <w:t xml:space="preserve">Cost of institutional email accounts</w:t>
            </w:r>
          </w:p>
        </w:tc>
        <w:tc>
          <w:tcPr>
            <w:tcW w:w="4759" w:type="dxa"/>
            <w:vAlign w:val="center"/>
          </w:tcPr>
          <w:p>
            <w:pPr>
              <w:pStyle w:val="BECCell"/>
            </w:pPr>
            <w:r>
              <w:t xml:space="preserve">The institution's Google Workspace for Education tenancy is a pre-existing, separately-justified cost</w:t>
            </w:r>
          </w:p>
        </w:tc>
      </w:tr>
      <w:tr>
        <w:trPr>
          <w:cantSplit/>
        </w:trPr>
        <w:tc>
          <w:tcPr>
            <w:tcW w:w="4601" w:type="dxa"/>
            <w:shd w:val="clear" w:color="auto" w:fill="F4F1EA"/>
            <w:vAlign w:val="center"/>
          </w:tcPr>
          <w:p>
            <w:pPr>
              <w:pStyle w:val="BECCell"/>
            </w:pPr>
            <w:r>
              <w:t xml:space="preserve">Second-order effects on enrollment or retention</w:t>
            </w:r>
          </w:p>
        </w:tc>
        <w:tc>
          <w:tcPr>
            <w:tcW w:w="4759" w:type="dxa"/>
            <w:shd w:val="clear" w:color="auto" w:fill="F4F1EA"/>
            <w:vAlign w:val="center"/>
          </w:tcPr>
          <w:p>
            <w:pPr>
              <w:pStyle w:val="BECCell"/>
            </w:pPr>
            <w:r>
              <w:t xml:space="preserve">Speculative and not causally attributable</w:t>
            </w:r>
          </w:p>
        </w:tc>
      </w:tr>
    </w:tbl>
    <w:p>
      <w:pPr>
        <w:spacing w:after="0" w:line="120" w:lineRule="exact"/>
      </w:pPr>
    </w:p>
    <w:p>
      <w:pPr>
        <w:pStyle w:val="Normal"/>
      </w:pPr>
      <w:r>
        <w:t xml:space="preserve">The analysis adopts an </w:t>
      </w:r>
      <w:r>
        <w:rPr>
          <w:b/>
        </w:rPr>
        <w:t xml:space="preserve">institutional perspective</w:t>
      </w:r>
      <w:r>
        <w:t xml:space="preserve"> (costs and benefits accruing to Batangas Eastern Colleges as an entity), not a social perspective. It is conducted on an </w:t>
      </w:r>
      <w:r>
        <w:rPr>
          <w:b/>
        </w:rPr>
        <w:t xml:space="preserve">incremental basis</w:t>
      </w:r>
      <w:r>
        <w:t xml:space="preserve">: only costs and benefits that differ between the "with system" and "without system" (manual baseline) states are counted.</w:t>
      </w:r>
    </w:p>
    <w:p>
      <w:pPr>
        <w:pStyle w:val="BECRule"/>
      </w:pPr>
    </w:p>
    <w:p>
      <w:pPr>
        <w:pStyle w:val="Heading2"/>
      </w:pPr>
      <w:r>
        <w:t xml:space="preserve">4. REVIEW OF RELATED LITERATURE</w:t>
      </w:r>
    </w:p>
    <w:p>
      <w:pPr>
        <w:pStyle w:val="Heading3"/>
      </w:pPr>
      <w:r>
        <w:t xml:space="preserve">4.1 Empirical Findings on CMMS Return on Investment</w:t>
      </w:r>
    </w:p>
    <w:p>
      <w:pPr>
        <w:pStyle w:val="Normal"/>
      </w:pPr>
      <w:r>
        <w:t xml:space="preserve">The economic effects of computerized maintenance management systems are well documented in the industrial maintenance literature, though the majority of published evidence derives from manufacturing and facilities-management contexts rather than higher education. Four findings are directly relevant to the present study.</w:t>
      </w:r>
    </w:p>
    <w:p>
      <w:pPr>
        <w:pStyle w:val="Normal"/>
      </w:pPr>
      <w:r>
        <w:rPr>
          <w:b/>
        </w:rPr>
        <w:t xml:space="preserve">Maintenance cost reduction.</w:t>
      </w:r>
      <w:r>
        <w:t xml:space="preserve"> Organizations implementing a CMMS commonly report a </w:t>
      </w:r>
      <w:r>
        <w:rPr>
          <w:b/>
        </w:rPr>
        <w:t xml:space="preserve">10–30% reduction in overall maintenance costs</w:t>
      </w:r>
      <w:r>
        <w:t xml:space="preserve">, attributable to improved scheduling, better labor utilization, and a reduction in unplanned breakdowns; leading implementations achieve reductions of </w:t>
      </w:r>
      <w:r>
        <w:rPr>
          <w:b/>
        </w:rPr>
        <w:t xml:space="preserve">18–25%</w:t>
      </w:r>
      <w:r>
        <w:t xml:space="preserve"> (eWorkOrders, 2026; Oxmaint, 2026). This finding underpins benefit stream B5 in the present analysis, though the present study applies a substantial conservative haircut for reasons stated in §8.6.</w:t>
      </w:r>
    </w:p>
    <w:p>
      <w:pPr>
        <w:pStyle w:val="Normal"/>
      </w:pPr>
      <w:r>
        <w:rPr>
          <w:b/>
        </w:rPr>
        <w:t xml:space="preserve">Downtime reduction.</w:t>
      </w:r>
      <w:r>
        <w:t xml:space="preserve"> The Aberdeen Group CMMS Benchmark Report documents an average </w:t>
      </w:r>
      <w:r>
        <w:rPr>
          <w:b/>
        </w:rPr>
        <w:t xml:space="preserve">27% reduction in equipment downtime</w:t>
      </w:r>
      <w:r>
        <w:t xml:space="preserve"> for organizations operating a CMMS relative to those without structured maintenance management (cited in eWorkOrders, 2026). More aggressive predictive-maintenance implementations report reductions of 30–50%. The present study treats downtime reduction as an intangible benefit (§13) rather than monetizing it.</w:t>
      </w:r>
    </w:p>
    <w:p>
      <w:pPr>
        <w:pStyle w:val="Normal"/>
      </w:pPr>
      <w:r>
        <w:rPr>
          <w:b/>
        </w:rPr>
        <w:t xml:space="preserve">Asset life extension.</w:t>
      </w:r>
      <w:r>
        <w:t xml:space="preserve"> Systematic preventive maintenance, of the kind the system's preventive maintenance module enables, is associated with </w:t>
      </w:r>
      <w:r>
        <w:rPr>
          <w:b/>
        </w:rPr>
        <w:t xml:space="preserve">20–40% longer useful asset life</w:t>
      </w:r>
      <w:r>
        <w:t xml:space="preserve"> relative to run-to-failure operation, with corresponding deferral of capital expenditure (Oxmaint, 2026).</w:t>
      </w:r>
    </w:p>
    <w:p>
      <w:pPr>
        <w:pStyle w:val="Normal"/>
      </w:pPr>
      <w:r>
        <w:rPr>
          <w:b/>
        </w:rPr>
        <w:t xml:space="preserve">Payback horizon.</w:t>
      </w:r>
      <w:r>
        <w:t xml:space="preserve"> Most organizations achieve positive ROI </w:t>
      </w:r>
      <w:r>
        <w:rPr>
          <w:b/>
        </w:rPr>
        <w:t xml:space="preserve">within 12–18 months</w:t>
      </w:r>
      <w:r>
        <w:t xml:space="preserve"> of CMMS implementation (LLumin, 2026; Oxmaint, 2026). The base-case payback period computed in §9 (16.9 months) falls within this documented range, which provides external plausibility support for the present estimates.</w:t>
      </w:r>
    </w:p>
    <w:p>
      <w:pPr>
        <w:pStyle w:val="Heading3"/>
      </w:pPr>
      <w:r>
        <w:t xml:space="preserve">4.2 Critical Appraisal of the Literature</w:t>
      </w:r>
    </w:p>
    <w:p>
      <w:pPr>
        <w:pStyle w:val="Normal"/>
      </w:pPr>
      <w:r>
        <w:t xml:space="preserve">Two methodological cautions apply to the figures above. First, a substantial proportion of the published CMMS ROI literature is </w:t>
      </w:r>
      <w:r>
        <w:rPr>
          <w:b/>
        </w:rPr>
        <w:t xml:space="preserve">vendor-authored</w:t>
      </w:r>
      <w:r>
        <w:t xml:space="preserve">, and therefore subject to a selection bias favoring successful implementations and an incentive bias favoring generous benefit estimates. Second, the reference populations are predominantly capital-intensive manufacturing operations with high downtime costs, whereas an educational institution's equipment portfolio is lower in unit value and its downtime cost is largely non-financial. Both cautions argue for the deliberate conservatism adopted in §8.6, where the present study applies a maintenance-expenditure reduction rate of 5% — well below the lower bound of the 10–30% literature range.</w:t>
      </w:r>
    </w:p>
    <w:p>
      <w:pPr>
        <w:pStyle w:val="Heading3"/>
      </w:pPr>
      <w:r>
        <w:t xml:space="preserve">4.3 Cost Benchmarks for Comparable Systems</w:t>
      </w:r>
    </w:p>
    <w:p>
      <w:pPr>
        <w:pStyle w:val="Normal"/>
      </w:pPr>
      <w:r>
        <w:t xml:space="preserve">Commercial CMMS platforms in 2026 are priced predominantly on a per-named-user, per-month subscription basis. Published list prices are summarized in Table 4.1.</w:t>
      </w:r>
    </w:p>
    <w:p>
      <w:pPr>
        <w:pStyle w:val="Normal"/>
      </w:pPr>
      <w:r>
        <w:rPr>
          <w:b/>
        </w:rPr>
        <w:t xml:space="preserve">Table 4.1 — Commercial CMMS List Pricing, 2026</w:t>
      </w:r>
    </w:p>
    <w:tbl>
      <w:tblPr>
        <w:tblStyle w:val="BECTable"/>
        <w:tblW w:w="9360" w:type="dxa"/>
        <w:tblLayout w:type="fixed"/>
        <w:tblCellMar>
          <w:top w:w="60" w:type="dxa"/>
          <w:left w:w="90" w:type="dxa"/>
          <w:bottom w:w="60" w:type="dxa"/>
          <w:right w:w="90" w:type="dxa"/>
        </w:tblCellMar>
      </w:tblPr>
      <w:tblGrid>
        <w:gridCol w:w="1060"/>
        <w:gridCol w:w="2561"/>
        <w:gridCol w:w="2561"/>
        <w:gridCol w:w="3178"/>
      </w:tblGrid>
      <w:tr>
        <w:trPr>
          <w:tblHeader/>
          <w:cantSplit/>
        </w:trPr>
        <w:tc>
          <w:tcPr>
            <w:tcW w:w="1060" w:type="dxa"/>
            <w:shd w:val="clear" w:color="auto" w:fill="7B1D1D"/>
            <w:vAlign w:val="center"/>
          </w:tcPr>
          <w:p>
            <w:pPr>
              <w:pStyle w:val="BECCell"/>
            </w:pPr>
            <w:r>
              <w:rPr>
                <w:b/>
                <w:color w:val="FFFFFF"/>
              </w:rPr>
              <w:t xml:space="preserve">Vendor</w:t>
            </w:r>
          </w:p>
        </w:tc>
        <w:tc>
          <w:tcPr>
            <w:tcW w:w="2561" w:type="dxa"/>
            <w:shd w:val="clear" w:color="auto" w:fill="7B1D1D"/>
            <w:vAlign w:val="center"/>
          </w:tcPr>
          <w:p>
            <w:pPr>
              <w:pStyle w:val="BECCell"/>
            </w:pPr>
            <w:r>
              <w:rPr>
                <w:b/>
                <w:color w:val="FFFFFF"/>
              </w:rPr>
              <w:t xml:space="preserve">Entry tier</w:t>
            </w:r>
          </w:p>
        </w:tc>
        <w:tc>
          <w:tcPr>
            <w:tcW w:w="2561" w:type="dxa"/>
            <w:shd w:val="clear" w:color="auto" w:fill="7B1D1D"/>
            <w:vAlign w:val="center"/>
          </w:tcPr>
          <w:p>
            <w:pPr>
              <w:pStyle w:val="BECCell"/>
            </w:pPr>
            <w:r>
              <w:rPr>
                <w:b/>
                <w:color w:val="FFFFFF"/>
              </w:rPr>
              <w:t xml:space="preserve">Mid tier</w:t>
            </w:r>
          </w:p>
        </w:tc>
        <w:tc>
          <w:tcPr>
            <w:tcW w:w="3178" w:type="dxa"/>
            <w:shd w:val="clear" w:color="auto" w:fill="7B1D1D"/>
            <w:vAlign w:val="center"/>
          </w:tcPr>
          <w:p>
            <w:pPr>
              <w:pStyle w:val="BECCell"/>
            </w:pPr>
            <w:r>
              <w:rPr>
                <w:b/>
                <w:color w:val="FFFFFF"/>
              </w:rPr>
              <w:t xml:space="preserve">Notes</w:t>
            </w:r>
          </w:p>
        </w:tc>
      </w:tr>
      <w:tr>
        <w:trPr>
          <w:cantSplit/>
        </w:trPr>
        <w:tc>
          <w:tcPr>
            <w:tcW w:w="1060" w:type="dxa"/>
            <w:vAlign w:val="center"/>
          </w:tcPr>
          <w:p>
            <w:pPr>
              <w:pStyle w:val="BECCell"/>
            </w:pPr>
            <w:r>
              <w:t xml:space="preserve">Limble</w:t>
            </w:r>
          </w:p>
        </w:tc>
        <w:tc>
          <w:tcPr>
            <w:tcW w:w="2561" w:type="dxa"/>
            <w:vAlign w:val="center"/>
          </w:tcPr>
          <w:p>
            <w:pPr>
              <w:pStyle w:val="BECCell"/>
            </w:pPr>
            <w:r>
              <w:t xml:space="preserve">US$28/user/month (annual)</w:t>
            </w:r>
          </w:p>
        </w:tc>
        <w:tc>
          <w:tcPr>
            <w:tcW w:w="2561" w:type="dxa"/>
            <w:vAlign w:val="center"/>
          </w:tcPr>
          <w:p>
            <w:pPr>
              <w:pStyle w:val="BECCell"/>
            </w:pPr>
            <w:r>
              <w:t xml:space="preserve">US$33/user/month (monthly)</w:t>
            </w:r>
          </w:p>
        </w:tc>
        <w:tc>
          <w:tcPr>
            <w:tcW w:w="3178" w:type="dxa"/>
            <w:vAlign w:val="center"/>
          </w:tcPr>
          <w:p>
            <w:pPr>
              <w:pStyle w:val="BECCell"/>
            </w:pPr>
            <w:r>
              <w:t xml:space="preserve">Lowest-priced comparable platform</w:t>
            </w:r>
          </w:p>
        </w:tc>
      </w:tr>
      <w:tr>
        <w:trPr>
          <w:cantSplit/>
        </w:trPr>
        <w:tc>
          <w:tcPr>
            <w:tcW w:w="1060" w:type="dxa"/>
            <w:shd w:val="clear" w:color="auto" w:fill="F4F1EA"/>
            <w:vAlign w:val="center"/>
          </w:tcPr>
          <w:p>
            <w:pPr>
              <w:pStyle w:val="BECCell"/>
            </w:pPr>
            <w:r>
              <w:t xml:space="preserve">UpKeep</w:t>
            </w:r>
          </w:p>
        </w:tc>
        <w:tc>
          <w:tcPr>
            <w:tcW w:w="2561" w:type="dxa"/>
            <w:shd w:val="clear" w:color="auto" w:fill="F4F1EA"/>
            <w:vAlign w:val="center"/>
          </w:tcPr>
          <w:p>
            <w:pPr>
              <w:pStyle w:val="BECCell"/>
            </w:pPr>
            <w:r>
              <w:t xml:space="preserve">US$20/user/month (Lite)</w:t>
            </w:r>
          </w:p>
        </w:tc>
        <w:tc>
          <w:tcPr>
            <w:tcW w:w="2561" w:type="dxa"/>
            <w:shd w:val="clear" w:color="auto" w:fill="F4F1EA"/>
            <w:vAlign w:val="center"/>
          </w:tcPr>
          <w:p>
            <w:pPr>
              <w:pStyle w:val="BECCell"/>
            </w:pPr>
            <w:r>
              <w:t xml:space="preserve">US$45–75/user/month</w:t>
            </w:r>
          </w:p>
        </w:tc>
        <w:tc>
          <w:tcPr>
            <w:tcW w:w="3178" w:type="dxa"/>
            <w:shd w:val="clear" w:color="auto" w:fill="F4F1EA"/>
            <w:vAlign w:val="center"/>
          </w:tcPr>
          <w:p>
            <w:pPr>
              <w:pStyle w:val="BECCell"/>
            </w:pPr>
            <w:r>
              <w:t xml:space="preserve">Lite tier is functionally restricted</w:t>
            </w:r>
          </w:p>
        </w:tc>
      </w:tr>
      <w:tr>
        <w:trPr>
          <w:cantSplit/>
        </w:trPr>
        <w:tc>
          <w:tcPr>
            <w:tcW w:w="1060" w:type="dxa"/>
            <w:vAlign w:val="center"/>
          </w:tcPr>
          <w:p>
            <w:pPr>
              <w:pStyle w:val="BECCell"/>
            </w:pPr>
            <w:r>
              <w:t xml:space="preserve">Fiix</w:t>
            </w:r>
          </w:p>
        </w:tc>
        <w:tc>
          <w:tcPr>
            <w:tcW w:w="2561" w:type="dxa"/>
            <w:vAlign w:val="center"/>
          </w:tcPr>
          <w:p>
            <w:pPr>
              <w:pStyle w:val="BECCell"/>
            </w:pPr>
            <w:r>
              <w:t xml:space="preserve">Free tier (limited)</w:t>
            </w:r>
          </w:p>
        </w:tc>
        <w:tc>
          <w:tcPr>
            <w:tcW w:w="2561" w:type="dxa"/>
            <w:vAlign w:val="center"/>
          </w:tcPr>
          <w:p>
            <w:pPr>
              <w:pStyle w:val="BECCell"/>
            </w:pPr>
            <w:r>
              <w:t xml:space="preserve">US$45–75/user/month</w:t>
            </w:r>
          </w:p>
        </w:tc>
        <w:tc>
          <w:tcPr>
            <w:tcW w:w="3178" w:type="dxa"/>
            <w:vAlign w:val="center"/>
          </w:tcPr>
          <w:p>
            <w:pPr>
              <w:pStyle w:val="BECCell"/>
            </w:pPr>
            <w:r>
              <w:t xml:space="preserve"/>
            </w:r>
          </w:p>
        </w:tc>
      </w:tr>
      <w:tr>
        <w:trPr>
          <w:cantSplit/>
        </w:trPr>
        <w:tc>
          <w:tcPr>
            <w:tcW w:w="1060" w:type="dxa"/>
            <w:shd w:val="clear" w:color="auto" w:fill="F4F1EA"/>
            <w:vAlign w:val="center"/>
          </w:tcPr>
          <w:p>
            <w:pPr>
              <w:pStyle w:val="BECCell"/>
            </w:pPr>
            <w:r>
              <w:t xml:space="preserve">eMaint</w:t>
            </w:r>
          </w:p>
        </w:tc>
        <w:tc>
          <w:tcPr>
            <w:tcW w:w="2561" w:type="dxa"/>
            <w:shd w:val="clear" w:color="auto" w:fill="F4F1EA"/>
            <w:vAlign w:val="center"/>
          </w:tcPr>
          <w:p>
            <w:pPr>
              <w:pStyle w:val="BECCell"/>
            </w:pPr>
            <w:r>
              <w:t xml:space="preserve">US$69/user/month (max 3 users)</w:t>
            </w:r>
          </w:p>
        </w:tc>
        <w:tc>
          <w:tcPr>
            <w:tcW w:w="2561" w:type="dxa"/>
            <w:shd w:val="clear" w:color="auto" w:fill="F4F1EA"/>
            <w:vAlign w:val="center"/>
          </w:tcPr>
          <w:p>
            <w:pPr>
              <w:pStyle w:val="BECCell"/>
            </w:pPr>
            <w:r>
              <w:t xml:space="preserve">US$85/user/month (min 3 users)</w:t>
            </w:r>
          </w:p>
        </w:tc>
        <w:tc>
          <w:tcPr>
            <w:tcW w:w="3178" w:type="dxa"/>
            <w:shd w:val="clear" w:color="auto" w:fill="F4F1EA"/>
            <w:vAlign w:val="center"/>
          </w:tcPr>
          <w:p>
            <w:pPr>
              <w:pStyle w:val="BECCell"/>
            </w:pPr>
            <w:r>
              <w:t xml:space="preserve"/>
            </w:r>
          </w:p>
        </w:tc>
      </w:tr>
      <w:tr>
        <w:trPr>
          <w:cantSplit/>
        </w:trPr>
        <w:tc>
          <w:tcPr>
            <w:tcW w:w="1060" w:type="dxa"/>
            <w:vAlign w:val="center"/>
          </w:tcPr>
          <w:p>
            <w:pPr>
              <w:pStyle w:val="BECCell"/>
            </w:pPr>
            <w:r>
              <w:rPr>
                <w:b/>
              </w:rPr>
              <w:t xml:space="preserve">Market range</w:t>
            </w:r>
          </w:p>
        </w:tc>
        <w:tc>
          <w:tcPr>
            <w:tcW w:w="2561" w:type="dxa"/>
            <w:vAlign w:val="center"/>
          </w:tcPr>
          <w:p>
            <w:pPr>
              <w:pStyle w:val="BECCell"/>
            </w:pPr>
            <w:r>
              <w:rPr>
                <w:b/>
              </w:rPr>
              <w:t xml:space="preserve">US$28–50/user/month</w:t>
            </w:r>
          </w:p>
        </w:tc>
        <w:tc>
          <w:tcPr>
            <w:tcW w:w="2561" w:type="dxa"/>
            <w:vAlign w:val="center"/>
          </w:tcPr>
          <w:p>
            <w:pPr>
              <w:pStyle w:val="BECCell"/>
            </w:pPr>
            <w:r>
              <w:rPr>
                <w:b/>
              </w:rPr>
              <w:t xml:space="preserve">US$50–150/user/month</w:t>
            </w:r>
          </w:p>
        </w:tc>
        <w:tc>
          <w:tcPr>
            <w:tcW w:w="3178" w:type="dxa"/>
            <w:vAlign w:val="center"/>
          </w:tcPr>
          <w:p>
            <w:pPr>
              <w:pStyle w:val="BECCell"/>
            </w:pPr>
            <w:r>
              <w:t xml:space="preserve">(Fabrico, 2026; ITQlick, 2026)</w:t>
            </w:r>
          </w:p>
        </w:tc>
      </w:tr>
    </w:tbl>
    <w:p>
      <w:pPr>
        <w:spacing w:after="0" w:line="120" w:lineRule="exact"/>
      </w:pPr>
    </w:p>
    <w:p>
      <w:pPr>
        <w:pStyle w:val="Normal"/>
      </w:pPr>
      <w:r>
        <w:t xml:space="preserve">These benchmarks are applied in the make-versus-buy analysis of §12.</w:t>
      </w:r>
    </w:p>
    <w:p>
      <w:pPr>
        <w:pStyle w:val="BECRule"/>
      </w:pPr>
    </w:p>
    <w:p>
      <w:pPr>
        <w:pStyle w:val="Heading2"/>
      </w:pPr>
      <w:r>
        <w:t xml:space="preserve">5. THEORETICAL AND METHODOLOGICAL FRAMEWORK</w:t>
      </w:r>
    </w:p>
    <w:p>
      <w:pPr>
        <w:pStyle w:val="Heading3"/>
      </w:pPr>
      <w:r>
        <w:t xml:space="preserve">5.1 Analytical Framework</w:t>
      </w:r>
    </w:p>
    <w:p>
      <w:pPr>
        <w:pStyle w:val="Normal"/>
      </w:pPr>
      <w:r>
        <w:t xml:space="preserve">The study applies the standard </w:t>
      </w:r>
      <w:r>
        <w:rPr>
          <w:b/>
        </w:rPr>
        <w:t xml:space="preserve">discounted cash-flow (DCF) cost–benefit framework</w:t>
      </w:r>
      <w:r>
        <w:t xml:space="preserve"> to a five-year evaluation horizon. All costs and benefits are expressed in constant August 2026 pesos (real terms); consequently a </w:t>
      </w:r>
      <w:r>
        <w:rPr>
          <w:b/>
        </w:rPr>
        <w:t xml:space="preserve">real discount rate</w:t>
      </w:r>
      <w:r>
        <w:t xml:space="preserve"> is applied and no separate inflation adjustment is made to the cash-flow streams.</w:t>
      </w:r>
    </w:p>
    <w:p>
      <w:pPr>
        <w:pStyle w:val="Heading3"/>
      </w:pPr>
      <w:r>
        <w:t xml:space="preserve">5.2 Discount Rate</w:t>
      </w:r>
    </w:p>
    <w:p>
      <w:pPr>
        <w:pStyle w:val="Normal"/>
      </w:pPr>
      <w:r>
        <w:t xml:space="preserve">A discount rate of </w:t>
      </w:r>
      <w:r>
        <w:rPr>
          <w:b/>
        </w:rPr>
        <w:t xml:space="preserve">10.0% per annum</w:t>
      </w:r>
      <w:r>
        <w:t xml:space="preserve"> is adopted. This is the </w:t>
      </w:r>
      <w:r>
        <w:rPr>
          <w:b/>
        </w:rPr>
        <w:t xml:space="preserve">social discount rate prescribed by the National Economic and Development Authority (NEDA) Investment Coordination Committee</w:t>
      </w:r>
      <w:r>
        <w:t xml:space="preserve"> for the evaluation of Philippine public-sector projects, revised downward from 15% in 2016 (NEDA, 2016). Although Batangas Eastern Colleges is a private institution, the NEDA rate is adopted for three reasons: it is the standard analytical benchmark in Philippine project appraisal; it is conservative relative to prevailing real returns on low-risk institutional deposits; and its use makes the present analysis directly comparable with other Philippine institutional project evaluations. Sensitivity to this parameter is tested at 6% and 15% in §11.</w:t>
      </w:r>
    </w:p>
    <w:p>
      <w:pPr>
        <w:pStyle w:val="Heading3"/>
      </w:pPr>
      <w:r>
        <w:t xml:space="preserve">5.3 Financial Indicators</w:t>
      </w:r>
    </w:p>
    <w:p>
      <w:pPr>
        <w:pStyle w:val="Normal"/>
      </w:pPr>
      <w:r>
        <w:t xml:space="preserve">The following indicators are computed. Let </w:t>
      </w:r>
      <w:r>
        <w:rPr>
          <w:i/>
        </w:rPr>
        <w:t xml:space="preserve">B&lt;sub&gt;t&lt;/sub&gt;</w:t>
      </w:r>
      <w:r>
        <w:t xml:space="preserve"> and </w:t>
      </w:r>
      <w:r>
        <w:rPr>
          <w:i/>
        </w:rPr>
        <w:t xml:space="preserve">C&lt;sub&gt;t&lt;/sub&gt;</w:t>
      </w:r>
      <w:r>
        <w:t xml:space="preserve"> denote gross benefits and gross costs in year </w:t>
      </w:r>
      <w:r>
        <w:rPr>
          <w:i/>
        </w:rPr>
        <w:t xml:space="preserve">t</w:t>
      </w:r>
      <w:r>
        <w:t xml:space="preserve">, </w:t>
      </w:r>
      <w:r>
        <w:rPr>
          <w:i/>
        </w:rPr>
        <w:t xml:space="preserve">r</w:t>
      </w:r>
      <w:r>
        <w:t xml:space="preserve"> the discount rate, and </w:t>
      </w:r>
      <w:r>
        <w:rPr>
          <w:i/>
        </w:rPr>
        <w:t xml:space="preserve">n</w:t>
      </w:r>
      <w:r>
        <w:t xml:space="preserve"> the evaluation horizon.</w:t>
      </w:r>
    </w:p>
    <w:p>
      <w:pPr>
        <w:pStyle w:val="Normal"/>
      </w:pPr>
      <w:r>
        <w:rPr>
          <w:b/>
        </w:rPr>
        <w:t xml:space="preserve">(1) Net Present Value</w:t>
      </w:r>
    </w:p>
    <w:p>
      <w:pPr>
        <w:pStyle w:val="BECMath"/>
      </w:pPr>
      <w:r>
        <w:rPr>
          <w:rFonts w:ascii="Cambria Math" w:hAnsi="Cambria Math" w:cs="Cambria Math"/>
          <w:color w:val="7B1D1D"/>
          <w:sz w:val="22"/>
          <w:szCs w:val="22"/>
        </w:rPr>
        <w:t xml:space="preserve">NPV = Σ[t=0→n] (B_t - C_t) / ((1+r)^t)</w:t>
      </w:r>
    </w:p>
    <w:p>
      <w:pPr>
        <w:pStyle w:val="Normal"/>
      </w:pPr>
      <w:r>
        <w:t xml:space="preserve">Decision rule: accept if NPV &gt; 0.</w:t>
      </w:r>
    </w:p>
    <w:p>
      <w:pPr>
        <w:pStyle w:val="Normal"/>
      </w:pPr>
      <w:r>
        <w:rPr>
          <w:b/>
        </w:rPr>
        <w:t xml:space="preserve">(2) Benefit–Cost Ratio</w:t>
      </w:r>
    </w:p>
    <w:p>
      <w:pPr>
        <w:pStyle w:val="BECMath"/>
      </w:pPr>
      <w:r>
        <w:rPr>
          <w:rFonts w:ascii="Cambria Math" w:hAnsi="Cambria Math" w:cs="Cambria Math"/>
          <w:color w:val="7B1D1D"/>
          <w:sz w:val="22"/>
          <w:szCs w:val="22"/>
        </w:rPr>
        <w:t xml:space="preserve">BCR = (Σ[t=0→n] B_t (1+r)^-t) / (Σ[t=0→n] C_t (1+r)^-t)</w:t>
      </w:r>
    </w:p>
    <w:p>
      <w:pPr>
        <w:pStyle w:val="Normal"/>
      </w:pPr>
      <w:r>
        <w:t xml:space="preserve">Decision rule: accept if BCR &gt; 1.0.</w:t>
      </w:r>
    </w:p>
    <w:p>
      <w:pPr>
        <w:pStyle w:val="Normal"/>
      </w:pPr>
      <w:r>
        <w:rPr>
          <w:b/>
        </w:rPr>
        <w:t xml:space="preserve">(3) Return on Investment (five-year, discounted)</w:t>
      </w:r>
    </w:p>
    <w:p>
      <w:pPr>
        <w:pStyle w:val="BECMath"/>
      </w:pPr>
      <w:r>
        <w:rPr>
          <w:rFonts w:ascii="Cambria Math" w:hAnsi="Cambria Math" w:cs="Cambria Math"/>
          <w:color w:val="7B1D1D"/>
          <w:sz w:val="22"/>
          <w:szCs w:val="22"/>
        </w:rPr>
        <w:t xml:space="preserve">ROI = (NPV) / (PV(Total Costs)) × 100%</w:t>
      </w:r>
    </w:p>
    <w:p>
      <w:pPr>
        <w:pStyle w:val="Normal"/>
      </w:pPr>
      <w:r>
        <w:t xml:space="preserve">This formulation expresses net gain as a percentage of the present value of all resources committed. It is preferred here over the simple accounting ROI because it accounts for the time value of money and for recurring costs, both of which a single-period ROI omits.</w:t>
      </w:r>
    </w:p>
    <w:p>
      <w:pPr>
        <w:pStyle w:val="Normal"/>
      </w:pPr>
      <w:r>
        <w:rPr>
          <w:b/>
        </w:rPr>
        <w:t xml:space="preserve">(4) Internal Rate of Return</w:t>
      </w:r>
      <w:r>
        <w:t xml:space="preserve"> — the discount rate </w:t>
      </w:r>
      <w:r>
        <w:rPr>
          <w:i/>
        </w:rPr>
        <w:t xml:space="preserve">r\</w:t>
      </w:r>
      <w:r>
        <w:t xml:space="preserve">* at which NPV = 0:</w:t>
      </w:r>
    </w:p>
    <w:p>
      <w:pPr>
        <w:pStyle w:val="BECMath"/>
      </w:pPr>
      <w:r>
        <w:rPr>
          <w:rFonts w:ascii="Cambria Math" w:hAnsi="Cambria Math" w:cs="Cambria Math"/>
          <w:color w:val="7B1D1D"/>
          <w:sz w:val="22"/>
          <w:szCs w:val="22"/>
        </w:rPr>
        <w:t xml:space="preserve">Σ[t=0→n] (B_t - C_t) / ((1+r^*)^t) = 0</w:t>
      </w:r>
    </w:p>
    <w:p>
      <w:pPr>
        <w:pStyle w:val="Normal"/>
      </w:pPr>
      <w:r>
        <w:t xml:space="preserve">Decision rule: accept if IRR &gt; the hurdle rate (10%).</w:t>
      </w:r>
    </w:p>
    <w:p>
      <w:pPr>
        <w:pStyle w:val="Normal"/>
      </w:pPr>
      <w:r>
        <w:rPr>
          <w:b/>
        </w:rPr>
        <w:t xml:space="preserve">(5) Payback Period</w:t>
      </w:r>
      <w:r>
        <w:t xml:space="preserve"> — the elapsed time until cumulative net benefits equal the initial investment; reported on both an undiscounted and a discounted basis.</w:t>
      </w:r>
    </w:p>
    <w:p>
      <w:pPr>
        <w:pStyle w:val="Normal"/>
      </w:pPr>
      <w:r>
        <w:rPr>
          <w:b/>
        </w:rPr>
        <w:t xml:space="preserve">(6) Equivalent Annual Cost (EAC)</w:t>
      </w:r>
      <w:r>
        <w:t xml:space="preserve"> — the level annual payment whose present value equals the total present value of costs:</w:t>
      </w:r>
    </w:p>
    <w:p>
      <w:pPr>
        <w:pStyle w:val="BECMath"/>
      </w:pPr>
      <w:r>
        <w:rPr>
          <w:rFonts w:ascii="Cambria Math" w:hAnsi="Cambria Math" w:cs="Cambria Math"/>
          <w:color w:val="7B1D1D"/>
          <w:sz w:val="22"/>
          <w:szCs w:val="22"/>
        </w:rPr>
        <w:t xml:space="preserve">EAC = (PV(Total Costs)) / (A_n,r), where A_n,r = (1-(1+r)^-n) / (r)</w:t>
      </w:r>
    </w:p>
    <w:p>
      <w:pPr>
        <w:pStyle w:val="Normal"/>
      </w:pPr>
      <w:r>
        <w:t xml:space="preserve">For </w:t>
      </w:r>
      <w:r>
        <w:rPr>
          <w:i/>
        </w:rPr>
        <w:t xml:space="preserve">n</w:t>
      </w:r>
      <w:r>
        <w:t xml:space="preserve"> = 5 and </w:t>
      </w:r>
      <w:r>
        <w:rPr>
          <w:i/>
        </w:rPr>
        <w:t xml:space="preserve">r</w:t>
      </w:r>
      <w:r>
        <w:t xml:space="preserve"> = 10%, the annuity factor </w:t>
      </w:r>
      <w:r>
        <w:rPr>
          <w:i/>
        </w:rPr>
        <w:t xml:space="preserve">A</w:t>
      </w:r>
      <w:r>
        <w:t xml:space="preserve"> = </w:t>
      </w:r>
      <w:r>
        <w:rPr>
          <w:b/>
        </w:rPr>
        <w:t xml:space="preserve">3.790787</w:t>
      </w:r>
      <w:r>
        <w:t xml:space="preserve">. This factor is used throughout the analysis.</w:t>
      </w:r>
    </w:p>
    <w:p>
      <w:pPr>
        <w:pStyle w:val="Heading3"/>
      </w:pPr>
      <w:r>
        <w:t xml:space="preserve">5.4 Valuation Method for Labor Time</w:t>
      </w:r>
    </w:p>
    <w:p>
      <w:pPr>
        <w:pStyle w:val="Normal"/>
      </w:pPr>
      <w:r>
        <w:t xml:space="preserve">Benefits arising from time savings are monetized using the </w:t>
      </w:r>
      <w:r>
        <w:rPr>
          <w:b/>
        </w:rPr>
        <w:t xml:space="preserve">opportunity cost of labor</w:t>
      </w:r>
      <w:r>
        <w:t xml:space="preserve">, valued at the fully-loaded hourly wage of the affected personnel class. Where the affected party is a student — whose time has no market wage — the </w:t>
      </w:r>
      <w:r>
        <w:rPr>
          <w:b/>
        </w:rPr>
        <w:t xml:space="preserve">regional statutory minimum wage is applied as a shadow price</w:t>
      </w:r>
      <w:r>
        <w:t xml:space="preserve">, following standard practice in the shadow-pricing of non-market time. This is a deliberately conservative treatment; the sensitivity analysis in §11 additionally reports results with all labor-time benefits excluded entirely, so that the reader may judge the conclusion independently of this valuation choice.</w:t>
      </w:r>
    </w:p>
    <w:p>
      <w:pPr>
        <w:pStyle w:val="Heading3"/>
      </w:pPr>
      <w:r>
        <w:t xml:space="preserve">5.5 Treatment of Development Cost</w:t>
      </w:r>
    </w:p>
    <w:p>
      <w:pPr>
        <w:pStyle w:val="Normal"/>
      </w:pPr>
      <w:r>
        <w:t xml:space="preserve">The system was developed as an academic capstone project, and the institution therefore incurred </w:t>
      </w:r>
      <w:r>
        <w:rPr>
          <w:b/>
        </w:rPr>
        <w:t xml:space="preserve">no cash outlay</w:t>
      </w:r>
      <w:r>
        <w:t xml:space="preserve"> for development labor. Two treatments are possible. Recording development cost as zero would produce a spuriously favorable ROI and would misrepresent the cost of replicating or sustaining the system. This study therefore adopts the </w:t>
      </w:r>
      <w:r>
        <w:rPr>
          <w:b/>
        </w:rPr>
        <w:t xml:space="preserve">shadow-priced (opportunity-cost) treatment</w:t>
      </w:r>
      <w:r>
        <w:t xml:space="preserve">: development labor is valued at prevailing market rates for equivalent professional work, as though the institution had procured it. This treatment is more conservative, more informative for institutional decision-making, and more defensible analytically. It is noted explicitly that ₱185,944 of the Year-0 cost is an </w:t>
      </w:r>
      <w:r>
        <w:rPr>
          <w:b/>
        </w:rPr>
        <w:t xml:space="preserve">imputed, non-cash cost</w:t>
      </w:r>
      <w:r>
        <w:t xml:space="preserve">; the corresponding cash-basis figures are reported in §9.5.</w:t>
      </w:r>
    </w:p>
    <w:p>
      <w:pPr>
        <w:pStyle w:val="BECRule"/>
      </w:pPr>
    </w:p>
    <w:p>
      <w:pPr>
        <w:pStyle w:val="Heading2"/>
      </w:pPr>
      <w:r>
        <w:t xml:space="preserve">6. ASSUMPTIONS AND PARAMETERS</w:t>
      </w:r>
    </w:p>
    <w:p>
      <w:pPr>
        <w:pStyle w:val="Heading3"/>
      </w:pPr>
      <w:r>
        <w:t xml:space="preserve">6.1 Institutional Parameters</w:t>
      </w:r>
    </w:p>
    <w:p>
      <w:pPr>
        <w:pStyle w:val="Normal"/>
      </w:pPr>
      <w:r>
        <w:rPr>
          <w:b/>
        </w:rPr>
        <w:t xml:space="preserve">Table 6.1 — Institutional Baseline Assumptions</w:t>
      </w:r>
    </w:p>
    <w:tbl>
      <w:tblPr>
        <w:tblStyle w:val="BECTable"/>
        <w:tblW w:w="9360" w:type="dxa"/>
        <w:tblLayout w:type="fixed"/>
        <w:tblCellMar>
          <w:top w:w="60" w:type="dxa"/>
          <w:left w:w="90" w:type="dxa"/>
          <w:bottom w:w="60" w:type="dxa"/>
          <w:right w:w="90" w:type="dxa"/>
        </w:tblCellMar>
      </w:tblPr>
      <w:tblGrid>
        <w:gridCol w:w="327"/>
        <w:gridCol w:w="2667"/>
        <w:gridCol w:w="1741"/>
        <w:gridCol w:w="3265"/>
        <w:gridCol w:w="1360"/>
      </w:tblGrid>
      <w:tr>
        <w:trPr>
          <w:tblHeader/>
          <w:cantSplit/>
        </w:trPr>
        <w:tc>
          <w:tcPr>
            <w:tcW w:w="327" w:type="dxa"/>
            <w:shd w:val="clear" w:color="auto" w:fill="7B1D1D"/>
            <w:vAlign w:val="center"/>
          </w:tcPr>
          <w:p>
            <w:pPr>
              <w:pStyle w:val="BECCell"/>
            </w:pPr>
            <w:r>
              <w:rPr>
                <w:b/>
                <w:color w:val="FFFFFF"/>
              </w:rPr>
              <w:t xml:space="preserve">#</w:t>
            </w:r>
          </w:p>
        </w:tc>
        <w:tc>
          <w:tcPr>
            <w:tcW w:w="2667" w:type="dxa"/>
            <w:shd w:val="clear" w:color="auto" w:fill="7B1D1D"/>
            <w:vAlign w:val="center"/>
          </w:tcPr>
          <w:p>
            <w:pPr>
              <w:pStyle w:val="BECCell"/>
            </w:pPr>
            <w:r>
              <w:rPr>
                <w:b/>
                <w:color w:val="FFFFFF"/>
              </w:rPr>
              <w:t xml:space="preserve">Parameter</w:t>
            </w:r>
          </w:p>
        </w:tc>
        <w:tc>
          <w:tcPr>
            <w:tcW w:w="1741" w:type="dxa"/>
            <w:shd w:val="clear" w:color="auto" w:fill="7B1D1D"/>
            <w:vAlign w:val="center"/>
          </w:tcPr>
          <w:p>
            <w:pPr>
              <w:pStyle w:val="BECCell"/>
            </w:pPr>
            <w:r>
              <w:rPr>
                <w:b/>
                <w:color w:val="FFFFFF"/>
              </w:rPr>
              <w:t xml:space="preserve">Value</w:t>
            </w:r>
          </w:p>
        </w:tc>
        <w:tc>
          <w:tcPr>
            <w:tcW w:w="3265" w:type="dxa"/>
            <w:shd w:val="clear" w:color="auto" w:fill="7B1D1D"/>
            <w:vAlign w:val="center"/>
          </w:tcPr>
          <w:p>
            <w:pPr>
              <w:pStyle w:val="BECCell"/>
            </w:pPr>
            <w:r>
              <w:rPr>
                <w:b/>
                <w:color w:val="FFFFFF"/>
              </w:rPr>
              <w:t xml:space="preserve">Basis / Source</w:t>
            </w:r>
          </w:p>
        </w:tc>
        <w:tc>
          <w:tcPr>
            <w:tcW w:w="1360" w:type="dxa"/>
            <w:shd w:val="clear" w:color="auto" w:fill="7B1D1D"/>
            <w:vAlign w:val="center"/>
          </w:tcPr>
          <w:p>
            <w:pPr>
              <w:pStyle w:val="BECCell"/>
            </w:pPr>
            <w:r>
              <w:rPr>
                <w:b/>
                <w:color w:val="FFFFFF"/>
              </w:rPr>
              <w:t xml:space="preserve">Confidence</w:t>
            </w:r>
          </w:p>
        </w:tc>
      </w:tr>
      <w:tr>
        <w:trPr>
          <w:cantSplit/>
        </w:trPr>
        <w:tc>
          <w:tcPr>
            <w:tcW w:w="327" w:type="dxa"/>
            <w:vAlign w:val="center"/>
          </w:tcPr>
          <w:p>
            <w:pPr>
              <w:pStyle w:val="BECCell"/>
            </w:pPr>
            <w:r>
              <w:t xml:space="preserve">A1</w:t>
            </w:r>
          </w:p>
        </w:tc>
        <w:tc>
          <w:tcPr>
            <w:tcW w:w="2667" w:type="dxa"/>
            <w:vAlign w:val="center"/>
          </w:tcPr>
          <w:p>
            <w:pPr>
              <w:pStyle w:val="BECCell"/>
            </w:pPr>
            <w:r>
              <w:t xml:space="preserve">Registered campus population</w:t>
            </w:r>
          </w:p>
        </w:tc>
        <w:tc>
          <w:tcPr>
            <w:tcW w:w="1741" w:type="dxa"/>
            <w:vAlign w:val="center"/>
          </w:tcPr>
          <w:p>
            <w:pPr>
              <w:pStyle w:val="BECCell"/>
            </w:pPr>
            <w:r>
              <w:t xml:space="preserve">5,000 users</w:t>
            </w:r>
          </w:p>
        </w:tc>
        <w:tc>
          <w:tcPr>
            <w:tcW w:w="3265" w:type="dxa"/>
            <w:vAlign w:val="center"/>
          </w:tcPr>
          <w:p>
            <w:pPr>
              <w:pStyle w:val="BECCell"/>
            </w:pPr>
            <w:r>
              <w:t xml:space="preserve">Institutional enrollment and personnel complement</w:t>
            </w:r>
          </w:p>
        </w:tc>
        <w:tc>
          <w:tcPr>
            <w:tcW w:w="1360" w:type="dxa"/>
            <w:vAlign w:val="center"/>
          </w:tcPr>
          <w:p>
            <w:pPr>
              <w:pStyle w:val="BECCell"/>
            </w:pPr>
            <w:r>
              <w:t xml:space="preserve">Medium</w:t>
            </w:r>
          </w:p>
        </w:tc>
      </w:tr>
      <w:tr>
        <w:trPr>
          <w:cantSplit/>
        </w:trPr>
        <w:tc>
          <w:tcPr>
            <w:tcW w:w="327" w:type="dxa"/>
            <w:shd w:val="clear" w:color="auto" w:fill="F4F1EA"/>
            <w:vAlign w:val="center"/>
          </w:tcPr>
          <w:p>
            <w:pPr>
              <w:pStyle w:val="BECCell"/>
            </w:pPr>
            <w:r>
              <w:t xml:space="preserve">A2</w:t>
            </w:r>
          </w:p>
        </w:tc>
        <w:tc>
          <w:tcPr>
            <w:tcW w:w="2667" w:type="dxa"/>
            <w:shd w:val="clear" w:color="auto" w:fill="F4F1EA"/>
            <w:vAlign w:val="center"/>
          </w:tcPr>
          <w:p>
            <w:pPr>
              <w:pStyle w:val="BECCell"/>
            </w:pPr>
            <w:r>
              <w:t xml:space="preserve">Annual defect report volume</w:t>
            </w:r>
          </w:p>
        </w:tc>
        <w:tc>
          <w:tcPr>
            <w:tcW w:w="1741" w:type="dxa"/>
            <w:shd w:val="clear" w:color="auto" w:fill="F4F1EA"/>
            <w:vAlign w:val="center"/>
          </w:tcPr>
          <w:p>
            <w:pPr>
              <w:pStyle w:val="BECCell"/>
            </w:pPr>
            <w:r>
              <w:t xml:space="preserve">1,200 reports/yr (100/month)</w:t>
            </w:r>
          </w:p>
        </w:tc>
        <w:tc>
          <w:tcPr>
            <w:tcW w:w="3265" w:type="dxa"/>
            <w:shd w:val="clear" w:color="auto" w:fill="F4F1EA"/>
            <w:vAlign w:val="center"/>
          </w:tcPr>
          <w:p>
            <w:pPr>
              <w:pStyle w:val="BECCell"/>
            </w:pPr>
            <w:r>
              <w:t xml:space="preserve">Estimated; within system's tested comfortable operating range (≤2,000)</w:t>
            </w:r>
          </w:p>
        </w:tc>
        <w:tc>
          <w:tcPr>
            <w:tcW w:w="1360" w:type="dxa"/>
            <w:shd w:val="clear" w:color="auto" w:fill="F4F1EA"/>
            <w:vAlign w:val="center"/>
          </w:tcPr>
          <w:p>
            <w:pPr>
              <w:pStyle w:val="BECCell"/>
            </w:pPr>
            <w:r>
              <w:rPr>
                <w:b/>
              </w:rPr>
              <w:t xml:space="preserve">Low — requires validation</w:t>
            </w:r>
          </w:p>
        </w:tc>
      </w:tr>
      <w:tr>
        <w:trPr>
          <w:cantSplit/>
        </w:trPr>
        <w:tc>
          <w:tcPr>
            <w:tcW w:w="327" w:type="dxa"/>
            <w:vAlign w:val="center"/>
          </w:tcPr>
          <w:p>
            <w:pPr>
              <w:pStyle w:val="BECCell"/>
            </w:pPr>
            <w:r>
              <w:t xml:space="preserve">A3</w:t>
            </w:r>
          </w:p>
        </w:tc>
        <w:tc>
          <w:tcPr>
            <w:tcW w:w="2667" w:type="dxa"/>
            <w:vAlign w:val="center"/>
          </w:tcPr>
          <w:p>
            <w:pPr>
              <w:pStyle w:val="BECCell"/>
            </w:pPr>
            <w:r>
              <w:t xml:space="preserve">PMO personnel complement</w:t>
            </w:r>
          </w:p>
        </w:tc>
        <w:tc>
          <w:tcPr>
            <w:tcW w:w="1741" w:type="dxa"/>
            <w:vAlign w:val="center"/>
          </w:tcPr>
          <w:p>
            <w:pPr>
              <w:pStyle w:val="BECCell"/>
            </w:pPr>
            <w:r>
              <w:t xml:space="preserve">2 administrative + 3 technicians</w:t>
            </w:r>
          </w:p>
        </w:tc>
        <w:tc>
          <w:tcPr>
            <w:tcW w:w="3265" w:type="dxa"/>
            <w:vAlign w:val="center"/>
          </w:tcPr>
          <w:p>
            <w:pPr>
              <w:pStyle w:val="BECCell"/>
            </w:pPr>
            <w:r>
              <w:t xml:space="preserve">Institutional structure</w:t>
            </w:r>
          </w:p>
        </w:tc>
        <w:tc>
          <w:tcPr>
            <w:tcW w:w="1360" w:type="dxa"/>
            <w:vAlign w:val="center"/>
          </w:tcPr>
          <w:p>
            <w:pPr>
              <w:pStyle w:val="BECCell"/>
            </w:pPr>
            <w:r>
              <w:t xml:space="preserve">Medium</w:t>
            </w:r>
          </w:p>
        </w:tc>
      </w:tr>
      <w:tr>
        <w:trPr>
          <w:cantSplit/>
        </w:trPr>
        <w:tc>
          <w:tcPr>
            <w:tcW w:w="327" w:type="dxa"/>
            <w:shd w:val="clear" w:color="auto" w:fill="F4F1EA"/>
            <w:vAlign w:val="center"/>
          </w:tcPr>
          <w:p>
            <w:pPr>
              <w:pStyle w:val="BECCell"/>
            </w:pPr>
            <w:r>
              <w:t xml:space="preserve">A4</w:t>
            </w:r>
          </w:p>
        </w:tc>
        <w:tc>
          <w:tcPr>
            <w:tcW w:w="2667" w:type="dxa"/>
            <w:shd w:val="clear" w:color="auto" w:fill="F4F1EA"/>
            <w:vAlign w:val="center"/>
          </w:tcPr>
          <w:p>
            <w:pPr>
              <w:pStyle w:val="BECCell"/>
            </w:pPr>
            <w:r>
              <w:t xml:space="preserve">Annual equipment repair &amp; replacement expenditure</w:t>
            </w:r>
          </w:p>
        </w:tc>
        <w:tc>
          <w:tcPr>
            <w:tcW w:w="1741" w:type="dxa"/>
            <w:shd w:val="clear" w:color="auto" w:fill="F4F1EA"/>
            <w:vAlign w:val="center"/>
          </w:tcPr>
          <w:p>
            <w:pPr>
              <w:pStyle w:val="BECCell"/>
            </w:pPr>
            <w:r>
              <w:t xml:space="preserve">₱1,200,000</w:t>
            </w:r>
          </w:p>
        </w:tc>
        <w:tc>
          <w:tcPr>
            <w:tcW w:w="3265" w:type="dxa"/>
            <w:shd w:val="clear" w:color="auto" w:fill="F4F1EA"/>
            <w:vAlign w:val="center"/>
          </w:tcPr>
          <w:p>
            <w:pPr>
              <w:pStyle w:val="BECCell"/>
            </w:pPr>
            <w:r>
              <w:t xml:space="preserve">Estimated from institutional scale</w:t>
            </w:r>
          </w:p>
        </w:tc>
        <w:tc>
          <w:tcPr>
            <w:tcW w:w="1360" w:type="dxa"/>
            <w:shd w:val="clear" w:color="auto" w:fill="F4F1EA"/>
            <w:vAlign w:val="center"/>
          </w:tcPr>
          <w:p>
            <w:pPr>
              <w:pStyle w:val="BECCell"/>
            </w:pPr>
            <w:r>
              <w:rPr>
                <w:b/>
              </w:rPr>
              <w:t xml:space="preserve">Low — requires validation</w:t>
            </w:r>
          </w:p>
        </w:tc>
      </w:tr>
      <w:tr>
        <w:trPr>
          <w:cantSplit/>
        </w:trPr>
        <w:tc>
          <w:tcPr>
            <w:tcW w:w="327" w:type="dxa"/>
            <w:vAlign w:val="center"/>
          </w:tcPr>
          <w:p>
            <w:pPr>
              <w:pStyle w:val="BECCell"/>
            </w:pPr>
            <w:r>
              <w:t xml:space="preserve">A5</w:t>
            </w:r>
          </w:p>
        </w:tc>
        <w:tc>
          <w:tcPr>
            <w:tcW w:w="2667" w:type="dxa"/>
            <w:vAlign w:val="center"/>
          </w:tcPr>
          <w:p>
            <w:pPr>
              <w:pStyle w:val="BECCell"/>
            </w:pPr>
            <w:r>
              <w:t xml:space="preserve">System useful life / evaluation horizon</w:t>
            </w:r>
          </w:p>
        </w:tc>
        <w:tc>
          <w:tcPr>
            <w:tcW w:w="1741" w:type="dxa"/>
            <w:vAlign w:val="center"/>
          </w:tcPr>
          <w:p>
            <w:pPr>
              <w:pStyle w:val="BECCell"/>
            </w:pPr>
            <w:r>
              <w:t xml:space="preserve">5 years</w:t>
            </w:r>
          </w:p>
        </w:tc>
        <w:tc>
          <w:tcPr>
            <w:tcW w:w="3265" w:type="dxa"/>
            <w:vAlign w:val="center"/>
          </w:tcPr>
          <w:p>
            <w:pPr>
              <w:pStyle w:val="BECCell"/>
            </w:pPr>
            <w:r>
              <w:t xml:space="preserve">Standard for institutional web applications</w:t>
            </w:r>
          </w:p>
        </w:tc>
        <w:tc>
          <w:tcPr>
            <w:tcW w:w="1360" w:type="dxa"/>
            <w:vAlign w:val="center"/>
          </w:tcPr>
          <w:p>
            <w:pPr>
              <w:pStyle w:val="BECCell"/>
            </w:pPr>
            <w:r>
              <w:t xml:space="preserve">High</w:t>
            </w:r>
          </w:p>
        </w:tc>
      </w:tr>
    </w:tbl>
    <w:p>
      <w:pPr>
        <w:spacing w:after="0" w:line="120" w:lineRule="exact"/>
      </w:pPr>
    </w:p>
    <w:p>
      <w:pPr>
        <w:pStyle w:val="Heading3"/>
      </w:pPr>
      <w:r>
        <w:t xml:space="preserve">6.2 Labor Rate Parameters</w:t>
      </w:r>
    </w:p>
    <w:p>
      <w:pPr>
        <w:pStyle w:val="Normal"/>
      </w:pPr>
      <w:r>
        <w:t xml:space="preserve">Hourly rates are derived on a 22-working-day month at 8 hours per day (176 hours/month).</w:t>
      </w:r>
    </w:p>
    <w:p>
      <w:pPr>
        <w:pStyle w:val="Normal"/>
      </w:pPr>
      <w:r>
        <w:rPr>
          <w:b/>
        </w:rPr>
        <w:t xml:space="preserve">Table 6.2 — Labor Rate Assumptions</w:t>
      </w:r>
    </w:p>
    <w:tbl>
      <w:tblPr>
        <w:tblStyle w:val="BECTable"/>
        <w:tblW w:w="9360" w:type="dxa"/>
        <w:tblLayout w:type="fixed"/>
        <w:tblCellMar>
          <w:top w:w="60" w:type="dxa"/>
          <w:left w:w="90" w:type="dxa"/>
          <w:bottom w:w="60" w:type="dxa"/>
          <w:right w:w="90" w:type="dxa"/>
        </w:tblCellMar>
      </w:tblPr>
      <w:tblGrid>
        <w:gridCol w:w="374"/>
        <w:gridCol w:w="3744"/>
        <w:gridCol w:w="811"/>
        <w:gridCol w:w="686"/>
        <w:gridCol w:w="3745"/>
      </w:tblGrid>
      <w:tr>
        <w:trPr>
          <w:tblHeader/>
          <w:cantSplit/>
        </w:trPr>
        <w:tc>
          <w:tcPr>
            <w:tcW w:w="374" w:type="dxa"/>
            <w:shd w:val="clear" w:color="auto" w:fill="7B1D1D"/>
            <w:vAlign w:val="center"/>
          </w:tcPr>
          <w:p>
            <w:pPr>
              <w:pStyle w:val="BECCell"/>
            </w:pPr>
            <w:r>
              <w:rPr>
                <w:b/>
                <w:color w:val="FFFFFF"/>
              </w:rPr>
              <w:t xml:space="preserve">#</w:t>
            </w:r>
          </w:p>
        </w:tc>
        <w:tc>
          <w:tcPr>
            <w:tcW w:w="3744" w:type="dxa"/>
            <w:shd w:val="clear" w:color="auto" w:fill="7B1D1D"/>
            <w:vAlign w:val="center"/>
          </w:tcPr>
          <w:p>
            <w:pPr>
              <w:pStyle w:val="BECCell"/>
            </w:pPr>
            <w:r>
              <w:rPr>
                <w:b/>
                <w:color w:val="FFFFFF"/>
              </w:rPr>
              <w:t xml:space="preserve">Personnel class</w:t>
            </w:r>
          </w:p>
        </w:tc>
        <w:tc>
          <w:tcPr>
            <w:tcW w:w="811" w:type="dxa"/>
            <w:shd w:val="clear" w:color="auto" w:fill="7B1D1D"/>
            <w:vAlign w:val="center"/>
          </w:tcPr>
          <w:p>
            <w:pPr>
              <w:pStyle w:val="BECCell"/>
            </w:pPr>
            <w:r>
              <w:rPr>
                <w:b/>
                <w:color w:val="FFFFFF"/>
              </w:rPr>
              <w:t xml:space="preserve">Monthly basis</w:t>
            </w:r>
          </w:p>
        </w:tc>
        <w:tc>
          <w:tcPr>
            <w:tcW w:w="686" w:type="dxa"/>
            <w:shd w:val="clear" w:color="auto" w:fill="7B1D1D"/>
            <w:vAlign w:val="center"/>
          </w:tcPr>
          <w:p>
            <w:pPr>
              <w:pStyle w:val="BECCell"/>
            </w:pPr>
            <w:r>
              <w:rPr>
                <w:b/>
                <w:color w:val="FFFFFF"/>
              </w:rPr>
              <w:t xml:space="preserve">Hourly rate</w:t>
            </w:r>
          </w:p>
        </w:tc>
        <w:tc>
          <w:tcPr>
            <w:tcW w:w="3745" w:type="dxa"/>
            <w:shd w:val="clear" w:color="auto" w:fill="7B1D1D"/>
            <w:vAlign w:val="center"/>
          </w:tcPr>
          <w:p>
            <w:pPr>
              <w:pStyle w:val="BECCell"/>
            </w:pPr>
            <w:r>
              <w:rPr>
                <w:b/>
                <w:color w:val="FFFFFF"/>
              </w:rPr>
              <w:t xml:space="preserve">Source</w:t>
            </w:r>
          </w:p>
        </w:tc>
      </w:tr>
      <w:tr>
        <w:trPr>
          <w:cantSplit/>
        </w:trPr>
        <w:tc>
          <w:tcPr>
            <w:tcW w:w="374" w:type="dxa"/>
            <w:vAlign w:val="center"/>
          </w:tcPr>
          <w:p>
            <w:pPr>
              <w:pStyle w:val="BECCell"/>
            </w:pPr>
            <w:r>
              <w:t xml:space="preserve">L1</w:t>
            </w:r>
          </w:p>
        </w:tc>
        <w:tc>
          <w:tcPr>
            <w:tcW w:w="3744" w:type="dxa"/>
            <w:vAlign w:val="center"/>
          </w:tcPr>
          <w:p>
            <w:pPr>
              <w:pStyle w:val="BECCell"/>
            </w:pPr>
            <w:r>
              <w:t xml:space="preserve">Reporter (blended student/faculty/staff)</w:t>
            </w:r>
          </w:p>
        </w:tc>
        <w:tc>
          <w:tcPr>
            <w:tcW w:w="811" w:type="dxa"/>
            <w:vAlign w:val="center"/>
          </w:tcPr>
          <w:p>
            <w:pPr>
              <w:pStyle w:val="BECCell"/>
            </w:pPr>
            <w:r>
              <w:t xml:space="preserve">—</w:t>
            </w:r>
          </w:p>
        </w:tc>
        <w:tc>
          <w:tcPr>
            <w:tcW w:w="686" w:type="dxa"/>
            <w:vAlign w:val="center"/>
          </w:tcPr>
          <w:p>
            <w:pPr>
              <w:pStyle w:val="BECCell"/>
            </w:pPr>
            <w:r>
              <w:rPr>
                <w:b/>
              </w:rPr>
              <w:t xml:space="preserve">₱100/hr</w:t>
            </w:r>
          </w:p>
        </w:tc>
        <w:tc>
          <w:tcPr>
            <w:tcW w:w="3745" w:type="dxa"/>
            <w:vAlign w:val="center"/>
          </w:tcPr>
          <w:p>
            <w:pPr>
              <w:pStyle w:val="BECCell"/>
            </w:pPr>
            <w:r>
              <w:t xml:space="preserve">Shadow price; between the CALABARZON minimum wage (₱600/day ÷ 8 = ₱75/hr) and staff rates (NWPC, 2026)</w:t>
            </w:r>
          </w:p>
        </w:tc>
      </w:tr>
      <w:tr>
        <w:trPr>
          <w:cantSplit/>
        </w:trPr>
        <w:tc>
          <w:tcPr>
            <w:tcW w:w="374" w:type="dxa"/>
            <w:shd w:val="clear" w:color="auto" w:fill="F4F1EA"/>
            <w:vAlign w:val="center"/>
          </w:tcPr>
          <w:p>
            <w:pPr>
              <w:pStyle w:val="BECCell"/>
            </w:pPr>
            <w:r>
              <w:t xml:space="preserve">L2</w:t>
            </w:r>
          </w:p>
        </w:tc>
        <w:tc>
          <w:tcPr>
            <w:tcW w:w="3744" w:type="dxa"/>
            <w:shd w:val="clear" w:color="auto" w:fill="F4F1EA"/>
            <w:vAlign w:val="center"/>
          </w:tcPr>
          <w:p>
            <w:pPr>
              <w:pStyle w:val="BECCell"/>
            </w:pPr>
            <w:r>
              <w:t xml:space="preserve">PMO administrative staff</w:t>
            </w:r>
          </w:p>
        </w:tc>
        <w:tc>
          <w:tcPr>
            <w:tcW w:w="811" w:type="dxa"/>
            <w:shd w:val="clear" w:color="auto" w:fill="F4F1EA"/>
            <w:vAlign w:val="center"/>
          </w:tcPr>
          <w:p>
            <w:pPr>
              <w:pStyle w:val="BECCell"/>
            </w:pPr>
            <w:r>
              <w:t xml:space="preserve">₱20,240</w:t>
            </w:r>
          </w:p>
        </w:tc>
        <w:tc>
          <w:tcPr>
            <w:tcW w:w="686" w:type="dxa"/>
            <w:shd w:val="clear" w:color="auto" w:fill="F4F1EA"/>
            <w:vAlign w:val="center"/>
          </w:tcPr>
          <w:p>
            <w:pPr>
              <w:pStyle w:val="BECCell"/>
            </w:pPr>
            <w:r>
              <w:rPr>
                <w:b/>
              </w:rPr>
              <w:t xml:space="preserve">₱115/hr</w:t>
            </w:r>
          </w:p>
        </w:tc>
        <w:tc>
          <w:tcPr>
            <w:tcW w:w="3745" w:type="dxa"/>
            <w:shd w:val="clear" w:color="auto" w:fill="F4F1EA"/>
            <w:vAlign w:val="center"/>
          </w:tcPr>
          <w:p>
            <w:pPr>
              <w:pStyle w:val="BECCell"/>
            </w:pPr>
            <w:r>
              <w:t xml:space="preserve">Philippine administrative-officer benchmarks, private-institution adjusted (ERI SalaryExpert, 2026)</w:t>
            </w:r>
          </w:p>
        </w:tc>
      </w:tr>
      <w:tr>
        <w:trPr>
          <w:cantSplit/>
        </w:trPr>
        <w:tc>
          <w:tcPr>
            <w:tcW w:w="374" w:type="dxa"/>
            <w:vAlign w:val="center"/>
          </w:tcPr>
          <w:p>
            <w:pPr>
              <w:pStyle w:val="BECCell"/>
            </w:pPr>
            <w:r>
              <w:t xml:space="preserve">L3</w:t>
            </w:r>
          </w:p>
        </w:tc>
        <w:tc>
          <w:tcPr>
            <w:tcW w:w="3744" w:type="dxa"/>
            <w:vAlign w:val="center"/>
          </w:tcPr>
          <w:p>
            <w:pPr>
              <w:pStyle w:val="BECCell"/>
            </w:pPr>
            <w:r>
              <w:t xml:space="preserve">Maintenance technician</w:t>
            </w:r>
          </w:p>
        </w:tc>
        <w:tc>
          <w:tcPr>
            <w:tcW w:w="811" w:type="dxa"/>
            <w:vAlign w:val="center"/>
          </w:tcPr>
          <w:p>
            <w:pPr>
              <w:pStyle w:val="BECCell"/>
            </w:pPr>
            <w:r>
              <w:t xml:space="preserve">₱15,840</w:t>
            </w:r>
          </w:p>
        </w:tc>
        <w:tc>
          <w:tcPr>
            <w:tcW w:w="686" w:type="dxa"/>
            <w:vAlign w:val="center"/>
          </w:tcPr>
          <w:p>
            <w:pPr>
              <w:pStyle w:val="BECCell"/>
            </w:pPr>
            <w:r>
              <w:rPr>
                <w:b/>
              </w:rPr>
              <w:t xml:space="preserve">₱90/hr</w:t>
            </w:r>
          </w:p>
        </w:tc>
        <w:tc>
          <w:tcPr>
            <w:tcW w:w="3745" w:type="dxa"/>
            <w:vAlign w:val="center"/>
          </w:tcPr>
          <w:p>
            <w:pPr>
              <w:pStyle w:val="BECCell"/>
            </w:pPr>
            <w:r>
              <w:t xml:space="preserve">CALABARZON non-agricultural minimum wage plus mandated benefits (NWPC, 2026)</w:t>
            </w:r>
          </w:p>
        </w:tc>
      </w:tr>
      <w:tr>
        <w:trPr>
          <w:cantSplit/>
        </w:trPr>
        <w:tc>
          <w:tcPr>
            <w:tcW w:w="374" w:type="dxa"/>
            <w:shd w:val="clear" w:color="auto" w:fill="F4F1EA"/>
            <w:vAlign w:val="center"/>
          </w:tcPr>
          <w:p>
            <w:pPr>
              <w:pStyle w:val="BECCell"/>
            </w:pPr>
            <w:r>
              <w:t xml:space="preserve">L4</w:t>
            </w:r>
          </w:p>
        </w:tc>
        <w:tc>
          <w:tcPr>
            <w:tcW w:w="3744" w:type="dxa"/>
            <w:shd w:val="clear" w:color="auto" w:fill="F4F1EA"/>
            <w:vAlign w:val="center"/>
          </w:tcPr>
          <w:p>
            <w:pPr>
              <w:pStyle w:val="BECCell"/>
            </w:pPr>
            <w:r>
              <w:t xml:space="preserve">Web developer (for imputed development and maintenance labor)</w:t>
            </w:r>
          </w:p>
        </w:tc>
        <w:tc>
          <w:tcPr>
            <w:tcW w:w="811" w:type="dxa"/>
            <w:shd w:val="clear" w:color="auto" w:fill="F4F1EA"/>
            <w:vAlign w:val="center"/>
          </w:tcPr>
          <w:p>
            <w:pPr>
              <w:pStyle w:val="BECCell"/>
            </w:pPr>
            <w:r>
              <w:t xml:space="preserve">₱29,920</w:t>
            </w:r>
          </w:p>
        </w:tc>
        <w:tc>
          <w:tcPr>
            <w:tcW w:w="686" w:type="dxa"/>
            <w:shd w:val="clear" w:color="auto" w:fill="F4F1EA"/>
            <w:vAlign w:val="center"/>
          </w:tcPr>
          <w:p>
            <w:pPr>
              <w:pStyle w:val="BECCell"/>
            </w:pPr>
            <w:r>
              <w:rPr>
                <w:b/>
              </w:rPr>
              <w:t xml:space="preserve">₱170/hr</w:t>
            </w:r>
          </w:p>
        </w:tc>
        <w:tc>
          <w:tcPr>
            <w:tcW w:w="3745" w:type="dxa"/>
            <w:shd w:val="clear" w:color="auto" w:fill="F4F1EA"/>
            <w:vAlign w:val="center"/>
          </w:tcPr>
          <w:p>
            <w:pPr>
              <w:pStyle w:val="BECCell"/>
            </w:pPr>
            <w:r>
              <w:t xml:space="preserve">Philippine junior/mid web-developer market rate, ₱27,000–43,000/month (Indeed, 2026; Jobstreet, 2026)</w:t>
            </w:r>
          </w:p>
        </w:tc>
      </w:tr>
    </w:tbl>
    <w:p>
      <w:pPr>
        <w:spacing w:after="0" w:line="120" w:lineRule="exact"/>
      </w:pPr>
    </w:p>
    <w:p>
      <w:pPr>
        <w:pStyle w:val="Normal"/>
      </w:pPr>
      <w:r>
        <w:rPr>
          <w:b/>
        </w:rPr>
        <w:t xml:space="preserve">Note on L1.</w:t>
      </w:r>
      <w:r>
        <w:t xml:space="preserve"> Wage Order No. IVA-22 sets the CALABARZON non-agricultural daily minimum wage at up to ₱600 effective 01 April 2026, varying by locality tier (NWPC, 2026). The ₱75/hr floor derived from this rate is applied as the shadow price for student time; the ₱100/hr blended figure reflects the mixed composition of the reporter population.</w:t>
      </w:r>
    </w:p>
    <w:p>
      <w:pPr>
        <w:pStyle w:val="Heading3"/>
      </w:pPr>
      <w:r>
        <w:t xml:space="preserve">6.3 Technical and Pricing Parameters</w:t>
      </w:r>
    </w:p>
    <w:p>
      <w:pPr>
        <w:pStyle w:val="Normal"/>
      </w:pPr>
      <w:r>
        <w:rPr>
          <w:b/>
        </w:rPr>
        <w:t xml:space="preserve">Table 6.3 — Technical Service Cost Assumptions</w:t>
      </w:r>
    </w:p>
    <w:tbl>
      <w:tblPr>
        <w:tblStyle w:val="BECTable"/>
        <w:tblW w:w="9360" w:type="dxa"/>
        <w:tblLayout w:type="fixed"/>
        <w:tblCellMar>
          <w:top w:w="60" w:type="dxa"/>
          <w:left w:w="90" w:type="dxa"/>
          <w:bottom w:w="60" w:type="dxa"/>
          <w:right w:w="90" w:type="dxa"/>
        </w:tblCellMar>
      </w:tblPr>
      <w:tblGrid>
        <w:gridCol w:w="355"/>
        <w:gridCol w:w="2666"/>
        <w:gridCol w:w="3140"/>
        <w:gridCol w:w="3199"/>
      </w:tblGrid>
      <w:tr>
        <w:trPr>
          <w:tblHeader/>
          <w:cantSplit/>
        </w:trPr>
        <w:tc>
          <w:tcPr>
            <w:tcW w:w="355" w:type="dxa"/>
            <w:shd w:val="clear" w:color="auto" w:fill="7B1D1D"/>
            <w:vAlign w:val="center"/>
          </w:tcPr>
          <w:p>
            <w:pPr>
              <w:pStyle w:val="BECCell"/>
            </w:pPr>
            <w:r>
              <w:rPr>
                <w:b/>
                <w:color w:val="FFFFFF"/>
              </w:rPr>
              <w:t xml:space="preserve">#</w:t>
            </w:r>
          </w:p>
        </w:tc>
        <w:tc>
          <w:tcPr>
            <w:tcW w:w="2666" w:type="dxa"/>
            <w:shd w:val="clear" w:color="auto" w:fill="7B1D1D"/>
            <w:vAlign w:val="center"/>
          </w:tcPr>
          <w:p>
            <w:pPr>
              <w:pStyle w:val="BECCell"/>
            </w:pPr>
            <w:r>
              <w:rPr>
                <w:b/>
                <w:color w:val="FFFFFF"/>
              </w:rPr>
              <w:t xml:space="preserve">Parameter</w:t>
            </w:r>
          </w:p>
        </w:tc>
        <w:tc>
          <w:tcPr>
            <w:tcW w:w="3140" w:type="dxa"/>
            <w:shd w:val="clear" w:color="auto" w:fill="7B1D1D"/>
            <w:vAlign w:val="center"/>
          </w:tcPr>
          <w:p>
            <w:pPr>
              <w:pStyle w:val="BECCell"/>
            </w:pPr>
            <w:r>
              <w:rPr>
                <w:b/>
                <w:color w:val="FFFFFF"/>
              </w:rPr>
              <w:t xml:space="preserve">Value</w:t>
            </w:r>
          </w:p>
        </w:tc>
        <w:tc>
          <w:tcPr>
            <w:tcW w:w="3199" w:type="dxa"/>
            <w:shd w:val="clear" w:color="auto" w:fill="7B1D1D"/>
            <w:vAlign w:val="center"/>
          </w:tcPr>
          <w:p>
            <w:pPr>
              <w:pStyle w:val="BECCell"/>
            </w:pPr>
            <w:r>
              <w:rPr>
                <w:b/>
                <w:color w:val="FFFFFF"/>
              </w:rPr>
              <w:t xml:space="preserve">Source</w:t>
            </w:r>
          </w:p>
        </w:tc>
      </w:tr>
      <w:tr>
        <w:trPr>
          <w:cantSplit/>
        </w:trPr>
        <w:tc>
          <w:tcPr>
            <w:tcW w:w="355" w:type="dxa"/>
            <w:vAlign w:val="center"/>
          </w:tcPr>
          <w:p>
            <w:pPr>
              <w:pStyle w:val="BECCell"/>
            </w:pPr>
            <w:r>
              <w:t xml:space="preserve">T1</w:t>
            </w:r>
          </w:p>
        </w:tc>
        <w:tc>
          <w:tcPr>
            <w:tcW w:w="2666" w:type="dxa"/>
            <w:vAlign w:val="center"/>
          </w:tcPr>
          <w:p>
            <w:pPr>
              <w:pStyle w:val="BECCell"/>
            </w:pPr>
            <w:r>
              <w:t xml:space="preserve">Supabase PostgreSQL, Pro plan</w:t>
            </w:r>
          </w:p>
        </w:tc>
        <w:tc>
          <w:tcPr>
            <w:tcW w:w="3140" w:type="dxa"/>
            <w:vAlign w:val="center"/>
          </w:tcPr>
          <w:p>
            <w:pPr>
              <w:pStyle w:val="BECCell"/>
            </w:pPr>
            <w:r>
              <w:t xml:space="preserve">US25/month = US300/yr</w:t>
            </w:r>
          </w:p>
        </w:tc>
        <w:tc>
          <w:tcPr>
            <w:tcW w:w="3199" w:type="dxa"/>
            <w:vAlign w:val="center"/>
          </w:tcPr>
          <w:p>
            <w:pPr>
              <w:pStyle w:val="BECCell"/>
            </w:pPr>
            <w:r>
              <w:t xml:space="preserve">Supabase published pricing, 2026</w:t>
            </w:r>
          </w:p>
        </w:tc>
      </w:tr>
      <w:tr>
        <w:trPr>
          <w:cantSplit/>
        </w:trPr>
        <w:tc>
          <w:tcPr>
            <w:tcW w:w="355" w:type="dxa"/>
            <w:shd w:val="clear" w:color="auto" w:fill="F4F1EA"/>
            <w:vAlign w:val="center"/>
          </w:tcPr>
          <w:p>
            <w:pPr>
              <w:pStyle w:val="BECCell"/>
            </w:pPr>
            <w:r>
              <w:t xml:space="preserve">T2</w:t>
            </w:r>
          </w:p>
        </w:tc>
        <w:tc>
          <w:tcPr>
            <w:tcW w:w="2666" w:type="dxa"/>
            <w:shd w:val="clear" w:color="auto" w:fill="F4F1EA"/>
            <w:vAlign w:val="center"/>
          </w:tcPr>
          <w:p>
            <w:pPr>
              <w:pStyle w:val="BECCell"/>
            </w:pPr>
            <w:r>
              <w:t xml:space="preserve">Application hosting (VPS with </w:t>
            </w:r>
            <w:r>
              <w:rPr>
                <w:rFonts w:ascii="Consolas" w:hAnsi="Consolas" w:cs="Consolas"/>
                <w:sz w:val="18"/>
                <w:szCs w:val="18"/>
                <w:shd w:val="clear" w:color="auto" w:fill="F0EDE6"/>
              </w:rPr>
              <w:t xml:space="preserve">pdo_pgsql</w:t>
            </w:r>
            <w:r>
              <w:t xml:space="preserve">)</w:t>
            </w:r>
          </w:p>
        </w:tc>
        <w:tc>
          <w:tcPr>
            <w:tcW w:w="3140" w:type="dxa"/>
            <w:shd w:val="clear" w:color="auto" w:fill="F4F1EA"/>
            <w:vAlign w:val="center"/>
          </w:tcPr>
          <w:p>
            <w:pPr>
              <w:pStyle w:val="BECCell"/>
            </w:pPr>
            <w:r>
              <w:t xml:space="preserve">US6/month = US72/yr</w:t>
            </w:r>
          </w:p>
        </w:tc>
        <w:tc>
          <w:tcPr>
            <w:tcW w:w="3199" w:type="dxa"/>
            <w:shd w:val="clear" w:color="auto" w:fill="F4F1EA"/>
            <w:vAlign w:val="center"/>
          </w:tcPr>
          <w:p>
            <w:pPr>
              <w:pStyle w:val="BECCell"/>
            </w:pPr>
            <w:r>
              <w:t xml:space="preserve">Market rate for entry-tier VPS</w:t>
            </w:r>
          </w:p>
        </w:tc>
      </w:tr>
      <w:tr>
        <w:trPr>
          <w:cantSplit/>
        </w:trPr>
        <w:tc>
          <w:tcPr>
            <w:tcW w:w="355" w:type="dxa"/>
            <w:vAlign w:val="center"/>
          </w:tcPr>
          <w:p>
            <w:pPr>
              <w:pStyle w:val="BECCell"/>
            </w:pPr>
            <w:r>
              <w:t xml:space="preserve">T3</w:t>
            </w:r>
          </w:p>
        </w:tc>
        <w:tc>
          <w:tcPr>
            <w:tcW w:w="2666" w:type="dxa"/>
            <w:vAlign w:val="center"/>
          </w:tcPr>
          <w:p>
            <w:pPr>
              <w:pStyle w:val="BECCell"/>
            </w:pPr>
            <w:r>
              <w:t xml:space="preserve">Domain registration</w:t>
            </w:r>
          </w:p>
        </w:tc>
        <w:tc>
          <w:tcPr>
            <w:tcW w:w="3140" w:type="dxa"/>
            <w:vAlign w:val="center"/>
          </w:tcPr>
          <w:p>
            <w:pPr>
              <w:pStyle w:val="BECCell"/>
            </w:pPr>
            <w:r>
              <w:t xml:space="preserve">₱900/yr</w:t>
            </w:r>
          </w:p>
        </w:tc>
        <w:tc>
          <w:tcPr>
            <w:tcW w:w="3199" w:type="dxa"/>
            <w:vAlign w:val="center"/>
          </w:tcPr>
          <w:p>
            <w:pPr>
              <w:pStyle w:val="BECCell"/>
            </w:pPr>
            <w:r>
              <w:t xml:space="preserve">Philippine registrar market rate</w:t>
            </w:r>
          </w:p>
        </w:tc>
      </w:tr>
      <w:tr>
        <w:trPr>
          <w:cantSplit/>
        </w:trPr>
        <w:tc>
          <w:tcPr>
            <w:tcW w:w="355" w:type="dxa"/>
            <w:shd w:val="clear" w:color="auto" w:fill="F4F1EA"/>
            <w:vAlign w:val="center"/>
          </w:tcPr>
          <w:p>
            <w:pPr>
              <w:pStyle w:val="BECCell"/>
            </w:pPr>
            <w:r>
              <w:t xml:space="preserve">T4</w:t>
            </w:r>
          </w:p>
        </w:tc>
        <w:tc>
          <w:tcPr>
            <w:tcW w:w="2666" w:type="dxa"/>
            <w:shd w:val="clear" w:color="auto" w:fill="F4F1EA"/>
            <w:vAlign w:val="center"/>
          </w:tcPr>
          <w:p>
            <w:pPr>
              <w:pStyle w:val="BECCell"/>
            </w:pPr>
            <w:r>
              <w:t xml:space="preserve">Anthropic Claude API — model </w:t>
            </w:r>
            <w:r>
              <w:rPr>
                <w:rFonts w:ascii="Consolas" w:hAnsi="Consolas" w:cs="Consolas"/>
                <w:sz w:val="18"/>
                <w:szCs w:val="18"/>
                <w:shd w:val="clear" w:color="auto" w:fill="F0EDE6"/>
              </w:rPr>
              <w:t xml:space="preserve">claude-haiku-4-5</w:t>
            </w:r>
          </w:p>
        </w:tc>
        <w:tc>
          <w:tcPr>
            <w:tcW w:w="3140" w:type="dxa"/>
            <w:shd w:val="clear" w:color="auto" w:fill="F4F1EA"/>
            <w:vAlign w:val="center"/>
          </w:tcPr>
          <w:p>
            <w:pPr>
              <w:pStyle w:val="BECCell"/>
            </w:pPr>
            <w:r>
              <w:t xml:space="preserve">US1.00/M input tokens; US5.00/M output tokens</w:t>
            </w:r>
          </w:p>
        </w:tc>
        <w:tc>
          <w:tcPr>
            <w:tcW w:w="3199" w:type="dxa"/>
            <w:shd w:val="clear" w:color="auto" w:fill="F4F1EA"/>
            <w:vAlign w:val="center"/>
          </w:tcPr>
          <w:p>
            <w:pPr>
              <w:pStyle w:val="BECCell"/>
            </w:pPr>
            <w:r>
              <w:t xml:space="preserve">Anthropic published pricing, 2026</w:t>
            </w:r>
          </w:p>
        </w:tc>
      </w:tr>
      <w:tr>
        <w:trPr>
          <w:cantSplit/>
        </w:trPr>
        <w:tc>
          <w:tcPr>
            <w:tcW w:w="355" w:type="dxa"/>
            <w:vAlign w:val="center"/>
          </w:tcPr>
          <w:p>
            <w:pPr>
              <w:pStyle w:val="BECCell"/>
            </w:pPr>
            <w:r>
              <w:t xml:space="preserve">T5</w:t>
            </w:r>
          </w:p>
        </w:tc>
        <w:tc>
          <w:tcPr>
            <w:tcW w:w="2666" w:type="dxa"/>
            <w:vAlign w:val="center"/>
          </w:tcPr>
          <w:p>
            <w:pPr>
              <w:pStyle w:val="BECCell"/>
            </w:pPr>
            <w:r>
              <w:t xml:space="preserve">Estimated AI assistant usage</w:t>
            </w:r>
          </w:p>
        </w:tc>
        <w:tc>
          <w:tcPr>
            <w:tcW w:w="3140" w:type="dxa"/>
            <w:vAlign w:val="center"/>
          </w:tcPr>
          <w:p>
            <w:pPr>
              <w:pStyle w:val="BECCell"/>
            </w:pPr>
            <w:r>
              <w:t xml:space="preserve">12,000 requests/yr @ ~2,500 input + 250 output tokens</w:t>
            </w:r>
          </w:p>
        </w:tc>
        <w:tc>
          <w:tcPr>
            <w:tcW w:w="3199" w:type="dxa"/>
            <w:vAlign w:val="center"/>
          </w:tcPr>
          <w:p>
            <w:pPr>
              <w:pStyle w:val="BECCell"/>
            </w:pPr>
            <w:r>
              <w:t xml:space="preserve">3,000 conversations × 4 turns; engineering estimate</w:t>
            </w:r>
          </w:p>
        </w:tc>
      </w:tr>
      <w:tr>
        <w:trPr>
          <w:cantSplit/>
        </w:trPr>
        <w:tc>
          <w:tcPr>
            <w:tcW w:w="355" w:type="dxa"/>
            <w:shd w:val="clear" w:color="auto" w:fill="F4F1EA"/>
            <w:vAlign w:val="center"/>
          </w:tcPr>
          <w:p>
            <w:pPr>
              <w:pStyle w:val="BECCell"/>
            </w:pPr>
            <w:r>
              <w:t xml:space="preserve">T6</w:t>
            </w:r>
          </w:p>
        </w:tc>
        <w:tc>
          <w:tcPr>
            <w:tcW w:w="2666" w:type="dxa"/>
            <w:shd w:val="clear" w:color="auto" w:fill="F4F1EA"/>
            <w:vAlign w:val="center"/>
          </w:tcPr>
          <w:p>
            <w:pPr>
              <w:pStyle w:val="BECCell"/>
            </w:pPr>
            <w:r>
              <w:t xml:space="preserve">USD–PHP exchange rate</w:t>
            </w:r>
          </w:p>
        </w:tc>
        <w:tc>
          <w:tcPr>
            <w:tcW w:w="3140" w:type="dxa"/>
            <w:shd w:val="clear" w:color="auto" w:fill="F4F1EA"/>
            <w:vAlign w:val="center"/>
          </w:tcPr>
          <w:p>
            <w:pPr>
              <w:pStyle w:val="BECCell"/>
            </w:pPr>
            <w:r>
              <w:t xml:space="preserve">₱61.02 = US$1.00</w:t>
            </w:r>
          </w:p>
        </w:tc>
        <w:tc>
          <w:tcPr>
            <w:tcW w:w="3199" w:type="dxa"/>
            <w:shd w:val="clear" w:color="auto" w:fill="F4F1EA"/>
            <w:vAlign w:val="center"/>
          </w:tcPr>
          <w:p>
            <w:pPr>
              <w:pStyle w:val="BECCell"/>
            </w:pPr>
            <w:r>
              <w:t xml:space="preserve">August 2026 monthly average (exchange-rates.org, 2026)</w:t>
            </w:r>
          </w:p>
        </w:tc>
      </w:tr>
    </w:tbl>
    <w:p>
      <w:pPr>
        <w:spacing w:after="0" w:line="120" w:lineRule="exact"/>
      </w:pPr>
    </w:p>
    <w:p>
      <w:pPr>
        <w:pStyle w:val="Normal"/>
      </w:pPr>
      <w:r>
        <w:rPr>
          <w:b/>
        </w:rPr>
        <w:t xml:space="preserve">Note on T4.</w:t>
      </w:r>
      <w:r>
        <w:t xml:space="preserve"> The system's three "Becca" assistant instances (</w:t>
      </w:r>
      <w:r>
        <w:rPr>
          <w:rFonts w:ascii="Consolas" w:hAnsi="Consolas" w:cs="Consolas"/>
          <w:sz w:val="18"/>
          <w:szCs w:val="18"/>
          <w:shd w:val="clear" w:color="auto" w:fill="F0EDE6"/>
        </w:rPr>
        <w:t xml:space="preserve">chat_proxy.php</w:t>
      </w:r>
      <w:r>
        <w:t xml:space="preserve">, </w:t>
      </w:r>
      <w:r>
        <w:rPr>
          <w:rFonts w:ascii="Consolas" w:hAnsi="Consolas" w:cs="Consolas"/>
          <w:sz w:val="18"/>
          <w:szCs w:val="18"/>
          <w:shd w:val="clear" w:color="auto" w:fill="F0EDE6"/>
        </w:rPr>
        <w:t xml:space="preserve">admin_chat_proxy.php</w:t>
      </w:r>
      <w:r>
        <w:t xml:space="preserve">, </w:t>
      </w:r>
      <w:r>
        <w:rPr>
          <w:rFonts w:ascii="Consolas" w:hAnsi="Consolas" w:cs="Consolas"/>
          <w:sz w:val="18"/>
          <w:szCs w:val="18"/>
          <w:shd w:val="clear" w:color="auto" w:fill="F0EDE6"/>
        </w:rPr>
        <w:t xml:space="preserve">technician_chat_proxy.php</w:t>
      </w:r>
      <w:r>
        <w:t xml:space="preserve">) all invoke the </w:t>
      </w:r>
      <w:r>
        <w:rPr>
          <w:rFonts w:ascii="Consolas" w:hAnsi="Consolas" w:cs="Consolas"/>
          <w:sz w:val="18"/>
          <w:szCs w:val="18"/>
          <w:shd w:val="clear" w:color="auto" w:fill="F0EDE6"/>
        </w:rPr>
        <w:t xml:space="preserve">claude-haiku-4-5</w:t>
      </w:r>
      <w:r>
        <w:t xml:space="preserve"> model. At the stated volumes the annual token consumption is approximately 30M input and 3M output tokens, yielding US30 + US15 = </w:t>
      </w:r>
      <w:r>
        <w:rPr>
          <w:b/>
        </w:rPr>
        <w:t xml:space="preserve">US$45/yr ≈ ₱2,746</w:t>
      </w:r>
      <w:r>
        <w:t xml:space="preserve">.</w:t>
      </w:r>
    </w:p>
    <w:p>
      <w:pPr>
        <w:pStyle w:val="Heading3"/>
      </w:pPr>
      <w:r>
        <w:t xml:space="preserve">6.4 Process Time Assumptions (Baseline versus System)</w:t>
      </w:r>
    </w:p>
    <w:p>
      <w:pPr>
        <w:pStyle w:val="Normal"/>
      </w:pPr>
      <w:r>
        <w:rPr>
          <w:b/>
        </w:rPr>
        <w:t xml:space="preserve">Table 6.4 — Estimated Per-Report Process Times</w:t>
      </w:r>
    </w:p>
    <w:tbl>
      <w:tblPr>
        <w:tblStyle w:val="BECTable"/>
        <w:tblW w:w="9360" w:type="dxa"/>
        <w:tblLayout w:type="fixed"/>
        <w:tblCellMar>
          <w:top w:w="60" w:type="dxa"/>
          <w:left w:w="90" w:type="dxa"/>
          <w:bottom w:w="60" w:type="dxa"/>
          <w:right w:w="90" w:type="dxa"/>
        </w:tblCellMar>
      </w:tblPr>
      <w:tblGrid>
        <w:gridCol w:w="4975"/>
        <w:gridCol w:w="1686"/>
        <w:gridCol w:w="928"/>
        <w:gridCol w:w="1771"/>
      </w:tblGrid>
      <w:tr>
        <w:trPr>
          <w:tblHeader/>
          <w:cantSplit/>
        </w:trPr>
        <w:tc>
          <w:tcPr>
            <w:tcW w:w="4975" w:type="dxa"/>
            <w:shd w:val="clear" w:color="auto" w:fill="7B1D1D"/>
            <w:vAlign w:val="center"/>
          </w:tcPr>
          <w:p>
            <w:pPr>
              <w:pStyle w:val="BECCell"/>
            </w:pPr>
            <w:r>
              <w:rPr>
                <w:b/>
                <w:color w:val="FFFFFF"/>
              </w:rPr>
              <w:t xml:space="preserve">Activity</w:t>
            </w:r>
          </w:p>
        </w:tc>
        <w:tc>
          <w:tcPr>
            <w:tcW w:w="1686" w:type="dxa"/>
            <w:shd w:val="clear" w:color="auto" w:fill="7B1D1D"/>
            <w:vAlign w:val="center"/>
          </w:tcPr>
          <w:p>
            <w:pPr>
              <w:pStyle w:val="BECCell"/>
            </w:pPr>
            <w:r>
              <w:rPr>
                <w:b/>
                <w:color w:val="FFFFFF"/>
              </w:rPr>
              <w:t xml:space="preserve">Manual baseline</w:t>
            </w:r>
          </w:p>
        </w:tc>
        <w:tc>
          <w:tcPr>
            <w:tcW w:w="928" w:type="dxa"/>
            <w:shd w:val="clear" w:color="auto" w:fill="7B1D1D"/>
            <w:vAlign w:val="center"/>
          </w:tcPr>
          <w:p>
            <w:pPr>
              <w:pStyle w:val="BECCell"/>
            </w:pPr>
            <w:r>
              <w:rPr>
                <w:b/>
                <w:color w:val="FFFFFF"/>
              </w:rPr>
              <w:t xml:space="preserve">With system</w:t>
            </w:r>
          </w:p>
        </w:tc>
        <w:tc>
          <w:tcPr>
            <w:tcW w:w="1771" w:type="dxa"/>
            <w:shd w:val="clear" w:color="auto" w:fill="7B1D1D"/>
            <w:vAlign w:val="center"/>
          </w:tcPr>
          <w:p>
            <w:pPr>
              <w:pStyle w:val="BECCell"/>
            </w:pPr>
            <w:r>
              <w:rPr>
                <w:b/>
                <w:color w:val="FFFFFF"/>
              </w:rPr>
              <w:t xml:space="preserve">Saving</w:t>
            </w:r>
          </w:p>
        </w:tc>
      </w:tr>
      <w:tr>
        <w:trPr>
          <w:cantSplit/>
        </w:trPr>
        <w:tc>
          <w:tcPr>
            <w:tcW w:w="4975" w:type="dxa"/>
            <w:vAlign w:val="center"/>
          </w:tcPr>
          <w:p>
            <w:pPr>
              <w:pStyle w:val="BECCell"/>
            </w:pPr>
            <w:r>
              <w:t xml:space="preserve">Reporter: prepare and transmit report (incl. travel to PMO)</w:t>
            </w:r>
          </w:p>
        </w:tc>
        <w:tc>
          <w:tcPr>
            <w:tcW w:w="1686" w:type="dxa"/>
            <w:vAlign w:val="center"/>
          </w:tcPr>
          <w:p>
            <w:pPr>
              <w:pStyle w:val="BECCell"/>
            </w:pPr>
            <w:r>
              <w:t xml:space="preserve">25 min</w:t>
            </w:r>
          </w:p>
        </w:tc>
        <w:tc>
          <w:tcPr>
            <w:tcW w:w="928" w:type="dxa"/>
            <w:vAlign w:val="center"/>
          </w:tcPr>
          <w:p>
            <w:pPr>
              <w:pStyle w:val="BECCell"/>
            </w:pPr>
            <w:r>
              <w:t xml:space="preserve">5 min</w:t>
            </w:r>
          </w:p>
        </w:tc>
        <w:tc>
          <w:tcPr>
            <w:tcW w:w="1771" w:type="dxa"/>
            <w:vAlign w:val="center"/>
          </w:tcPr>
          <w:p>
            <w:pPr>
              <w:pStyle w:val="BECCell"/>
            </w:pPr>
            <w:r>
              <w:rPr>
                <w:b/>
              </w:rPr>
              <w:t xml:space="preserve">20 min</w:t>
            </w:r>
          </w:p>
        </w:tc>
      </w:tr>
      <w:tr>
        <w:trPr>
          <w:cantSplit/>
        </w:trPr>
        <w:tc>
          <w:tcPr>
            <w:tcW w:w="4975" w:type="dxa"/>
            <w:shd w:val="clear" w:color="auto" w:fill="F4F1EA"/>
            <w:vAlign w:val="center"/>
          </w:tcPr>
          <w:p>
            <w:pPr>
              <w:pStyle w:val="BECCell"/>
            </w:pPr>
            <w:r>
              <w:t xml:space="preserve">PMO: log, route, assign, respond to status inquiries</w:t>
            </w:r>
          </w:p>
        </w:tc>
        <w:tc>
          <w:tcPr>
            <w:tcW w:w="1686" w:type="dxa"/>
            <w:shd w:val="clear" w:color="auto" w:fill="F4F1EA"/>
            <w:vAlign w:val="center"/>
          </w:tcPr>
          <w:p>
            <w:pPr>
              <w:pStyle w:val="BECCell"/>
            </w:pPr>
            <w:r>
              <w:t xml:space="preserve">22 min</w:t>
            </w:r>
          </w:p>
        </w:tc>
        <w:tc>
          <w:tcPr>
            <w:tcW w:w="928" w:type="dxa"/>
            <w:shd w:val="clear" w:color="auto" w:fill="F4F1EA"/>
            <w:vAlign w:val="center"/>
          </w:tcPr>
          <w:p>
            <w:pPr>
              <w:pStyle w:val="BECCell"/>
            </w:pPr>
            <w:r>
              <w:t xml:space="preserve">7 min</w:t>
            </w:r>
          </w:p>
        </w:tc>
        <w:tc>
          <w:tcPr>
            <w:tcW w:w="1771" w:type="dxa"/>
            <w:shd w:val="clear" w:color="auto" w:fill="F4F1EA"/>
            <w:vAlign w:val="center"/>
          </w:tcPr>
          <w:p>
            <w:pPr>
              <w:pStyle w:val="BECCell"/>
            </w:pPr>
            <w:r>
              <w:rPr>
                <w:b/>
              </w:rPr>
              <w:t xml:space="preserve">15 min</w:t>
            </w:r>
          </w:p>
        </w:tc>
      </w:tr>
      <w:tr>
        <w:trPr>
          <w:cantSplit/>
        </w:trPr>
        <w:tc>
          <w:tcPr>
            <w:tcW w:w="4975" w:type="dxa"/>
            <w:vAlign w:val="center"/>
          </w:tcPr>
          <w:p>
            <w:pPr>
              <w:pStyle w:val="BECCell"/>
            </w:pPr>
            <w:r>
              <w:t xml:space="preserve">PMO: compile periodic management reports</w:t>
            </w:r>
          </w:p>
        </w:tc>
        <w:tc>
          <w:tcPr>
            <w:tcW w:w="1686" w:type="dxa"/>
            <w:vAlign w:val="center"/>
          </w:tcPr>
          <w:p>
            <w:pPr>
              <w:pStyle w:val="BECCell"/>
            </w:pPr>
            <w:r>
              <w:t xml:space="preserve">8 hrs/month</w:t>
            </w:r>
          </w:p>
        </w:tc>
        <w:tc>
          <w:tcPr>
            <w:tcW w:w="928" w:type="dxa"/>
            <w:vAlign w:val="center"/>
          </w:tcPr>
          <w:p>
            <w:pPr>
              <w:pStyle w:val="BECCell"/>
            </w:pPr>
            <w:r>
              <w:t xml:space="preserve">1 hr/month</w:t>
            </w:r>
          </w:p>
        </w:tc>
        <w:tc>
          <w:tcPr>
            <w:tcW w:w="1771" w:type="dxa"/>
            <w:vAlign w:val="center"/>
          </w:tcPr>
          <w:p>
            <w:pPr>
              <w:pStyle w:val="BECCell"/>
            </w:pPr>
            <w:r>
              <w:rPr>
                <w:b/>
              </w:rPr>
              <w:t xml:space="preserve">7 hrs/month</w:t>
            </w:r>
          </w:p>
        </w:tc>
      </w:tr>
      <w:tr>
        <w:trPr>
          <w:cantSplit/>
        </w:trPr>
        <w:tc>
          <w:tcPr>
            <w:tcW w:w="4975" w:type="dxa"/>
            <w:shd w:val="clear" w:color="auto" w:fill="F4F1EA"/>
            <w:vAlign w:val="center"/>
          </w:tcPr>
          <w:p>
            <w:pPr>
              <w:pStyle w:val="BECCell"/>
            </w:pPr>
            <w:r>
              <w:t xml:space="preserve">Technician: repeat site visit due to inadequate diagnosis</w:t>
            </w:r>
          </w:p>
        </w:tc>
        <w:tc>
          <w:tcPr>
            <w:tcW w:w="1686" w:type="dxa"/>
            <w:shd w:val="clear" w:color="auto" w:fill="F4F1EA"/>
            <w:vAlign w:val="center"/>
          </w:tcPr>
          <w:p>
            <w:pPr>
              <w:pStyle w:val="BECCell"/>
            </w:pPr>
            <w:r>
              <w:t xml:space="preserve">12% of jobs × 45 min</w:t>
            </w:r>
          </w:p>
        </w:tc>
        <w:tc>
          <w:tcPr>
            <w:tcW w:w="928" w:type="dxa"/>
            <w:shd w:val="clear" w:color="auto" w:fill="F4F1EA"/>
            <w:vAlign w:val="center"/>
          </w:tcPr>
          <w:p>
            <w:pPr>
              <w:pStyle w:val="BECCell"/>
            </w:pPr>
            <w:r>
              <w:t xml:space="preserve">—</w:t>
            </w:r>
          </w:p>
        </w:tc>
        <w:tc>
          <w:tcPr>
            <w:tcW w:w="1771" w:type="dxa"/>
            <w:shd w:val="clear" w:color="auto" w:fill="F4F1EA"/>
            <w:vAlign w:val="center"/>
          </w:tcPr>
          <w:p>
            <w:pPr>
              <w:pStyle w:val="BECCell"/>
            </w:pPr>
            <w:r>
              <w:rPr>
                <w:b/>
              </w:rPr>
              <w:t xml:space="preserve">45 min on 12% of jobs</w:t>
            </w:r>
          </w:p>
        </w:tc>
      </w:tr>
    </w:tbl>
    <w:p>
      <w:pPr>
        <w:spacing w:after="0" w:line="120" w:lineRule="exact"/>
      </w:pPr>
    </w:p>
    <w:p>
      <w:pPr>
        <w:pStyle w:val="Normal"/>
      </w:pPr>
      <w:r>
        <w:t xml:space="preserve">These are engineering estimates informed by the workflow documented in the system consultation report. They are the </w:t>
      </w:r>
      <w:r>
        <w:rPr>
          <w:b/>
        </w:rPr>
        <w:t xml:space="preserve">single most influential set of unvalidated assumptions in this study</w:t>
      </w:r>
      <w:r>
        <w:t xml:space="preserve"> and are treated as such throughout §10 and §11.</w:t>
      </w:r>
    </w:p>
    <w:p>
      <w:pPr>
        <w:pStyle w:val="BECRule"/>
      </w:pPr>
    </w:p>
    <w:p>
      <w:pPr>
        <w:pStyle w:val="Heading2"/>
      </w:pPr>
      <w:r>
        <w:t xml:space="preserve">7. COST ANALYSIS</w:t>
      </w:r>
    </w:p>
    <w:p>
      <w:pPr>
        <w:pStyle w:val="Heading3"/>
      </w:pPr>
      <w:r>
        <w:t xml:space="preserve">7.1 Year-0 Investment Costs</w:t>
      </w:r>
    </w:p>
    <w:p>
      <w:pPr>
        <w:pStyle w:val="Normal"/>
      </w:pPr>
      <w:r>
        <w:rPr>
          <w:b/>
        </w:rPr>
        <w:t xml:space="preserve">Table 7.1 — Year-0 (Deployment) Costs</w:t>
      </w:r>
    </w:p>
    <w:tbl>
      <w:tblPr>
        <w:tblStyle w:val="BECTable"/>
        <w:tblW w:w="9360" w:type="dxa"/>
        <w:tblLayout w:type="fixed"/>
        <w:tblCellMar>
          <w:top w:w="60" w:type="dxa"/>
          <w:left w:w="90" w:type="dxa"/>
          <w:bottom w:w="60" w:type="dxa"/>
          <w:right w:w="90" w:type="dxa"/>
        </w:tblCellMar>
      </w:tblPr>
      <w:tblGrid>
        <w:gridCol w:w="472"/>
        <w:gridCol w:w="3539"/>
        <w:gridCol w:w="4562"/>
        <w:gridCol w:w="787"/>
      </w:tblGrid>
      <w:tr>
        <w:trPr>
          <w:tblHeader/>
          <w:cantSplit/>
        </w:trPr>
        <w:tc>
          <w:tcPr>
            <w:tcW w:w="472" w:type="dxa"/>
            <w:shd w:val="clear" w:color="auto" w:fill="7B1D1D"/>
            <w:vAlign w:val="center"/>
          </w:tcPr>
          <w:p>
            <w:pPr>
              <w:pStyle w:val="BECCell"/>
            </w:pPr>
            <w:r>
              <w:rPr>
                <w:b/>
                <w:color w:val="FFFFFF"/>
              </w:rPr>
              <w:t xml:space="preserve">Code</w:t>
            </w:r>
          </w:p>
        </w:tc>
        <w:tc>
          <w:tcPr>
            <w:tcW w:w="3539" w:type="dxa"/>
            <w:shd w:val="clear" w:color="auto" w:fill="7B1D1D"/>
            <w:vAlign w:val="center"/>
          </w:tcPr>
          <w:p>
            <w:pPr>
              <w:pStyle w:val="BECCell"/>
            </w:pPr>
            <w:r>
              <w:rPr>
                <w:b/>
                <w:color w:val="FFFFFF"/>
              </w:rPr>
              <w:t xml:space="preserve">Cost item</w:t>
            </w:r>
          </w:p>
        </w:tc>
        <w:tc>
          <w:tcPr>
            <w:tcW w:w="4562" w:type="dxa"/>
            <w:shd w:val="clear" w:color="auto" w:fill="7B1D1D"/>
            <w:vAlign w:val="center"/>
          </w:tcPr>
          <w:p>
            <w:pPr>
              <w:pStyle w:val="BECCell"/>
            </w:pPr>
            <w:r>
              <w:rPr>
                <w:b/>
                <w:color w:val="FFFFFF"/>
              </w:rPr>
              <w:t xml:space="preserve">Basis</w:t>
            </w:r>
          </w:p>
        </w:tc>
        <w:tc>
          <w:tcPr>
            <w:tcW w:w="787" w:type="dxa"/>
            <w:shd w:val="clear" w:color="auto" w:fill="7B1D1D"/>
            <w:vAlign w:val="center"/>
          </w:tcPr>
          <w:p>
            <w:pPr>
              <w:pStyle w:val="BECCell"/>
            </w:pPr>
            <w:r>
              <w:rPr>
                <w:b/>
                <w:color w:val="FFFFFF"/>
              </w:rPr>
              <w:t xml:space="preserve">Amount (₱)</w:t>
            </w:r>
          </w:p>
        </w:tc>
      </w:tr>
      <w:tr>
        <w:trPr>
          <w:cantSplit/>
        </w:trPr>
        <w:tc>
          <w:tcPr>
            <w:tcW w:w="472" w:type="dxa"/>
            <w:vAlign w:val="center"/>
          </w:tcPr>
          <w:p>
            <w:pPr>
              <w:pStyle w:val="BECCell"/>
            </w:pPr>
            <w:r>
              <w:t xml:space="preserve">C1</w:t>
            </w:r>
          </w:p>
        </w:tc>
        <w:tc>
          <w:tcPr>
            <w:tcW w:w="3539" w:type="dxa"/>
            <w:vAlign w:val="center"/>
          </w:tcPr>
          <w:p>
            <w:pPr>
              <w:pStyle w:val="BECCell"/>
            </w:pPr>
            <w:r>
              <w:t xml:space="preserve">Development labor (imputed)</w:t>
            </w:r>
          </w:p>
        </w:tc>
        <w:tc>
          <w:tcPr>
            <w:tcW w:w="4562" w:type="dxa"/>
            <w:vAlign w:val="center"/>
          </w:tcPr>
          <w:p>
            <w:pPr>
              <w:pStyle w:val="BECCell"/>
            </w:pPr>
            <w:r>
              <w:t xml:space="preserve">900 person-hours × ₱170/hr</w:t>
            </w:r>
          </w:p>
        </w:tc>
        <w:tc>
          <w:tcPr>
            <w:tcW w:w="787" w:type="dxa"/>
            <w:vAlign w:val="center"/>
          </w:tcPr>
          <w:p>
            <w:pPr>
              <w:pStyle w:val="BECCell"/>
            </w:pPr>
            <w:r>
              <w:t xml:space="preserve">153,000</w:t>
            </w:r>
          </w:p>
        </w:tc>
      </w:tr>
      <w:tr>
        <w:trPr>
          <w:cantSplit/>
        </w:trPr>
        <w:tc>
          <w:tcPr>
            <w:tcW w:w="472" w:type="dxa"/>
            <w:shd w:val="clear" w:color="auto" w:fill="F4F1EA"/>
            <w:vAlign w:val="center"/>
          </w:tcPr>
          <w:p>
            <w:pPr>
              <w:pStyle w:val="BECCell"/>
            </w:pPr>
            <w:r>
              <w:t xml:space="preserve">C2</w:t>
            </w:r>
          </w:p>
        </w:tc>
        <w:tc>
          <w:tcPr>
            <w:tcW w:w="3539" w:type="dxa"/>
            <w:shd w:val="clear" w:color="auto" w:fill="F4F1EA"/>
            <w:vAlign w:val="center"/>
          </w:tcPr>
          <w:p>
            <w:pPr>
              <w:pStyle w:val="BECCell"/>
            </w:pPr>
            <w:r>
              <w:t xml:space="preserve">Deployment, configuration, and data migration</w:t>
            </w:r>
          </w:p>
        </w:tc>
        <w:tc>
          <w:tcPr>
            <w:tcW w:w="4562" w:type="dxa"/>
            <w:shd w:val="clear" w:color="auto" w:fill="F4F1EA"/>
            <w:vAlign w:val="center"/>
          </w:tcPr>
          <w:p>
            <w:pPr>
              <w:pStyle w:val="BECCell"/>
            </w:pPr>
            <w:r>
              <w:t xml:space="preserve">60 hrs × ₱170/hr</w:t>
            </w:r>
          </w:p>
        </w:tc>
        <w:tc>
          <w:tcPr>
            <w:tcW w:w="787" w:type="dxa"/>
            <w:shd w:val="clear" w:color="auto" w:fill="F4F1EA"/>
            <w:vAlign w:val="center"/>
          </w:tcPr>
          <w:p>
            <w:pPr>
              <w:pStyle w:val="BECCell"/>
            </w:pPr>
            <w:r>
              <w:t xml:space="preserve">10,200</w:t>
            </w:r>
          </w:p>
        </w:tc>
      </w:tr>
      <w:tr>
        <w:trPr>
          <w:cantSplit/>
        </w:trPr>
        <w:tc>
          <w:tcPr>
            <w:tcW w:w="472" w:type="dxa"/>
            <w:vAlign w:val="center"/>
          </w:tcPr>
          <w:p>
            <w:pPr>
              <w:pStyle w:val="BECCell"/>
            </w:pPr>
            <w:r>
              <w:t xml:space="preserve">C3</w:t>
            </w:r>
          </w:p>
        </w:tc>
        <w:tc>
          <w:tcPr>
            <w:tcW w:w="3539" w:type="dxa"/>
            <w:vAlign w:val="center"/>
          </w:tcPr>
          <w:p>
            <w:pPr>
              <w:pStyle w:val="BECCell"/>
            </w:pPr>
            <w:r>
              <w:t xml:space="preserve">User training and change management</w:t>
            </w:r>
          </w:p>
        </w:tc>
        <w:tc>
          <w:tcPr>
            <w:tcW w:w="4562" w:type="dxa"/>
            <w:vAlign w:val="center"/>
          </w:tcPr>
          <w:p>
            <w:pPr>
              <w:pStyle w:val="BECCell"/>
            </w:pPr>
            <w:r>
              <w:t xml:space="preserve">12 participants × 3 hrs × ₱115 + 10 preparation hrs × ₱170</w:t>
            </w:r>
          </w:p>
        </w:tc>
        <w:tc>
          <w:tcPr>
            <w:tcW w:w="787" w:type="dxa"/>
            <w:vAlign w:val="center"/>
          </w:tcPr>
          <w:p>
            <w:pPr>
              <w:pStyle w:val="BECCell"/>
            </w:pPr>
            <w:r>
              <w:t xml:space="preserve">5,840</w:t>
            </w:r>
          </w:p>
        </w:tc>
      </w:tr>
      <w:tr>
        <w:trPr>
          <w:cantSplit/>
        </w:trPr>
        <w:tc>
          <w:tcPr>
            <w:tcW w:w="472" w:type="dxa"/>
            <w:shd w:val="clear" w:color="auto" w:fill="F4F1EA"/>
            <w:vAlign w:val="center"/>
          </w:tcPr>
          <w:p>
            <w:pPr>
              <w:pStyle w:val="BECCell"/>
            </w:pPr>
            <w:r>
              <w:t xml:space="preserve">C4</w:t>
            </w:r>
          </w:p>
        </w:tc>
        <w:tc>
          <w:tcPr>
            <w:tcW w:w="3539" w:type="dxa"/>
            <w:shd w:val="clear" w:color="auto" w:fill="F4F1EA"/>
            <w:vAlign w:val="center"/>
          </w:tcPr>
          <w:p>
            <w:pPr>
              <w:pStyle w:val="BECCell"/>
            </w:pPr>
            <w:r>
              <w:t xml:space="preserve">Hardware acquisition</w:t>
            </w:r>
          </w:p>
        </w:tc>
        <w:tc>
          <w:tcPr>
            <w:tcW w:w="4562" w:type="dxa"/>
            <w:shd w:val="clear" w:color="auto" w:fill="F4F1EA"/>
            <w:vAlign w:val="center"/>
          </w:tcPr>
          <w:p>
            <w:pPr>
              <w:pStyle w:val="BECCell"/>
            </w:pPr>
            <w:r>
              <w:t xml:space="preserve">Existing assets utilized; no incremental acquisition</w:t>
            </w:r>
          </w:p>
        </w:tc>
        <w:tc>
          <w:tcPr>
            <w:tcW w:w="787" w:type="dxa"/>
            <w:shd w:val="clear" w:color="auto" w:fill="F4F1EA"/>
            <w:vAlign w:val="center"/>
          </w:tcPr>
          <w:p>
            <w:pPr>
              <w:pStyle w:val="BECCell"/>
            </w:pPr>
            <w:r>
              <w:t xml:space="preserve">0</w:t>
            </w:r>
          </w:p>
        </w:tc>
      </w:tr>
      <w:tr>
        <w:trPr>
          <w:cantSplit/>
        </w:trPr>
        <w:tc>
          <w:tcPr>
            <w:tcW w:w="472" w:type="dxa"/>
            <w:vAlign w:val="center"/>
          </w:tcPr>
          <w:p>
            <w:pPr>
              <w:pStyle w:val="BECCell"/>
            </w:pPr>
            <w:r>
              <w:t xml:space="preserve">—</w:t>
            </w:r>
          </w:p>
        </w:tc>
        <w:tc>
          <w:tcPr>
            <w:tcW w:w="3539" w:type="dxa"/>
            <w:vAlign w:val="center"/>
          </w:tcPr>
          <w:p>
            <w:pPr>
              <w:pStyle w:val="BECCell"/>
            </w:pPr>
            <w:r>
              <w:rPr>
                <w:b/>
              </w:rPr>
              <w:t xml:space="preserve">Subtotal</w:t>
            </w:r>
          </w:p>
        </w:tc>
        <w:tc>
          <w:tcPr>
            <w:tcW w:w="4562" w:type="dxa"/>
            <w:vAlign w:val="center"/>
          </w:tcPr>
          <w:p>
            <w:pPr>
              <w:pStyle w:val="BECCell"/>
            </w:pPr>
            <w:r>
              <w:t xml:space="preserve"/>
            </w:r>
          </w:p>
        </w:tc>
        <w:tc>
          <w:tcPr>
            <w:tcW w:w="787" w:type="dxa"/>
            <w:vAlign w:val="center"/>
          </w:tcPr>
          <w:p>
            <w:pPr>
              <w:pStyle w:val="BECCell"/>
            </w:pPr>
            <w:r>
              <w:rPr>
                <w:b/>
              </w:rPr>
              <w:t xml:space="preserve">169,040</w:t>
            </w:r>
          </w:p>
        </w:tc>
      </w:tr>
      <w:tr>
        <w:trPr>
          <w:cantSplit/>
        </w:trPr>
        <w:tc>
          <w:tcPr>
            <w:tcW w:w="472" w:type="dxa"/>
            <w:shd w:val="clear" w:color="auto" w:fill="F4F1EA"/>
            <w:vAlign w:val="center"/>
          </w:tcPr>
          <w:p>
            <w:pPr>
              <w:pStyle w:val="BECCell"/>
            </w:pPr>
            <w:r>
              <w:t xml:space="preserve">C5</w:t>
            </w:r>
          </w:p>
        </w:tc>
        <w:tc>
          <w:tcPr>
            <w:tcW w:w="3539" w:type="dxa"/>
            <w:shd w:val="clear" w:color="auto" w:fill="F4F1EA"/>
            <w:vAlign w:val="center"/>
          </w:tcPr>
          <w:p>
            <w:pPr>
              <w:pStyle w:val="BECCell"/>
            </w:pPr>
            <w:r>
              <w:t xml:space="preserve">Contingency provision</w:t>
            </w:r>
          </w:p>
        </w:tc>
        <w:tc>
          <w:tcPr>
            <w:tcW w:w="4562" w:type="dxa"/>
            <w:shd w:val="clear" w:color="auto" w:fill="F4F1EA"/>
            <w:vAlign w:val="center"/>
          </w:tcPr>
          <w:p>
            <w:pPr>
              <w:pStyle w:val="BECCell"/>
            </w:pPr>
            <w:r>
              <w:t xml:space="preserve">10% of subtotal</w:t>
            </w:r>
          </w:p>
        </w:tc>
        <w:tc>
          <w:tcPr>
            <w:tcW w:w="787" w:type="dxa"/>
            <w:shd w:val="clear" w:color="auto" w:fill="F4F1EA"/>
            <w:vAlign w:val="center"/>
          </w:tcPr>
          <w:p>
            <w:pPr>
              <w:pStyle w:val="BECCell"/>
            </w:pPr>
            <w:r>
              <w:t xml:space="preserve">16,904</w:t>
            </w:r>
          </w:p>
        </w:tc>
      </w:tr>
      <w:tr>
        <w:trPr>
          <w:cantSplit/>
        </w:trPr>
        <w:tc>
          <w:tcPr>
            <w:tcW w:w="472" w:type="dxa"/>
            <w:vAlign w:val="center"/>
          </w:tcPr>
          <w:p>
            <w:pPr>
              <w:pStyle w:val="BECCell"/>
            </w:pPr>
            <w:r>
              <w:t xml:space="preserve"/>
            </w:r>
          </w:p>
        </w:tc>
        <w:tc>
          <w:tcPr>
            <w:tcW w:w="3539" w:type="dxa"/>
            <w:vAlign w:val="center"/>
          </w:tcPr>
          <w:p>
            <w:pPr>
              <w:pStyle w:val="BECCell"/>
            </w:pPr>
            <w:r>
              <w:rPr>
                <w:b/>
              </w:rPr>
              <w:t xml:space="preserve">TOTAL YEAR-0 INVESTMENT</w:t>
            </w:r>
          </w:p>
        </w:tc>
        <w:tc>
          <w:tcPr>
            <w:tcW w:w="4562" w:type="dxa"/>
            <w:vAlign w:val="center"/>
          </w:tcPr>
          <w:p>
            <w:pPr>
              <w:pStyle w:val="BECCell"/>
            </w:pPr>
            <w:r>
              <w:t xml:space="preserve"/>
            </w:r>
          </w:p>
        </w:tc>
        <w:tc>
          <w:tcPr>
            <w:tcW w:w="787" w:type="dxa"/>
            <w:vAlign w:val="center"/>
          </w:tcPr>
          <w:p>
            <w:pPr>
              <w:pStyle w:val="BECCell"/>
            </w:pPr>
            <w:r>
              <w:rPr>
                <w:b/>
              </w:rPr>
              <w:t xml:space="preserve">₱185,944</w:t>
            </w:r>
          </w:p>
        </w:tc>
      </w:tr>
    </w:tbl>
    <w:p>
      <w:pPr>
        <w:spacing w:after="0" w:line="120" w:lineRule="exact"/>
      </w:pPr>
    </w:p>
    <w:p>
      <w:pPr>
        <w:pStyle w:val="Normal"/>
      </w:pPr>
      <w:r>
        <w:t xml:space="preserve">Of this total, </w:t>
      </w:r>
      <w:r>
        <w:rPr>
          <w:b/>
        </w:rPr>
        <w:t xml:space="preserve">₱185,944 is imputed rather than cash-settled</w:t>
      </w:r>
      <w:r>
        <w:t xml:space="preserve">, since development, deployment, and training were performed by the capstone team. See §9.5 for cash-basis indicators.</w:t>
      </w:r>
    </w:p>
    <w:p>
      <w:pPr>
        <w:pStyle w:val="Heading3"/>
      </w:pPr>
      <w:r>
        <w:t xml:space="preserve">7.2 Recurring Annual Operating Costs</w:t>
      </w:r>
    </w:p>
    <w:p>
      <w:pPr>
        <w:pStyle w:val="Normal"/>
      </w:pPr>
      <w:r>
        <w:rPr>
          <w:b/>
        </w:rPr>
        <w:t xml:space="preserve">Table 7.2 — Recurring Annual Costs (Years 1–5)</w:t>
      </w:r>
    </w:p>
    <w:tbl>
      <w:tblPr>
        <w:tblStyle w:val="BECTable"/>
        <w:tblW w:w="9360" w:type="dxa"/>
        <w:tblLayout w:type="fixed"/>
        <w:tblCellMar>
          <w:top w:w="60" w:type="dxa"/>
          <w:left w:w="90" w:type="dxa"/>
          <w:bottom w:w="60" w:type="dxa"/>
          <w:right w:w="90" w:type="dxa"/>
        </w:tblCellMar>
      </w:tblPr>
      <w:tblGrid>
        <w:gridCol w:w="551"/>
        <w:gridCol w:w="4772"/>
        <w:gridCol w:w="3120"/>
        <w:gridCol w:w="917"/>
      </w:tblGrid>
      <w:tr>
        <w:trPr>
          <w:tblHeader/>
          <w:cantSplit/>
        </w:trPr>
        <w:tc>
          <w:tcPr>
            <w:tcW w:w="551" w:type="dxa"/>
            <w:shd w:val="clear" w:color="auto" w:fill="7B1D1D"/>
            <w:vAlign w:val="center"/>
          </w:tcPr>
          <w:p>
            <w:pPr>
              <w:pStyle w:val="BECCell"/>
            </w:pPr>
            <w:r>
              <w:rPr>
                <w:b/>
                <w:color w:val="FFFFFF"/>
              </w:rPr>
              <w:t xml:space="preserve">Code</w:t>
            </w:r>
          </w:p>
        </w:tc>
        <w:tc>
          <w:tcPr>
            <w:tcW w:w="4772" w:type="dxa"/>
            <w:shd w:val="clear" w:color="auto" w:fill="7B1D1D"/>
            <w:vAlign w:val="center"/>
          </w:tcPr>
          <w:p>
            <w:pPr>
              <w:pStyle w:val="BECCell"/>
            </w:pPr>
            <w:r>
              <w:rPr>
                <w:b/>
                <w:color w:val="FFFFFF"/>
              </w:rPr>
              <w:t xml:space="preserve">Cost item</w:t>
            </w:r>
          </w:p>
        </w:tc>
        <w:tc>
          <w:tcPr>
            <w:tcW w:w="3120" w:type="dxa"/>
            <w:shd w:val="clear" w:color="auto" w:fill="7B1D1D"/>
            <w:vAlign w:val="center"/>
          </w:tcPr>
          <w:p>
            <w:pPr>
              <w:pStyle w:val="BECCell"/>
            </w:pPr>
            <w:r>
              <w:rPr>
                <w:b/>
                <w:color w:val="FFFFFF"/>
              </w:rPr>
              <w:t xml:space="preserve">Basis</w:t>
            </w:r>
          </w:p>
        </w:tc>
        <w:tc>
          <w:tcPr>
            <w:tcW w:w="917" w:type="dxa"/>
            <w:shd w:val="clear" w:color="auto" w:fill="7B1D1D"/>
            <w:vAlign w:val="center"/>
          </w:tcPr>
          <w:p>
            <w:pPr>
              <w:pStyle w:val="BECCell"/>
            </w:pPr>
            <w:r>
              <w:rPr>
                <w:b/>
                <w:color w:val="FFFFFF"/>
              </w:rPr>
              <w:t xml:space="preserve">Amount (₱)</w:t>
            </w:r>
          </w:p>
        </w:tc>
      </w:tr>
      <w:tr>
        <w:trPr>
          <w:cantSplit/>
        </w:trPr>
        <w:tc>
          <w:tcPr>
            <w:tcW w:w="551" w:type="dxa"/>
            <w:vAlign w:val="center"/>
          </w:tcPr>
          <w:p>
            <w:pPr>
              <w:pStyle w:val="BECCell"/>
            </w:pPr>
            <w:r>
              <w:t xml:space="preserve">R1</w:t>
            </w:r>
          </w:p>
        </w:tc>
        <w:tc>
          <w:tcPr>
            <w:tcW w:w="4772" w:type="dxa"/>
            <w:vAlign w:val="center"/>
          </w:tcPr>
          <w:p>
            <w:pPr>
              <w:pStyle w:val="BECCell"/>
            </w:pPr>
            <w:r>
              <w:t xml:space="preserve">Supabase PostgreSQL (Pro plan)</w:t>
            </w:r>
          </w:p>
        </w:tc>
        <w:tc>
          <w:tcPr>
            <w:tcW w:w="3120" w:type="dxa"/>
            <w:vAlign w:val="center"/>
          </w:tcPr>
          <w:p>
            <w:pPr>
              <w:pStyle w:val="BECCell"/>
            </w:pPr>
            <w:r>
              <w:t xml:space="preserve">US$300 × ₱61.02</w:t>
            </w:r>
          </w:p>
        </w:tc>
        <w:tc>
          <w:tcPr>
            <w:tcW w:w="917" w:type="dxa"/>
            <w:vAlign w:val="center"/>
          </w:tcPr>
          <w:p>
            <w:pPr>
              <w:pStyle w:val="BECCell"/>
            </w:pPr>
            <w:r>
              <w:t xml:space="preserve">18,306</w:t>
            </w:r>
          </w:p>
        </w:tc>
      </w:tr>
      <w:tr>
        <w:trPr>
          <w:cantSplit/>
        </w:trPr>
        <w:tc>
          <w:tcPr>
            <w:tcW w:w="551" w:type="dxa"/>
            <w:shd w:val="clear" w:color="auto" w:fill="F4F1EA"/>
            <w:vAlign w:val="center"/>
          </w:tcPr>
          <w:p>
            <w:pPr>
              <w:pStyle w:val="BECCell"/>
            </w:pPr>
            <w:r>
              <w:t xml:space="preserve">R2</w:t>
            </w:r>
          </w:p>
        </w:tc>
        <w:tc>
          <w:tcPr>
            <w:tcW w:w="4772" w:type="dxa"/>
            <w:shd w:val="clear" w:color="auto" w:fill="F4F1EA"/>
            <w:vAlign w:val="center"/>
          </w:tcPr>
          <w:p>
            <w:pPr>
              <w:pStyle w:val="BECCell"/>
            </w:pPr>
            <w:r>
              <w:t xml:space="preserve">Application hosting (VPS)</w:t>
            </w:r>
          </w:p>
        </w:tc>
        <w:tc>
          <w:tcPr>
            <w:tcW w:w="3120" w:type="dxa"/>
            <w:shd w:val="clear" w:color="auto" w:fill="F4F1EA"/>
            <w:vAlign w:val="center"/>
          </w:tcPr>
          <w:p>
            <w:pPr>
              <w:pStyle w:val="BECCell"/>
            </w:pPr>
            <w:r>
              <w:t xml:space="preserve">US$72 × ₱61.02</w:t>
            </w:r>
          </w:p>
        </w:tc>
        <w:tc>
          <w:tcPr>
            <w:tcW w:w="917" w:type="dxa"/>
            <w:shd w:val="clear" w:color="auto" w:fill="F4F1EA"/>
            <w:vAlign w:val="center"/>
          </w:tcPr>
          <w:p>
            <w:pPr>
              <w:pStyle w:val="BECCell"/>
            </w:pPr>
            <w:r>
              <w:t xml:space="preserve">4,393</w:t>
            </w:r>
          </w:p>
        </w:tc>
      </w:tr>
      <w:tr>
        <w:trPr>
          <w:cantSplit/>
        </w:trPr>
        <w:tc>
          <w:tcPr>
            <w:tcW w:w="551" w:type="dxa"/>
            <w:vAlign w:val="center"/>
          </w:tcPr>
          <w:p>
            <w:pPr>
              <w:pStyle w:val="BECCell"/>
            </w:pPr>
            <w:r>
              <w:t xml:space="preserve">R3</w:t>
            </w:r>
          </w:p>
        </w:tc>
        <w:tc>
          <w:tcPr>
            <w:tcW w:w="4772" w:type="dxa"/>
            <w:vAlign w:val="center"/>
          </w:tcPr>
          <w:p>
            <w:pPr>
              <w:pStyle w:val="BECCell"/>
            </w:pPr>
            <w:r>
              <w:t xml:space="preserve">Domain registration and renewal</w:t>
            </w:r>
          </w:p>
        </w:tc>
        <w:tc>
          <w:tcPr>
            <w:tcW w:w="3120" w:type="dxa"/>
            <w:vAlign w:val="center"/>
          </w:tcPr>
          <w:p>
            <w:pPr>
              <w:pStyle w:val="BECCell"/>
            </w:pPr>
            <w:r>
              <w:t xml:space="preserve"/>
            </w:r>
          </w:p>
        </w:tc>
        <w:tc>
          <w:tcPr>
            <w:tcW w:w="917" w:type="dxa"/>
            <w:vAlign w:val="center"/>
          </w:tcPr>
          <w:p>
            <w:pPr>
              <w:pStyle w:val="BECCell"/>
            </w:pPr>
            <w:r>
              <w:t xml:space="preserve">900</w:t>
            </w:r>
          </w:p>
        </w:tc>
      </w:tr>
      <w:tr>
        <w:trPr>
          <w:cantSplit/>
        </w:trPr>
        <w:tc>
          <w:tcPr>
            <w:tcW w:w="551" w:type="dxa"/>
            <w:shd w:val="clear" w:color="auto" w:fill="F4F1EA"/>
            <w:vAlign w:val="center"/>
          </w:tcPr>
          <w:p>
            <w:pPr>
              <w:pStyle w:val="BECCell"/>
            </w:pPr>
            <w:r>
              <w:t xml:space="preserve">R4</w:t>
            </w:r>
          </w:p>
        </w:tc>
        <w:tc>
          <w:tcPr>
            <w:tcW w:w="4772" w:type="dxa"/>
            <w:shd w:val="clear" w:color="auto" w:fill="F4F1EA"/>
            <w:vAlign w:val="center"/>
          </w:tcPr>
          <w:p>
            <w:pPr>
              <w:pStyle w:val="BECCell"/>
            </w:pPr>
            <w:r>
              <w:t xml:space="preserve">Anthropic Claude API (AI assistant)</w:t>
            </w:r>
          </w:p>
        </w:tc>
        <w:tc>
          <w:tcPr>
            <w:tcW w:w="3120" w:type="dxa"/>
            <w:shd w:val="clear" w:color="auto" w:fill="F4F1EA"/>
            <w:vAlign w:val="center"/>
          </w:tcPr>
          <w:p>
            <w:pPr>
              <w:pStyle w:val="BECCell"/>
            </w:pPr>
            <w:r>
              <w:t xml:space="preserve">US$45 × ₱61.02</w:t>
            </w:r>
          </w:p>
        </w:tc>
        <w:tc>
          <w:tcPr>
            <w:tcW w:w="917" w:type="dxa"/>
            <w:shd w:val="clear" w:color="auto" w:fill="F4F1EA"/>
            <w:vAlign w:val="center"/>
          </w:tcPr>
          <w:p>
            <w:pPr>
              <w:pStyle w:val="BECCell"/>
            </w:pPr>
            <w:r>
              <w:t xml:space="preserve">2,746</w:t>
            </w:r>
          </w:p>
        </w:tc>
      </w:tr>
      <w:tr>
        <w:trPr>
          <w:cantSplit/>
        </w:trPr>
        <w:tc>
          <w:tcPr>
            <w:tcW w:w="551" w:type="dxa"/>
            <w:vAlign w:val="center"/>
          </w:tcPr>
          <w:p>
            <w:pPr>
              <w:pStyle w:val="BECCell"/>
            </w:pPr>
            <w:r>
              <w:t xml:space="preserve">R5</w:t>
            </w:r>
          </w:p>
        </w:tc>
        <w:tc>
          <w:tcPr>
            <w:tcW w:w="4772" w:type="dxa"/>
            <w:vAlign w:val="center"/>
          </w:tcPr>
          <w:p>
            <w:pPr>
              <w:pStyle w:val="BECCell"/>
            </w:pPr>
            <w:r>
              <w:t xml:space="preserve">Corrective and adaptive maintenance</w:t>
            </w:r>
          </w:p>
        </w:tc>
        <w:tc>
          <w:tcPr>
            <w:tcW w:w="3120" w:type="dxa"/>
            <w:vAlign w:val="center"/>
          </w:tcPr>
          <w:p>
            <w:pPr>
              <w:pStyle w:val="BECCell"/>
            </w:pPr>
            <w:r>
              <w:t xml:space="preserve">40 hrs/yr × ₱170/hr</w:t>
            </w:r>
          </w:p>
        </w:tc>
        <w:tc>
          <w:tcPr>
            <w:tcW w:w="917" w:type="dxa"/>
            <w:vAlign w:val="center"/>
          </w:tcPr>
          <w:p>
            <w:pPr>
              <w:pStyle w:val="BECCell"/>
            </w:pPr>
            <w:r>
              <w:t xml:space="preserve">6,800</w:t>
            </w:r>
          </w:p>
        </w:tc>
      </w:tr>
      <w:tr>
        <w:trPr>
          <w:cantSplit/>
        </w:trPr>
        <w:tc>
          <w:tcPr>
            <w:tcW w:w="551" w:type="dxa"/>
            <w:shd w:val="clear" w:color="auto" w:fill="F4F1EA"/>
            <w:vAlign w:val="center"/>
          </w:tcPr>
          <w:p>
            <w:pPr>
              <w:pStyle w:val="BECCell"/>
            </w:pPr>
            <w:r>
              <w:t xml:space="preserve">R6</w:t>
            </w:r>
          </w:p>
        </w:tc>
        <w:tc>
          <w:tcPr>
            <w:tcW w:w="4772" w:type="dxa"/>
            <w:shd w:val="clear" w:color="auto" w:fill="F4F1EA"/>
            <w:vAlign w:val="center"/>
          </w:tcPr>
          <w:p>
            <w:pPr>
              <w:pStyle w:val="BECCell"/>
            </w:pPr>
            <w:r>
              <w:t xml:space="preserve">Refresher training and new-staff onboarding</w:t>
            </w:r>
          </w:p>
        </w:tc>
        <w:tc>
          <w:tcPr>
            <w:tcW w:w="3120" w:type="dxa"/>
            <w:shd w:val="clear" w:color="auto" w:fill="F4F1EA"/>
            <w:vAlign w:val="center"/>
          </w:tcPr>
          <w:p>
            <w:pPr>
              <w:pStyle w:val="BECCell"/>
            </w:pPr>
            <w:r>
              <w:t xml:space="preserve"/>
            </w:r>
          </w:p>
        </w:tc>
        <w:tc>
          <w:tcPr>
            <w:tcW w:w="917" w:type="dxa"/>
            <w:shd w:val="clear" w:color="auto" w:fill="F4F1EA"/>
            <w:vAlign w:val="center"/>
          </w:tcPr>
          <w:p>
            <w:pPr>
              <w:pStyle w:val="BECCell"/>
            </w:pPr>
            <w:r>
              <w:t xml:space="preserve">1,000</w:t>
            </w:r>
          </w:p>
        </w:tc>
      </w:tr>
      <w:tr>
        <w:trPr>
          <w:cantSplit/>
        </w:trPr>
        <w:tc>
          <w:tcPr>
            <w:tcW w:w="551" w:type="dxa"/>
            <w:vAlign w:val="center"/>
          </w:tcPr>
          <w:p>
            <w:pPr>
              <w:pStyle w:val="BECCell"/>
            </w:pPr>
            <w:r>
              <w:t xml:space="preserve">R7</w:t>
            </w:r>
          </w:p>
        </w:tc>
        <w:tc>
          <w:tcPr>
            <w:tcW w:w="4772" w:type="dxa"/>
            <w:vAlign w:val="center"/>
          </w:tcPr>
          <w:p>
            <w:pPr>
              <w:pStyle w:val="BECCell"/>
            </w:pPr>
            <w:r>
              <w:t xml:space="preserve">Institutional email (Google Workspace for Education)</w:t>
            </w:r>
          </w:p>
        </w:tc>
        <w:tc>
          <w:tcPr>
            <w:tcW w:w="3120" w:type="dxa"/>
            <w:vAlign w:val="center"/>
          </w:tcPr>
          <w:p>
            <w:pPr>
              <w:pStyle w:val="BECCell"/>
            </w:pPr>
            <w:r>
              <w:t xml:space="preserve">Pre-existing institutional tenancy</w:t>
            </w:r>
          </w:p>
        </w:tc>
        <w:tc>
          <w:tcPr>
            <w:tcW w:w="917" w:type="dxa"/>
            <w:vAlign w:val="center"/>
          </w:tcPr>
          <w:p>
            <w:pPr>
              <w:pStyle w:val="BECCell"/>
            </w:pPr>
            <w:r>
              <w:t xml:space="preserve">0</w:t>
            </w:r>
          </w:p>
        </w:tc>
      </w:tr>
      <w:tr>
        <w:trPr>
          <w:cantSplit/>
        </w:trPr>
        <w:tc>
          <w:tcPr>
            <w:tcW w:w="551" w:type="dxa"/>
            <w:shd w:val="clear" w:color="auto" w:fill="F4F1EA"/>
            <w:vAlign w:val="center"/>
          </w:tcPr>
          <w:p>
            <w:pPr>
              <w:pStyle w:val="BECCell"/>
            </w:pPr>
            <w:r>
              <w:t xml:space="preserve"/>
            </w:r>
          </w:p>
        </w:tc>
        <w:tc>
          <w:tcPr>
            <w:tcW w:w="4772" w:type="dxa"/>
            <w:shd w:val="clear" w:color="auto" w:fill="F4F1EA"/>
            <w:vAlign w:val="center"/>
          </w:tcPr>
          <w:p>
            <w:pPr>
              <w:pStyle w:val="BECCell"/>
            </w:pPr>
            <w:r>
              <w:rPr>
                <w:b/>
              </w:rPr>
              <w:t xml:space="preserve">TOTAL RECURRING ANNUAL COST</w:t>
            </w:r>
          </w:p>
        </w:tc>
        <w:tc>
          <w:tcPr>
            <w:tcW w:w="3120" w:type="dxa"/>
            <w:shd w:val="clear" w:color="auto" w:fill="F4F1EA"/>
            <w:vAlign w:val="center"/>
          </w:tcPr>
          <w:p>
            <w:pPr>
              <w:pStyle w:val="BECCell"/>
            </w:pPr>
            <w:r>
              <w:t xml:space="preserve"/>
            </w:r>
          </w:p>
        </w:tc>
        <w:tc>
          <w:tcPr>
            <w:tcW w:w="917" w:type="dxa"/>
            <w:shd w:val="clear" w:color="auto" w:fill="F4F1EA"/>
            <w:vAlign w:val="center"/>
          </w:tcPr>
          <w:p>
            <w:pPr>
              <w:pStyle w:val="BECCell"/>
            </w:pPr>
            <w:r>
              <w:rPr>
                <w:b/>
              </w:rPr>
              <w:t xml:space="preserve">₱34,149</w:t>
            </w:r>
          </w:p>
        </w:tc>
      </w:tr>
    </w:tbl>
    <w:p>
      <w:pPr>
        <w:spacing w:after="0" w:line="120" w:lineRule="exact"/>
      </w:pPr>
    </w:p>
    <w:p>
      <w:pPr>
        <w:pStyle w:val="Normal"/>
      </w:pPr>
      <w:r>
        <w:rPr>
          <w:b/>
        </w:rPr>
        <w:t xml:space="preserve">Note on R1.</w:t>
      </w:r>
      <w:r>
        <w:t xml:space="preserve"> The Supabase Pro plan is specified rather than the free tier because free-tier projects are suspended after one week of inactivity and are constrained to 500 MB of database storage — neither condition being acceptable for a production institutional system.</w:t>
      </w:r>
    </w:p>
    <w:p>
      <w:pPr>
        <w:pStyle w:val="Heading3"/>
      </w:pPr>
      <w:r>
        <w:t xml:space="preserve">7.3 Present Value of Total Costs</w:t>
      </w:r>
    </w:p>
    <w:p>
      <w:pPr>
        <w:pStyle w:val="BECMath"/>
      </w:pPr>
      <w:r>
        <w:rPr>
          <w:rFonts w:ascii="Cambria Math" w:hAnsi="Cambria Math" w:cs="Cambria Math"/>
          <w:color w:val="7B1D1D"/>
          <w:sz w:val="22"/>
          <w:szCs w:val="22"/>
        </w:rPr>
        <w:t xml:space="preserve">PV(C) = 185,944 + (34,149 × 3.790787) = 185,944 + 129,452 = ₱315,396</w:t>
      </w:r>
    </w:p>
    <w:p>
      <w:pPr>
        <w:pStyle w:val="BECRule"/>
      </w:pPr>
    </w:p>
    <w:p>
      <w:pPr>
        <w:pStyle w:val="Heading2"/>
      </w:pPr>
      <w:r>
        <w:t xml:space="preserve">8. BENEFIT ANALYSIS</w:t>
      </w:r>
    </w:p>
    <w:p>
      <w:pPr>
        <w:pStyle w:val="Normal"/>
      </w:pPr>
      <w:r>
        <w:t xml:space="preserve">Five benefit streams are quantified. Each is defined so as to be </w:t>
      </w:r>
      <w:r>
        <w:rPr>
          <w:b/>
        </w:rPr>
        <w:t xml:space="preserve">mutually exclusive</w:t>
      </w:r>
      <w:r>
        <w:t xml:space="preserve"> of the others, in order to preclude double-counting. Benefits attributable to reduced status inquiries are consolidated within B2 rather than counted separately.</w:t>
      </w:r>
    </w:p>
    <w:p>
      <w:pPr>
        <w:pStyle w:val="Heading3"/>
      </w:pPr>
      <w:r>
        <w:t xml:space="preserve">8.1 B1 — Reporter Transaction-Time Savings</w:t>
      </w:r>
    </w:p>
    <w:p>
      <w:pPr>
        <w:pStyle w:val="Normal"/>
      </w:pPr>
      <w:r>
        <w:t xml:space="preserve">Under the manual baseline, a reporter must physically deliver a report to the PMO. The system permits submission from any device, with photographic evidence attached and automatic confirmation.</w:t>
      </w:r>
    </w:p>
    <w:p>
      <w:pPr>
        <w:pStyle w:val="BECMath"/>
      </w:pPr>
      <w:r>
        <w:rPr>
          <w:rFonts w:ascii="Cambria Math" w:hAnsi="Cambria Math" w:cs="Cambria Math"/>
          <w:color w:val="7B1D1D"/>
          <w:sz w:val="22"/>
          <w:szCs w:val="22"/>
        </w:rPr>
        <w:t xml:space="preserve">B_1 = 1,200 reports × (20 min) / (60) × ₱100/hr = 400 hrs × ₱100 = ₱40,000</w:t>
      </w:r>
    </w:p>
    <w:p>
      <w:pPr>
        <w:pStyle w:val="Heading3"/>
      </w:pPr>
      <w:r>
        <w:t xml:space="preserve">8.2 B2 — PMO Administrative Processing Savings</w:t>
      </w:r>
    </w:p>
    <w:p>
      <w:pPr>
        <w:pStyle w:val="Normal"/>
      </w:pPr>
      <w:r>
        <w:t xml:space="preserve">Comprises (a) per-report logging, routing, assignment, and status-response labor, and (b) periodic management report compilation, which the system's filtered export function reduces from a manual collation task to a parameterized query.</w:t>
      </w:r>
    </w:p>
    <w:tbl>
      <w:tblPr>
        <w:tblStyle w:val="BECTable"/>
        <w:tblW w:w="9360" w:type="dxa"/>
        <w:tblLayout w:type="fixed"/>
        <w:tblCellMar>
          <w:top w:w="60" w:type="dxa"/>
          <w:left w:w="90" w:type="dxa"/>
          <w:bottom w:w="60" w:type="dxa"/>
          <w:right w:w="90" w:type="dxa"/>
        </w:tblCellMar>
      </w:tblPr>
      <w:tblGrid>
        <w:gridCol w:w="3663"/>
        <w:gridCol w:w="4341"/>
        <w:gridCol w:w="1356"/>
      </w:tblGrid>
      <w:tr>
        <w:trPr>
          <w:tblHeader/>
          <w:cantSplit/>
        </w:trPr>
        <w:tc>
          <w:tcPr>
            <w:tcW w:w="3663" w:type="dxa"/>
            <w:shd w:val="clear" w:color="auto" w:fill="7B1D1D"/>
            <w:vAlign w:val="center"/>
          </w:tcPr>
          <w:p>
            <w:pPr>
              <w:pStyle w:val="BECCell"/>
            </w:pPr>
            <w:r>
              <w:rPr>
                <w:b/>
                <w:color w:val="FFFFFF"/>
              </w:rPr>
              <w:t xml:space="preserve">Component</w:t>
            </w:r>
          </w:p>
        </w:tc>
        <w:tc>
          <w:tcPr>
            <w:tcW w:w="4341" w:type="dxa"/>
            <w:shd w:val="clear" w:color="auto" w:fill="7B1D1D"/>
            <w:vAlign w:val="center"/>
          </w:tcPr>
          <w:p>
            <w:pPr>
              <w:pStyle w:val="BECCell"/>
            </w:pPr>
            <w:r>
              <w:rPr>
                <w:b/>
                <w:color w:val="FFFFFF"/>
              </w:rPr>
              <w:t xml:space="preserve">Computation</w:t>
            </w:r>
          </w:p>
        </w:tc>
        <w:tc>
          <w:tcPr>
            <w:tcW w:w="1356" w:type="dxa"/>
            <w:shd w:val="clear" w:color="auto" w:fill="7B1D1D"/>
            <w:vAlign w:val="center"/>
          </w:tcPr>
          <w:p>
            <w:pPr>
              <w:pStyle w:val="BECCell"/>
            </w:pPr>
            <w:r>
              <w:rPr>
                <w:b/>
                <w:color w:val="FFFFFF"/>
              </w:rPr>
              <w:t xml:space="preserve">Amount (₱)</w:t>
            </w:r>
          </w:p>
        </w:tc>
      </w:tr>
      <w:tr>
        <w:trPr>
          <w:cantSplit/>
        </w:trPr>
        <w:tc>
          <w:tcPr>
            <w:tcW w:w="3663" w:type="dxa"/>
            <w:vAlign w:val="center"/>
          </w:tcPr>
          <w:p>
            <w:pPr>
              <w:pStyle w:val="BECCell"/>
            </w:pPr>
            <w:r>
              <w:t xml:space="preserve">Per-report processing</w:t>
            </w:r>
          </w:p>
        </w:tc>
        <w:tc>
          <w:tcPr>
            <w:tcW w:w="4341" w:type="dxa"/>
            <w:vAlign w:val="center"/>
          </w:tcPr>
          <w:p>
            <w:pPr>
              <w:pStyle w:val="BECCell"/>
            </w:pPr>
            <w:r>
              <w:t xml:space="preserve">1,200 × (15/60) = 300 hrs × ₱115</w:t>
            </w:r>
          </w:p>
        </w:tc>
        <w:tc>
          <w:tcPr>
            <w:tcW w:w="1356" w:type="dxa"/>
            <w:vAlign w:val="center"/>
          </w:tcPr>
          <w:p>
            <w:pPr>
              <w:pStyle w:val="BECCell"/>
            </w:pPr>
            <w:r>
              <w:t xml:space="preserve">34,500</w:t>
            </w:r>
          </w:p>
        </w:tc>
      </w:tr>
      <w:tr>
        <w:trPr>
          <w:cantSplit/>
        </w:trPr>
        <w:tc>
          <w:tcPr>
            <w:tcW w:w="3663" w:type="dxa"/>
            <w:shd w:val="clear" w:color="auto" w:fill="F4F1EA"/>
            <w:vAlign w:val="center"/>
          </w:tcPr>
          <w:p>
            <w:pPr>
              <w:pStyle w:val="BECCell"/>
            </w:pPr>
            <w:r>
              <w:t xml:space="preserve">Periodic report compilation</w:t>
            </w:r>
          </w:p>
        </w:tc>
        <w:tc>
          <w:tcPr>
            <w:tcW w:w="4341" w:type="dxa"/>
            <w:shd w:val="clear" w:color="auto" w:fill="F4F1EA"/>
            <w:vAlign w:val="center"/>
          </w:tcPr>
          <w:p>
            <w:pPr>
              <w:pStyle w:val="BECCell"/>
            </w:pPr>
            <w:r>
              <w:t xml:space="preserve">7 hrs/month × 12 = 84 hrs × ₱115</w:t>
            </w:r>
          </w:p>
        </w:tc>
        <w:tc>
          <w:tcPr>
            <w:tcW w:w="1356" w:type="dxa"/>
            <w:shd w:val="clear" w:color="auto" w:fill="F4F1EA"/>
            <w:vAlign w:val="center"/>
          </w:tcPr>
          <w:p>
            <w:pPr>
              <w:pStyle w:val="BECCell"/>
            </w:pPr>
            <w:r>
              <w:t xml:space="preserve">9,660</w:t>
            </w:r>
          </w:p>
        </w:tc>
      </w:tr>
      <w:tr>
        <w:trPr>
          <w:cantSplit/>
        </w:trPr>
        <w:tc>
          <w:tcPr>
            <w:tcW w:w="3663" w:type="dxa"/>
            <w:vAlign w:val="center"/>
          </w:tcPr>
          <w:p>
            <w:pPr>
              <w:pStyle w:val="BECCell"/>
            </w:pPr>
            <w:r>
              <w:rPr>
                <w:b/>
              </w:rPr>
              <w:t xml:space="preserve">Total B2</w:t>
            </w:r>
          </w:p>
        </w:tc>
        <w:tc>
          <w:tcPr>
            <w:tcW w:w="4341" w:type="dxa"/>
            <w:vAlign w:val="center"/>
          </w:tcPr>
          <w:p>
            <w:pPr>
              <w:pStyle w:val="BECCell"/>
            </w:pPr>
            <w:r>
              <w:t xml:space="preserve"/>
            </w:r>
          </w:p>
        </w:tc>
        <w:tc>
          <w:tcPr>
            <w:tcW w:w="1356" w:type="dxa"/>
            <w:vAlign w:val="center"/>
          </w:tcPr>
          <w:p>
            <w:pPr>
              <w:pStyle w:val="BECCell"/>
            </w:pPr>
            <w:r>
              <w:rPr>
                <w:b/>
              </w:rPr>
              <w:t xml:space="preserve">₱44,160</w:t>
            </w:r>
          </w:p>
        </w:tc>
      </w:tr>
    </w:tbl>
    <w:p>
      <w:pPr>
        <w:spacing w:after="0" w:line="120" w:lineRule="exact"/>
      </w:pPr>
    </w:p>
    <w:p>
      <w:pPr>
        <w:pStyle w:val="Heading3"/>
      </w:pPr>
      <w:r>
        <w:t xml:space="preserve">8.3 B3 — Technician Productivity Gains</w:t>
      </w:r>
    </w:p>
    <w:p>
      <w:pPr>
        <w:pStyle w:val="Normal"/>
      </w:pPr>
      <w:r>
        <w:t xml:space="preserve">Photographic evidence at intake, specialization-based smart assignment, and complete equipment history reduce the incidence of repeat site visits arising from inadequate initial diagnosis or mismatched technician skill.</w:t>
      </w:r>
    </w:p>
    <w:p>
      <w:pPr>
        <w:pStyle w:val="BECMath"/>
      </w:pPr>
      <w:r>
        <w:rPr>
          <w:rFonts w:ascii="Cambria Math" w:hAnsi="Cambria Math" w:cs="Cambria Math"/>
          <w:color w:val="7B1D1D"/>
          <w:sz w:val="22"/>
          <w:szCs w:val="22"/>
        </w:rPr>
        <w:t xml:space="preserve">B_3 = 1,200 × 0.12 × (45) / (60) × ₱90 = 144 jobs × 0.75 hrs × ₱90 = ₱9,720</w:t>
      </w:r>
    </w:p>
    <w:p>
      <w:pPr>
        <w:pStyle w:val="Heading3"/>
      </w:pPr>
      <w:r>
        <w:t xml:space="preserve">8.4 B4 — Status-Inquiry Deflection</w:t>
      </w:r>
    </w:p>
    <w:p>
      <w:pPr>
        <w:pStyle w:val="Normal"/>
      </w:pPr>
      <w:r>
        <w:t xml:space="preserve">The public ticket tracker and automated notification matrix eliminate the majority of "what is the status of my report?" inquiries. </w:t>
      </w:r>
      <w:r>
        <w:rPr>
          <w:b/>
        </w:rPr>
        <w:t xml:space="preserve">This benefit is deliberately consolidated within B2</w:t>
      </w:r>
      <w:r>
        <w:t xml:space="preserve"> rather than counted as a separate stream, to avoid double-counting PMO staff time. It is recorded here for completeness and to document the exclusion.</w:t>
      </w:r>
    </w:p>
    <w:p>
      <w:pPr>
        <w:pStyle w:val="Normal"/>
      </w:pPr>
      <w:r>
        <w:rPr>
          <w:b/>
        </w:rPr>
        <w:t xml:space="preserve">Quantified separately: ₱0</w:t>
      </w:r>
      <w:r>
        <w:t xml:space="preserve"> (subsumed in B2).</w:t>
      </w:r>
    </w:p>
    <w:p>
      <w:pPr>
        <w:pStyle w:val="Heading3"/>
      </w:pPr>
      <w:r>
        <w:t xml:space="preserve">8.5 B5 — Consumables and Records Management Savings</w:t>
      </w:r>
    </w:p>
    <w:tbl>
      <w:tblPr>
        <w:tblStyle w:val="BECTable"/>
        <w:tblW w:w="9360" w:type="dxa"/>
        <w:tblLayout w:type="fixed"/>
        <w:tblCellMar>
          <w:top w:w="60" w:type="dxa"/>
          <w:left w:w="90" w:type="dxa"/>
          <w:bottom w:w="60" w:type="dxa"/>
          <w:right w:w="90" w:type="dxa"/>
        </w:tblCellMar>
      </w:tblPr>
      <w:tblGrid>
        <w:gridCol w:w="4969"/>
        <w:gridCol w:w="3236"/>
        <w:gridCol w:w="1155"/>
      </w:tblGrid>
      <w:tr>
        <w:trPr>
          <w:tblHeader/>
          <w:cantSplit/>
        </w:trPr>
        <w:tc>
          <w:tcPr>
            <w:tcW w:w="4969" w:type="dxa"/>
            <w:shd w:val="clear" w:color="auto" w:fill="7B1D1D"/>
            <w:vAlign w:val="center"/>
          </w:tcPr>
          <w:p>
            <w:pPr>
              <w:pStyle w:val="BECCell"/>
            </w:pPr>
            <w:r>
              <w:rPr>
                <w:b/>
                <w:color w:val="FFFFFF"/>
              </w:rPr>
              <w:t xml:space="preserve">Component</w:t>
            </w:r>
          </w:p>
        </w:tc>
        <w:tc>
          <w:tcPr>
            <w:tcW w:w="3236" w:type="dxa"/>
            <w:shd w:val="clear" w:color="auto" w:fill="7B1D1D"/>
            <w:vAlign w:val="center"/>
          </w:tcPr>
          <w:p>
            <w:pPr>
              <w:pStyle w:val="BECCell"/>
            </w:pPr>
            <w:r>
              <w:rPr>
                <w:b/>
                <w:color w:val="FFFFFF"/>
              </w:rPr>
              <w:t xml:space="preserve">Computation</w:t>
            </w:r>
          </w:p>
        </w:tc>
        <w:tc>
          <w:tcPr>
            <w:tcW w:w="1155" w:type="dxa"/>
            <w:shd w:val="clear" w:color="auto" w:fill="7B1D1D"/>
            <w:vAlign w:val="center"/>
          </w:tcPr>
          <w:p>
            <w:pPr>
              <w:pStyle w:val="BECCell"/>
            </w:pPr>
            <w:r>
              <w:rPr>
                <w:b/>
                <w:color w:val="FFFFFF"/>
              </w:rPr>
              <w:t xml:space="preserve">Amount (₱)</w:t>
            </w:r>
          </w:p>
        </w:tc>
      </w:tr>
      <w:tr>
        <w:trPr>
          <w:cantSplit/>
        </w:trPr>
        <w:tc>
          <w:tcPr>
            <w:tcW w:w="4969" w:type="dxa"/>
            <w:vAlign w:val="center"/>
          </w:tcPr>
          <w:p>
            <w:pPr>
              <w:pStyle w:val="BECCell"/>
            </w:pPr>
            <w:r>
              <w:t xml:space="preserve">Forms and printing</w:t>
            </w:r>
          </w:p>
        </w:tc>
        <w:tc>
          <w:tcPr>
            <w:tcW w:w="3236" w:type="dxa"/>
            <w:vAlign w:val="center"/>
          </w:tcPr>
          <w:p>
            <w:pPr>
              <w:pStyle w:val="BECCell"/>
            </w:pPr>
            <w:r>
              <w:t xml:space="preserve">1,200 reports × 3 pages × ₱2</w:t>
            </w:r>
          </w:p>
        </w:tc>
        <w:tc>
          <w:tcPr>
            <w:tcW w:w="1155" w:type="dxa"/>
            <w:vAlign w:val="center"/>
          </w:tcPr>
          <w:p>
            <w:pPr>
              <w:pStyle w:val="BECCell"/>
            </w:pPr>
            <w:r>
              <w:t xml:space="preserve">7,200</w:t>
            </w:r>
          </w:p>
        </w:tc>
      </w:tr>
      <w:tr>
        <w:trPr>
          <w:cantSplit/>
        </w:trPr>
        <w:tc>
          <w:tcPr>
            <w:tcW w:w="4969" w:type="dxa"/>
            <w:shd w:val="clear" w:color="auto" w:fill="F4F1EA"/>
            <w:vAlign w:val="center"/>
          </w:tcPr>
          <w:p>
            <w:pPr>
              <w:pStyle w:val="BECCell"/>
            </w:pPr>
            <w:r>
              <w:t xml:space="preserve">Registers, folders, toner, physical storage</w:t>
            </w:r>
          </w:p>
        </w:tc>
        <w:tc>
          <w:tcPr>
            <w:tcW w:w="3236" w:type="dxa"/>
            <w:shd w:val="clear" w:color="auto" w:fill="F4F1EA"/>
            <w:vAlign w:val="center"/>
          </w:tcPr>
          <w:p>
            <w:pPr>
              <w:pStyle w:val="BECCell"/>
            </w:pPr>
            <w:r>
              <w:t xml:space="preserve">Estimated</w:t>
            </w:r>
          </w:p>
        </w:tc>
        <w:tc>
          <w:tcPr>
            <w:tcW w:w="1155" w:type="dxa"/>
            <w:shd w:val="clear" w:color="auto" w:fill="F4F1EA"/>
            <w:vAlign w:val="center"/>
          </w:tcPr>
          <w:p>
            <w:pPr>
              <w:pStyle w:val="BECCell"/>
            </w:pPr>
            <w:r>
              <w:t xml:space="preserve">4,800</w:t>
            </w:r>
          </w:p>
        </w:tc>
      </w:tr>
      <w:tr>
        <w:trPr>
          <w:cantSplit/>
        </w:trPr>
        <w:tc>
          <w:tcPr>
            <w:tcW w:w="4969" w:type="dxa"/>
            <w:vAlign w:val="center"/>
          </w:tcPr>
          <w:p>
            <w:pPr>
              <w:pStyle w:val="BECCell"/>
            </w:pPr>
            <w:r>
              <w:rPr>
                <w:b/>
              </w:rPr>
              <w:t xml:space="preserve">Total B5</w:t>
            </w:r>
          </w:p>
        </w:tc>
        <w:tc>
          <w:tcPr>
            <w:tcW w:w="3236" w:type="dxa"/>
            <w:vAlign w:val="center"/>
          </w:tcPr>
          <w:p>
            <w:pPr>
              <w:pStyle w:val="BECCell"/>
            </w:pPr>
            <w:r>
              <w:t xml:space="preserve"/>
            </w:r>
          </w:p>
        </w:tc>
        <w:tc>
          <w:tcPr>
            <w:tcW w:w="1155" w:type="dxa"/>
            <w:vAlign w:val="center"/>
          </w:tcPr>
          <w:p>
            <w:pPr>
              <w:pStyle w:val="BECCell"/>
            </w:pPr>
            <w:r>
              <w:rPr>
                <w:b/>
              </w:rPr>
              <w:t xml:space="preserve">₱12,000</w:t>
            </w:r>
          </w:p>
        </w:tc>
      </w:tr>
    </w:tbl>
    <w:p>
      <w:pPr>
        <w:spacing w:after="0" w:line="120" w:lineRule="exact"/>
      </w:pPr>
    </w:p>
    <w:p>
      <w:pPr>
        <w:pStyle w:val="Heading3"/>
      </w:pPr>
      <w:r>
        <w:t xml:space="preserve">8.6 B6 — Reduction in Corrective Maintenance Expenditure</w:t>
      </w:r>
    </w:p>
    <w:p>
      <w:pPr>
        <w:pStyle w:val="Normal"/>
      </w:pPr>
      <w:r>
        <w:t xml:space="preserve">The literature reviewed in §4.1 reports maintenance cost reductions of 10–30% following CMMS implementation, and asset life extension of 20–40% under systematic preventive maintenance. For the reasons set out in §4.2 — vendor-authored source bias, and the dissimilarity between industrial reference populations and an educational equipment portfolio — this study applies a </w:t>
      </w:r>
      <w:r>
        <w:rPr>
          <w:b/>
        </w:rPr>
        <w:t xml:space="preserve">rate of 5%</w:t>
      </w:r>
      <w:r>
        <w:t xml:space="preserve">, which is </w:t>
      </w:r>
      <w:r>
        <w:rPr>
          <w:b/>
        </w:rPr>
        <w:t xml:space="preserve">half the lower bound</w:t>
      </w:r>
      <w:r>
        <w:t xml:space="preserve"> of the published range.</w:t>
      </w:r>
    </w:p>
    <w:p>
      <w:pPr>
        <w:pStyle w:val="BECMath"/>
      </w:pPr>
      <w:r>
        <w:rPr>
          <w:rFonts w:ascii="Cambria Math" w:hAnsi="Cambria Math" w:cs="Cambria Math"/>
          <w:color w:val="7B1D1D"/>
          <w:sz w:val="22"/>
          <w:szCs w:val="22"/>
        </w:rPr>
        <w:t xml:space="preserve">B_6 = ₱1,200,000 × 0.05 = ₱60,000</w:t>
      </w:r>
    </w:p>
    <w:p>
      <w:pPr>
        <w:pStyle w:val="Normal"/>
      </w:pPr>
      <w:r>
        <w:rPr>
          <w:b/>
        </w:rPr>
        <w:t xml:space="preserve">This is the single largest benefit line and rests on the least well-validated institutional parameter (A4).</w:t>
      </w:r>
      <w:r>
        <w:t xml:space="preserve"> Section 11 accordingly reports the result with this stream removed entirely.</w:t>
      </w:r>
    </w:p>
    <w:p>
      <w:pPr>
        <w:pStyle w:val="Heading3"/>
      </w:pPr>
      <w:r>
        <w:t xml:space="preserve">8.7 Summary of Quantified Benefits</w:t>
      </w:r>
    </w:p>
    <w:p>
      <w:pPr>
        <w:pStyle w:val="Normal"/>
      </w:pPr>
      <w:r>
        <w:rPr>
          <w:b/>
        </w:rPr>
        <w:t xml:space="preserve">Table 8.1 — Annual Benefit Summary (Base Case)</w:t>
      </w:r>
    </w:p>
    <w:tbl>
      <w:tblPr>
        <w:tblStyle w:val="BECTable"/>
        <w:tblW w:w="9360" w:type="dxa"/>
        <w:tblLayout w:type="fixed"/>
        <w:tblCellMar>
          <w:top w:w="60" w:type="dxa"/>
          <w:left w:w="90" w:type="dxa"/>
          <w:bottom w:w="60" w:type="dxa"/>
          <w:right w:w="90" w:type="dxa"/>
        </w:tblCellMar>
      </w:tblPr>
      <w:tblGrid>
        <w:gridCol w:w="814"/>
        <w:gridCol w:w="6376"/>
        <w:gridCol w:w="1357"/>
        <w:gridCol w:w="813"/>
      </w:tblGrid>
      <w:tr>
        <w:trPr>
          <w:tblHeader/>
          <w:cantSplit/>
        </w:trPr>
        <w:tc>
          <w:tcPr>
            <w:tcW w:w="814" w:type="dxa"/>
            <w:shd w:val="clear" w:color="auto" w:fill="7B1D1D"/>
            <w:vAlign w:val="center"/>
          </w:tcPr>
          <w:p>
            <w:pPr>
              <w:pStyle w:val="BECCell"/>
            </w:pPr>
            <w:r>
              <w:rPr>
                <w:b/>
                <w:color w:val="FFFFFF"/>
              </w:rPr>
              <w:t xml:space="preserve">Code</w:t>
            </w:r>
          </w:p>
        </w:tc>
        <w:tc>
          <w:tcPr>
            <w:tcW w:w="6376" w:type="dxa"/>
            <w:shd w:val="clear" w:color="auto" w:fill="7B1D1D"/>
            <w:vAlign w:val="center"/>
          </w:tcPr>
          <w:p>
            <w:pPr>
              <w:pStyle w:val="BECCell"/>
            </w:pPr>
            <w:r>
              <w:rPr>
                <w:b/>
                <w:color w:val="FFFFFF"/>
              </w:rPr>
              <w:t xml:space="preserve">Benefit stream</w:t>
            </w:r>
          </w:p>
        </w:tc>
        <w:tc>
          <w:tcPr>
            <w:tcW w:w="1357" w:type="dxa"/>
            <w:shd w:val="clear" w:color="auto" w:fill="7B1D1D"/>
            <w:vAlign w:val="center"/>
          </w:tcPr>
          <w:p>
            <w:pPr>
              <w:pStyle w:val="BECCell"/>
            </w:pPr>
            <w:r>
              <w:rPr>
                <w:b/>
                <w:color w:val="FFFFFF"/>
              </w:rPr>
              <w:t xml:space="preserve">Amount (₱)</w:t>
            </w:r>
          </w:p>
        </w:tc>
        <w:tc>
          <w:tcPr>
            <w:tcW w:w="813" w:type="dxa"/>
            <w:shd w:val="clear" w:color="auto" w:fill="7B1D1D"/>
            <w:vAlign w:val="center"/>
          </w:tcPr>
          <w:p>
            <w:pPr>
              <w:pStyle w:val="BECCell"/>
            </w:pPr>
            <w:r>
              <w:rPr>
                <w:b/>
                <w:color w:val="FFFFFF"/>
              </w:rPr>
              <w:t xml:space="preserve">Share</w:t>
            </w:r>
          </w:p>
        </w:tc>
      </w:tr>
      <w:tr>
        <w:trPr>
          <w:cantSplit/>
        </w:trPr>
        <w:tc>
          <w:tcPr>
            <w:tcW w:w="814" w:type="dxa"/>
            <w:vAlign w:val="center"/>
          </w:tcPr>
          <w:p>
            <w:pPr>
              <w:pStyle w:val="BECCell"/>
            </w:pPr>
            <w:r>
              <w:t xml:space="preserve">B1</w:t>
            </w:r>
          </w:p>
        </w:tc>
        <w:tc>
          <w:tcPr>
            <w:tcW w:w="6376" w:type="dxa"/>
            <w:vAlign w:val="center"/>
          </w:tcPr>
          <w:p>
            <w:pPr>
              <w:pStyle w:val="BECCell"/>
            </w:pPr>
            <w:r>
              <w:t xml:space="preserve">Reporter transaction-time savings</w:t>
            </w:r>
          </w:p>
        </w:tc>
        <w:tc>
          <w:tcPr>
            <w:tcW w:w="1357" w:type="dxa"/>
            <w:vAlign w:val="center"/>
          </w:tcPr>
          <w:p>
            <w:pPr>
              <w:pStyle w:val="BECCell"/>
            </w:pPr>
            <w:r>
              <w:t xml:space="preserve">40,000</w:t>
            </w:r>
          </w:p>
        </w:tc>
        <w:tc>
          <w:tcPr>
            <w:tcW w:w="813" w:type="dxa"/>
            <w:vAlign w:val="center"/>
          </w:tcPr>
          <w:p>
            <w:pPr>
              <w:pStyle w:val="BECCell"/>
            </w:pPr>
            <w:r>
              <w:t xml:space="preserve">24.1%</w:t>
            </w:r>
          </w:p>
        </w:tc>
      </w:tr>
      <w:tr>
        <w:trPr>
          <w:cantSplit/>
        </w:trPr>
        <w:tc>
          <w:tcPr>
            <w:tcW w:w="814" w:type="dxa"/>
            <w:shd w:val="clear" w:color="auto" w:fill="F4F1EA"/>
            <w:vAlign w:val="center"/>
          </w:tcPr>
          <w:p>
            <w:pPr>
              <w:pStyle w:val="BECCell"/>
            </w:pPr>
            <w:r>
              <w:t xml:space="preserve">B2</w:t>
            </w:r>
          </w:p>
        </w:tc>
        <w:tc>
          <w:tcPr>
            <w:tcW w:w="6376" w:type="dxa"/>
            <w:shd w:val="clear" w:color="auto" w:fill="F4F1EA"/>
            <w:vAlign w:val="center"/>
          </w:tcPr>
          <w:p>
            <w:pPr>
              <w:pStyle w:val="BECCell"/>
            </w:pPr>
            <w:r>
              <w:t xml:space="preserve">PMO administrative processing savings</w:t>
            </w:r>
          </w:p>
        </w:tc>
        <w:tc>
          <w:tcPr>
            <w:tcW w:w="1357" w:type="dxa"/>
            <w:shd w:val="clear" w:color="auto" w:fill="F4F1EA"/>
            <w:vAlign w:val="center"/>
          </w:tcPr>
          <w:p>
            <w:pPr>
              <w:pStyle w:val="BECCell"/>
            </w:pPr>
            <w:r>
              <w:t xml:space="preserve">44,160</w:t>
            </w:r>
          </w:p>
        </w:tc>
        <w:tc>
          <w:tcPr>
            <w:tcW w:w="813" w:type="dxa"/>
            <w:shd w:val="clear" w:color="auto" w:fill="F4F1EA"/>
            <w:vAlign w:val="center"/>
          </w:tcPr>
          <w:p>
            <w:pPr>
              <w:pStyle w:val="BECCell"/>
            </w:pPr>
            <w:r>
              <w:t xml:space="preserve">26.6%</w:t>
            </w:r>
          </w:p>
        </w:tc>
      </w:tr>
      <w:tr>
        <w:trPr>
          <w:cantSplit/>
        </w:trPr>
        <w:tc>
          <w:tcPr>
            <w:tcW w:w="814" w:type="dxa"/>
            <w:vAlign w:val="center"/>
          </w:tcPr>
          <w:p>
            <w:pPr>
              <w:pStyle w:val="BECCell"/>
            </w:pPr>
            <w:r>
              <w:t xml:space="preserve">B3</w:t>
            </w:r>
          </w:p>
        </w:tc>
        <w:tc>
          <w:tcPr>
            <w:tcW w:w="6376" w:type="dxa"/>
            <w:vAlign w:val="center"/>
          </w:tcPr>
          <w:p>
            <w:pPr>
              <w:pStyle w:val="BECCell"/>
            </w:pPr>
            <w:r>
              <w:t xml:space="preserve">Technician productivity gains</w:t>
            </w:r>
          </w:p>
        </w:tc>
        <w:tc>
          <w:tcPr>
            <w:tcW w:w="1357" w:type="dxa"/>
            <w:vAlign w:val="center"/>
          </w:tcPr>
          <w:p>
            <w:pPr>
              <w:pStyle w:val="BECCell"/>
            </w:pPr>
            <w:r>
              <w:t xml:space="preserve">9,720</w:t>
            </w:r>
          </w:p>
        </w:tc>
        <w:tc>
          <w:tcPr>
            <w:tcW w:w="813" w:type="dxa"/>
            <w:vAlign w:val="center"/>
          </w:tcPr>
          <w:p>
            <w:pPr>
              <w:pStyle w:val="BECCell"/>
            </w:pPr>
            <w:r>
              <w:t xml:space="preserve">5.9%</w:t>
            </w:r>
          </w:p>
        </w:tc>
      </w:tr>
      <w:tr>
        <w:trPr>
          <w:cantSplit/>
        </w:trPr>
        <w:tc>
          <w:tcPr>
            <w:tcW w:w="814" w:type="dxa"/>
            <w:shd w:val="clear" w:color="auto" w:fill="F4F1EA"/>
            <w:vAlign w:val="center"/>
          </w:tcPr>
          <w:p>
            <w:pPr>
              <w:pStyle w:val="BECCell"/>
            </w:pPr>
            <w:r>
              <w:t xml:space="preserve">B4</w:t>
            </w:r>
          </w:p>
        </w:tc>
        <w:tc>
          <w:tcPr>
            <w:tcW w:w="6376" w:type="dxa"/>
            <w:shd w:val="clear" w:color="auto" w:fill="F4F1EA"/>
            <w:vAlign w:val="center"/>
          </w:tcPr>
          <w:p>
            <w:pPr>
              <w:pStyle w:val="BECCell"/>
            </w:pPr>
            <w:r>
              <w:t xml:space="preserve">Status-inquiry deflection</w:t>
            </w:r>
          </w:p>
        </w:tc>
        <w:tc>
          <w:tcPr>
            <w:tcW w:w="1357" w:type="dxa"/>
            <w:shd w:val="clear" w:color="auto" w:fill="F4F1EA"/>
            <w:vAlign w:val="center"/>
          </w:tcPr>
          <w:p>
            <w:pPr>
              <w:pStyle w:val="BECCell"/>
            </w:pPr>
            <w:r>
              <w:t xml:space="preserve">0 (in B2)</w:t>
            </w:r>
          </w:p>
        </w:tc>
        <w:tc>
          <w:tcPr>
            <w:tcW w:w="813" w:type="dxa"/>
            <w:shd w:val="clear" w:color="auto" w:fill="F4F1EA"/>
            <w:vAlign w:val="center"/>
          </w:tcPr>
          <w:p>
            <w:pPr>
              <w:pStyle w:val="BECCell"/>
            </w:pPr>
            <w:r>
              <w:t xml:space="preserve">—</w:t>
            </w:r>
          </w:p>
        </w:tc>
      </w:tr>
      <w:tr>
        <w:trPr>
          <w:cantSplit/>
        </w:trPr>
        <w:tc>
          <w:tcPr>
            <w:tcW w:w="814" w:type="dxa"/>
            <w:vAlign w:val="center"/>
          </w:tcPr>
          <w:p>
            <w:pPr>
              <w:pStyle w:val="BECCell"/>
            </w:pPr>
            <w:r>
              <w:t xml:space="preserve">B5</w:t>
            </w:r>
          </w:p>
        </w:tc>
        <w:tc>
          <w:tcPr>
            <w:tcW w:w="6376" w:type="dxa"/>
            <w:vAlign w:val="center"/>
          </w:tcPr>
          <w:p>
            <w:pPr>
              <w:pStyle w:val="BECCell"/>
            </w:pPr>
            <w:r>
              <w:t xml:space="preserve">Consumables and records management</w:t>
            </w:r>
          </w:p>
        </w:tc>
        <w:tc>
          <w:tcPr>
            <w:tcW w:w="1357" w:type="dxa"/>
            <w:vAlign w:val="center"/>
          </w:tcPr>
          <w:p>
            <w:pPr>
              <w:pStyle w:val="BECCell"/>
            </w:pPr>
            <w:r>
              <w:t xml:space="preserve">12,000</w:t>
            </w:r>
          </w:p>
        </w:tc>
        <w:tc>
          <w:tcPr>
            <w:tcW w:w="813" w:type="dxa"/>
            <w:vAlign w:val="center"/>
          </w:tcPr>
          <w:p>
            <w:pPr>
              <w:pStyle w:val="BECCell"/>
            </w:pPr>
            <w:r>
              <w:t xml:space="preserve">7.2%</w:t>
            </w:r>
          </w:p>
        </w:tc>
      </w:tr>
      <w:tr>
        <w:trPr>
          <w:cantSplit/>
        </w:trPr>
        <w:tc>
          <w:tcPr>
            <w:tcW w:w="814" w:type="dxa"/>
            <w:shd w:val="clear" w:color="auto" w:fill="F4F1EA"/>
            <w:vAlign w:val="center"/>
          </w:tcPr>
          <w:p>
            <w:pPr>
              <w:pStyle w:val="BECCell"/>
            </w:pPr>
            <w:r>
              <w:t xml:space="preserve">B6</w:t>
            </w:r>
          </w:p>
        </w:tc>
        <w:tc>
          <w:tcPr>
            <w:tcW w:w="6376" w:type="dxa"/>
            <w:shd w:val="clear" w:color="auto" w:fill="F4F1EA"/>
            <w:vAlign w:val="center"/>
          </w:tcPr>
          <w:p>
            <w:pPr>
              <w:pStyle w:val="BECCell"/>
            </w:pPr>
            <w:r>
              <w:t xml:space="preserve">Reduction in corrective maintenance expenditure</w:t>
            </w:r>
          </w:p>
        </w:tc>
        <w:tc>
          <w:tcPr>
            <w:tcW w:w="1357" w:type="dxa"/>
            <w:shd w:val="clear" w:color="auto" w:fill="F4F1EA"/>
            <w:vAlign w:val="center"/>
          </w:tcPr>
          <w:p>
            <w:pPr>
              <w:pStyle w:val="BECCell"/>
            </w:pPr>
            <w:r>
              <w:t xml:space="preserve">60,000</w:t>
            </w:r>
          </w:p>
        </w:tc>
        <w:tc>
          <w:tcPr>
            <w:tcW w:w="813" w:type="dxa"/>
            <w:shd w:val="clear" w:color="auto" w:fill="F4F1EA"/>
            <w:vAlign w:val="center"/>
          </w:tcPr>
          <w:p>
            <w:pPr>
              <w:pStyle w:val="BECCell"/>
            </w:pPr>
            <w:r>
              <w:t xml:space="preserve">36.2%</w:t>
            </w:r>
          </w:p>
        </w:tc>
      </w:tr>
      <w:tr>
        <w:trPr>
          <w:cantSplit/>
        </w:trPr>
        <w:tc>
          <w:tcPr>
            <w:tcW w:w="814" w:type="dxa"/>
            <w:vAlign w:val="center"/>
          </w:tcPr>
          <w:p>
            <w:pPr>
              <w:pStyle w:val="BECCell"/>
            </w:pPr>
            <w:r>
              <w:t xml:space="preserve"/>
            </w:r>
          </w:p>
        </w:tc>
        <w:tc>
          <w:tcPr>
            <w:tcW w:w="6376" w:type="dxa"/>
            <w:vAlign w:val="center"/>
          </w:tcPr>
          <w:p>
            <w:pPr>
              <w:pStyle w:val="BECCell"/>
            </w:pPr>
            <w:r>
              <w:rPr>
                <w:b/>
              </w:rPr>
              <w:t xml:space="preserve">TOTAL GROSS ANNUAL BENEFITS</w:t>
            </w:r>
          </w:p>
        </w:tc>
        <w:tc>
          <w:tcPr>
            <w:tcW w:w="1357" w:type="dxa"/>
            <w:vAlign w:val="center"/>
          </w:tcPr>
          <w:p>
            <w:pPr>
              <w:pStyle w:val="BECCell"/>
            </w:pPr>
            <w:r>
              <w:rPr>
                <w:b/>
              </w:rPr>
              <w:t xml:space="preserve">₱165,880</w:t>
            </w:r>
          </w:p>
        </w:tc>
        <w:tc>
          <w:tcPr>
            <w:tcW w:w="813" w:type="dxa"/>
            <w:vAlign w:val="center"/>
          </w:tcPr>
          <w:p>
            <w:pPr>
              <w:pStyle w:val="BECCell"/>
            </w:pPr>
            <w:r>
              <w:rPr>
                <w:b/>
              </w:rPr>
              <w:t xml:space="preserve">100.0%</w:t>
            </w:r>
          </w:p>
        </w:tc>
      </w:tr>
    </w:tbl>
    <w:p>
      <w:pPr>
        <w:spacing w:after="0" w:line="120" w:lineRule="exact"/>
      </w:pPr>
    </w:p>
    <w:p>
      <w:pPr>
        <w:pStyle w:val="BECMath"/>
      </w:pPr>
      <w:r>
        <w:rPr>
          <w:rFonts w:ascii="Cambria Math" w:hAnsi="Cambria Math" w:cs="Cambria Math"/>
          <w:color w:val="7B1D1D"/>
          <w:sz w:val="22"/>
          <w:szCs w:val="22"/>
        </w:rPr>
        <w:t xml:space="preserve">PV(B) = 165,880 × 3.790787 = ₱628,816</w:t>
      </w:r>
    </w:p>
    <w:p>
      <w:pPr>
        <w:pStyle w:val="BECRule"/>
      </w:pPr>
    </w:p>
    <w:p>
      <w:pPr>
        <w:pStyle w:val="Heading2"/>
      </w:pPr>
      <w:r>
        <w:t xml:space="preserve">9. ROI COMPUTATION AND FINANCIAL INDICATORS</w:t>
      </w:r>
    </w:p>
    <w:p>
      <w:pPr>
        <w:pStyle w:val="Heading3"/>
      </w:pPr>
      <w:r>
        <w:t xml:space="preserve">9.1 Cash-Flow Schedule</w:t>
      </w:r>
    </w:p>
    <w:p>
      <w:pPr>
        <w:pStyle w:val="Normal"/>
      </w:pPr>
      <w:r>
        <w:rPr>
          <w:b/>
        </w:rPr>
        <w:t xml:space="preserve">Table 9.1 — Five-Year Cash-Flow Schedule, Base Case (₱)</w:t>
      </w:r>
    </w:p>
    <w:tbl>
      <w:tblPr>
        <w:tblStyle w:val="BECTable"/>
        <w:tblW w:w="9360" w:type="dxa"/>
        <w:tblLayout w:type="fixed"/>
        <w:tblCellMar>
          <w:top w:w="60" w:type="dxa"/>
          <w:left w:w="90" w:type="dxa"/>
          <w:bottom w:w="60" w:type="dxa"/>
          <w:right w:w="90" w:type="dxa"/>
        </w:tblCellMar>
      </w:tblPr>
      <w:tblGrid>
        <w:gridCol w:w="617"/>
        <w:gridCol w:w="1440"/>
        <w:gridCol w:w="1131"/>
        <w:gridCol w:w="1337"/>
        <w:gridCol w:w="2160"/>
        <w:gridCol w:w="1337"/>
        <w:gridCol w:w="1338"/>
      </w:tblGrid>
      <w:tr>
        <w:trPr>
          <w:tblHeader/>
          <w:cantSplit/>
        </w:trPr>
        <w:tc>
          <w:tcPr>
            <w:tcW w:w="617" w:type="dxa"/>
            <w:shd w:val="clear" w:color="auto" w:fill="7B1D1D"/>
            <w:vAlign w:val="center"/>
          </w:tcPr>
          <w:p>
            <w:pPr>
              <w:pStyle w:val="BECCell"/>
            </w:pPr>
            <w:r>
              <w:rPr>
                <w:b/>
                <w:color w:val="FFFFFF"/>
              </w:rPr>
              <w:t xml:space="preserve">Year</w:t>
            </w:r>
          </w:p>
        </w:tc>
        <w:tc>
          <w:tcPr>
            <w:tcW w:w="1440" w:type="dxa"/>
            <w:shd w:val="clear" w:color="auto" w:fill="7B1D1D"/>
            <w:vAlign w:val="center"/>
          </w:tcPr>
          <w:p>
            <w:pPr>
              <w:pStyle w:val="BECCell"/>
              <w:jc w:val="right"/>
            </w:pPr>
            <w:r>
              <w:rPr>
                <w:b/>
                <w:color w:val="FFFFFF"/>
              </w:rPr>
              <w:t xml:space="preserve">Gross benefits</w:t>
            </w:r>
          </w:p>
        </w:tc>
        <w:tc>
          <w:tcPr>
            <w:tcW w:w="1131" w:type="dxa"/>
            <w:shd w:val="clear" w:color="auto" w:fill="7B1D1D"/>
            <w:vAlign w:val="center"/>
          </w:tcPr>
          <w:p>
            <w:pPr>
              <w:pStyle w:val="BECCell"/>
              <w:jc w:val="right"/>
            </w:pPr>
            <w:r>
              <w:rPr>
                <w:b/>
                <w:color w:val="FFFFFF"/>
              </w:rPr>
              <w:t xml:space="preserve">Gross costs</w:t>
            </w:r>
          </w:p>
        </w:tc>
        <w:tc>
          <w:tcPr>
            <w:tcW w:w="1337" w:type="dxa"/>
            <w:shd w:val="clear" w:color="auto" w:fill="7B1D1D"/>
            <w:vAlign w:val="center"/>
          </w:tcPr>
          <w:p>
            <w:pPr>
              <w:pStyle w:val="BECCell"/>
              <w:jc w:val="right"/>
            </w:pPr>
            <w:r>
              <w:rPr>
                <w:b/>
                <w:color w:val="FFFFFF"/>
              </w:rPr>
              <w:t xml:space="preserve">Net cash flow</w:t>
            </w:r>
          </w:p>
        </w:tc>
        <w:tc>
          <w:tcPr>
            <w:tcW w:w="2160" w:type="dxa"/>
            <w:shd w:val="clear" w:color="auto" w:fill="7B1D1D"/>
            <w:vAlign w:val="center"/>
          </w:tcPr>
          <w:p>
            <w:pPr>
              <w:pStyle w:val="BECCell"/>
              <w:jc w:val="right"/>
            </w:pPr>
            <w:r>
              <w:rPr>
                <w:b/>
                <w:color w:val="FFFFFF"/>
              </w:rPr>
              <w:t xml:space="preserve">Discount factor (10%)</w:t>
            </w:r>
          </w:p>
        </w:tc>
        <w:tc>
          <w:tcPr>
            <w:tcW w:w="1337" w:type="dxa"/>
            <w:shd w:val="clear" w:color="auto" w:fill="7B1D1D"/>
            <w:vAlign w:val="center"/>
          </w:tcPr>
          <w:p>
            <w:pPr>
              <w:pStyle w:val="BECCell"/>
              <w:jc w:val="right"/>
            </w:pPr>
            <w:r>
              <w:rPr>
                <w:b/>
                <w:color w:val="FFFFFF"/>
              </w:rPr>
              <w:t xml:space="preserve">Present value</w:t>
            </w:r>
          </w:p>
        </w:tc>
        <w:tc>
          <w:tcPr>
            <w:tcW w:w="1338" w:type="dxa"/>
            <w:shd w:val="clear" w:color="auto" w:fill="7B1D1D"/>
            <w:vAlign w:val="center"/>
          </w:tcPr>
          <w:p>
            <w:pPr>
              <w:pStyle w:val="BECCell"/>
              <w:jc w:val="right"/>
            </w:pPr>
            <w:r>
              <w:rPr>
                <w:b/>
                <w:color w:val="FFFFFF"/>
              </w:rPr>
              <w:t xml:space="preserve">Cumulative PV</w:t>
            </w:r>
          </w:p>
        </w:tc>
      </w:tr>
      <w:tr>
        <w:trPr>
          <w:cantSplit/>
        </w:trPr>
        <w:tc>
          <w:tcPr>
            <w:tcW w:w="617" w:type="dxa"/>
            <w:vAlign w:val="center"/>
          </w:tcPr>
          <w:p>
            <w:pPr>
              <w:pStyle w:val="BECCell"/>
            </w:pPr>
            <w:r>
              <w:t xml:space="preserve">0</w:t>
            </w:r>
          </w:p>
        </w:tc>
        <w:tc>
          <w:tcPr>
            <w:tcW w:w="1440" w:type="dxa"/>
            <w:vAlign w:val="center"/>
          </w:tcPr>
          <w:p>
            <w:pPr>
              <w:pStyle w:val="BECCell"/>
              <w:jc w:val="right"/>
            </w:pPr>
            <w:r>
              <w:t xml:space="preserve">0</w:t>
            </w:r>
          </w:p>
        </w:tc>
        <w:tc>
          <w:tcPr>
            <w:tcW w:w="1131" w:type="dxa"/>
            <w:vAlign w:val="center"/>
          </w:tcPr>
          <w:p>
            <w:pPr>
              <w:pStyle w:val="BECCell"/>
              <w:jc w:val="right"/>
            </w:pPr>
            <w:r>
              <w:t xml:space="preserve">185,944</w:t>
            </w:r>
          </w:p>
        </w:tc>
        <w:tc>
          <w:tcPr>
            <w:tcW w:w="1337" w:type="dxa"/>
            <w:vAlign w:val="center"/>
          </w:tcPr>
          <w:p>
            <w:pPr>
              <w:pStyle w:val="BECCell"/>
              <w:jc w:val="right"/>
            </w:pPr>
            <w:r>
              <w:t xml:space="preserve">(185,944)</w:t>
            </w:r>
          </w:p>
        </w:tc>
        <w:tc>
          <w:tcPr>
            <w:tcW w:w="2160" w:type="dxa"/>
            <w:vAlign w:val="center"/>
          </w:tcPr>
          <w:p>
            <w:pPr>
              <w:pStyle w:val="BECCell"/>
              <w:jc w:val="right"/>
            </w:pPr>
            <w:r>
              <w:t xml:space="preserve">1.0000</w:t>
            </w:r>
          </w:p>
        </w:tc>
        <w:tc>
          <w:tcPr>
            <w:tcW w:w="1337" w:type="dxa"/>
            <w:vAlign w:val="center"/>
          </w:tcPr>
          <w:p>
            <w:pPr>
              <w:pStyle w:val="BECCell"/>
              <w:jc w:val="right"/>
            </w:pPr>
            <w:r>
              <w:t xml:space="preserve">(185,944)</w:t>
            </w:r>
          </w:p>
        </w:tc>
        <w:tc>
          <w:tcPr>
            <w:tcW w:w="1338" w:type="dxa"/>
            <w:vAlign w:val="center"/>
          </w:tcPr>
          <w:p>
            <w:pPr>
              <w:pStyle w:val="BECCell"/>
              <w:jc w:val="right"/>
            </w:pPr>
            <w:r>
              <w:t xml:space="preserve">(185,944)</w:t>
            </w:r>
          </w:p>
        </w:tc>
      </w:tr>
      <w:tr>
        <w:trPr>
          <w:cantSplit/>
        </w:trPr>
        <w:tc>
          <w:tcPr>
            <w:tcW w:w="617" w:type="dxa"/>
            <w:shd w:val="clear" w:color="auto" w:fill="F4F1EA"/>
            <w:vAlign w:val="center"/>
          </w:tcPr>
          <w:p>
            <w:pPr>
              <w:pStyle w:val="BECCell"/>
            </w:pPr>
            <w:r>
              <w:t xml:space="preserve">1</w:t>
            </w:r>
          </w:p>
        </w:tc>
        <w:tc>
          <w:tcPr>
            <w:tcW w:w="1440" w:type="dxa"/>
            <w:shd w:val="clear" w:color="auto" w:fill="F4F1EA"/>
            <w:vAlign w:val="center"/>
          </w:tcPr>
          <w:p>
            <w:pPr>
              <w:pStyle w:val="BECCell"/>
              <w:jc w:val="right"/>
            </w:pPr>
            <w:r>
              <w:t xml:space="preserve">165,880</w:t>
            </w:r>
          </w:p>
        </w:tc>
        <w:tc>
          <w:tcPr>
            <w:tcW w:w="1131" w:type="dxa"/>
            <w:shd w:val="clear" w:color="auto" w:fill="F4F1EA"/>
            <w:vAlign w:val="center"/>
          </w:tcPr>
          <w:p>
            <w:pPr>
              <w:pStyle w:val="BECCell"/>
              <w:jc w:val="right"/>
            </w:pPr>
            <w:r>
              <w:t xml:space="preserve">34,149</w:t>
            </w:r>
          </w:p>
        </w:tc>
        <w:tc>
          <w:tcPr>
            <w:tcW w:w="1337" w:type="dxa"/>
            <w:shd w:val="clear" w:color="auto" w:fill="F4F1EA"/>
            <w:vAlign w:val="center"/>
          </w:tcPr>
          <w:p>
            <w:pPr>
              <w:pStyle w:val="BECCell"/>
              <w:jc w:val="right"/>
            </w:pPr>
            <w:r>
              <w:t xml:space="preserve">131,731</w:t>
            </w:r>
          </w:p>
        </w:tc>
        <w:tc>
          <w:tcPr>
            <w:tcW w:w="2160" w:type="dxa"/>
            <w:shd w:val="clear" w:color="auto" w:fill="F4F1EA"/>
            <w:vAlign w:val="center"/>
          </w:tcPr>
          <w:p>
            <w:pPr>
              <w:pStyle w:val="BECCell"/>
              <w:jc w:val="right"/>
            </w:pPr>
            <w:r>
              <w:t xml:space="preserve">0.9091</w:t>
            </w:r>
          </w:p>
        </w:tc>
        <w:tc>
          <w:tcPr>
            <w:tcW w:w="1337" w:type="dxa"/>
            <w:shd w:val="clear" w:color="auto" w:fill="F4F1EA"/>
            <w:vAlign w:val="center"/>
          </w:tcPr>
          <w:p>
            <w:pPr>
              <w:pStyle w:val="BECCell"/>
              <w:jc w:val="right"/>
            </w:pPr>
            <w:r>
              <w:t xml:space="preserve">119,755</w:t>
            </w:r>
          </w:p>
        </w:tc>
        <w:tc>
          <w:tcPr>
            <w:tcW w:w="1338" w:type="dxa"/>
            <w:shd w:val="clear" w:color="auto" w:fill="F4F1EA"/>
            <w:vAlign w:val="center"/>
          </w:tcPr>
          <w:p>
            <w:pPr>
              <w:pStyle w:val="BECCell"/>
              <w:jc w:val="right"/>
            </w:pPr>
            <w:r>
              <w:t xml:space="preserve">(66,189)</w:t>
            </w:r>
          </w:p>
        </w:tc>
      </w:tr>
      <w:tr>
        <w:trPr>
          <w:cantSplit/>
        </w:trPr>
        <w:tc>
          <w:tcPr>
            <w:tcW w:w="617" w:type="dxa"/>
            <w:vAlign w:val="center"/>
          </w:tcPr>
          <w:p>
            <w:pPr>
              <w:pStyle w:val="BECCell"/>
            </w:pPr>
            <w:r>
              <w:t xml:space="preserve">2</w:t>
            </w:r>
          </w:p>
        </w:tc>
        <w:tc>
          <w:tcPr>
            <w:tcW w:w="1440" w:type="dxa"/>
            <w:vAlign w:val="center"/>
          </w:tcPr>
          <w:p>
            <w:pPr>
              <w:pStyle w:val="BECCell"/>
              <w:jc w:val="right"/>
            </w:pPr>
            <w:r>
              <w:t xml:space="preserve">165,880</w:t>
            </w:r>
          </w:p>
        </w:tc>
        <w:tc>
          <w:tcPr>
            <w:tcW w:w="1131" w:type="dxa"/>
            <w:vAlign w:val="center"/>
          </w:tcPr>
          <w:p>
            <w:pPr>
              <w:pStyle w:val="BECCell"/>
              <w:jc w:val="right"/>
            </w:pPr>
            <w:r>
              <w:t xml:space="preserve">34,149</w:t>
            </w:r>
          </w:p>
        </w:tc>
        <w:tc>
          <w:tcPr>
            <w:tcW w:w="1337" w:type="dxa"/>
            <w:vAlign w:val="center"/>
          </w:tcPr>
          <w:p>
            <w:pPr>
              <w:pStyle w:val="BECCell"/>
              <w:jc w:val="right"/>
            </w:pPr>
            <w:r>
              <w:t xml:space="preserve">131,731</w:t>
            </w:r>
          </w:p>
        </w:tc>
        <w:tc>
          <w:tcPr>
            <w:tcW w:w="2160" w:type="dxa"/>
            <w:vAlign w:val="center"/>
          </w:tcPr>
          <w:p>
            <w:pPr>
              <w:pStyle w:val="BECCell"/>
              <w:jc w:val="right"/>
            </w:pPr>
            <w:r>
              <w:t xml:space="preserve">0.8264</w:t>
            </w:r>
          </w:p>
        </w:tc>
        <w:tc>
          <w:tcPr>
            <w:tcW w:w="1337" w:type="dxa"/>
            <w:vAlign w:val="center"/>
          </w:tcPr>
          <w:p>
            <w:pPr>
              <w:pStyle w:val="BECCell"/>
              <w:jc w:val="right"/>
            </w:pPr>
            <w:r>
              <w:t xml:space="preserve">108,869</w:t>
            </w:r>
          </w:p>
        </w:tc>
        <w:tc>
          <w:tcPr>
            <w:tcW w:w="1338" w:type="dxa"/>
            <w:vAlign w:val="center"/>
          </w:tcPr>
          <w:p>
            <w:pPr>
              <w:pStyle w:val="BECCell"/>
              <w:jc w:val="right"/>
            </w:pPr>
            <w:r>
              <w:t xml:space="preserve">42,680</w:t>
            </w:r>
          </w:p>
        </w:tc>
      </w:tr>
      <w:tr>
        <w:trPr>
          <w:cantSplit/>
        </w:trPr>
        <w:tc>
          <w:tcPr>
            <w:tcW w:w="617" w:type="dxa"/>
            <w:shd w:val="clear" w:color="auto" w:fill="F4F1EA"/>
            <w:vAlign w:val="center"/>
          </w:tcPr>
          <w:p>
            <w:pPr>
              <w:pStyle w:val="BECCell"/>
            </w:pPr>
            <w:r>
              <w:t xml:space="preserve">3</w:t>
            </w:r>
          </w:p>
        </w:tc>
        <w:tc>
          <w:tcPr>
            <w:tcW w:w="1440" w:type="dxa"/>
            <w:shd w:val="clear" w:color="auto" w:fill="F4F1EA"/>
            <w:vAlign w:val="center"/>
          </w:tcPr>
          <w:p>
            <w:pPr>
              <w:pStyle w:val="BECCell"/>
              <w:jc w:val="right"/>
            </w:pPr>
            <w:r>
              <w:t xml:space="preserve">165,880</w:t>
            </w:r>
          </w:p>
        </w:tc>
        <w:tc>
          <w:tcPr>
            <w:tcW w:w="1131" w:type="dxa"/>
            <w:shd w:val="clear" w:color="auto" w:fill="F4F1EA"/>
            <w:vAlign w:val="center"/>
          </w:tcPr>
          <w:p>
            <w:pPr>
              <w:pStyle w:val="BECCell"/>
              <w:jc w:val="right"/>
            </w:pPr>
            <w:r>
              <w:t xml:space="preserve">34,149</w:t>
            </w:r>
          </w:p>
        </w:tc>
        <w:tc>
          <w:tcPr>
            <w:tcW w:w="1337" w:type="dxa"/>
            <w:shd w:val="clear" w:color="auto" w:fill="F4F1EA"/>
            <w:vAlign w:val="center"/>
          </w:tcPr>
          <w:p>
            <w:pPr>
              <w:pStyle w:val="BECCell"/>
              <w:jc w:val="right"/>
            </w:pPr>
            <w:r>
              <w:t xml:space="preserve">131,731</w:t>
            </w:r>
          </w:p>
        </w:tc>
        <w:tc>
          <w:tcPr>
            <w:tcW w:w="2160" w:type="dxa"/>
            <w:shd w:val="clear" w:color="auto" w:fill="F4F1EA"/>
            <w:vAlign w:val="center"/>
          </w:tcPr>
          <w:p>
            <w:pPr>
              <w:pStyle w:val="BECCell"/>
              <w:jc w:val="right"/>
            </w:pPr>
            <w:r>
              <w:t xml:space="preserve">0.7513</w:t>
            </w:r>
          </w:p>
        </w:tc>
        <w:tc>
          <w:tcPr>
            <w:tcW w:w="1337" w:type="dxa"/>
            <w:shd w:val="clear" w:color="auto" w:fill="F4F1EA"/>
            <w:vAlign w:val="center"/>
          </w:tcPr>
          <w:p>
            <w:pPr>
              <w:pStyle w:val="BECCell"/>
              <w:jc w:val="right"/>
            </w:pPr>
            <w:r>
              <w:t xml:space="preserve">98,972</w:t>
            </w:r>
          </w:p>
        </w:tc>
        <w:tc>
          <w:tcPr>
            <w:tcW w:w="1338" w:type="dxa"/>
            <w:shd w:val="clear" w:color="auto" w:fill="F4F1EA"/>
            <w:vAlign w:val="center"/>
          </w:tcPr>
          <w:p>
            <w:pPr>
              <w:pStyle w:val="BECCell"/>
              <w:jc w:val="right"/>
            </w:pPr>
            <w:r>
              <w:t xml:space="preserve">141,652</w:t>
            </w:r>
          </w:p>
        </w:tc>
      </w:tr>
      <w:tr>
        <w:trPr>
          <w:cantSplit/>
        </w:trPr>
        <w:tc>
          <w:tcPr>
            <w:tcW w:w="617" w:type="dxa"/>
            <w:vAlign w:val="center"/>
          </w:tcPr>
          <w:p>
            <w:pPr>
              <w:pStyle w:val="BECCell"/>
            </w:pPr>
            <w:r>
              <w:t xml:space="preserve">4</w:t>
            </w:r>
          </w:p>
        </w:tc>
        <w:tc>
          <w:tcPr>
            <w:tcW w:w="1440" w:type="dxa"/>
            <w:vAlign w:val="center"/>
          </w:tcPr>
          <w:p>
            <w:pPr>
              <w:pStyle w:val="BECCell"/>
              <w:jc w:val="right"/>
            </w:pPr>
            <w:r>
              <w:t xml:space="preserve">165,880</w:t>
            </w:r>
          </w:p>
        </w:tc>
        <w:tc>
          <w:tcPr>
            <w:tcW w:w="1131" w:type="dxa"/>
            <w:vAlign w:val="center"/>
          </w:tcPr>
          <w:p>
            <w:pPr>
              <w:pStyle w:val="BECCell"/>
              <w:jc w:val="right"/>
            </w:pPr>
            <w:r>
              <w:t xml:space="preserve">34,149</w:t>
            </w:r>
          </w:p>
        </w:tc>
        <w:tc>
          <w:tcPr>
            <w:tcW w:w="1337" w:type="dxa"/>
            <w:vAlign w:val="center"/>
          </w:tcPr>
          <w:p>
            <w:pPr>
              <w:pStyle w:val="BECCell"/>
              <w:jc w:val="right"/>
            </w:pPr>
            <w:r>
              <w:t xml:space="preserve">131,731</w:t>
            </w:r>
          </w:p>
        </w:tc>
        <w:tc>
          <w:tcPr>
            <w:tcW w:w="2160" w:type="dxa"/>
            <w:vAlign w:val="center"/>
          </w:tcPr>
          <w:p>
            <w:pPr>
              <w:pStyle w:val="BECCell"/>
              <w:jc w:val="right"/>
            </w:pPr>
            <w:r>
              <w:t xml:space="preserve">0.6830</w:t>
            </w:r>
          </w:p>
        </w:tc>
        <w:tc>
          <w:tcPr>
            <w:tcW w:w="1337" w:type="dxa"/>
            <w:vAlign w:val="center"/>
          </w:tcPr>
          <w:p>
            <w:pPr>
              <w:pStyle w:val="BECCell"/>
              <w:jc w:val="right"/>
            </w:pPr>
            <w:r>
              <w:t xml:space="preserve">89,974</w:t>
            </w:r>
          </w:p>
        </w:tc>
        <w:tc>
          <w:tcPr>
            <w:tcW w:w="1338" w:type="dxa"/>
            <w:vAlign w:val="center"/>
          </w:tcPr>
          <w:p>
            <w:pPr>
              <w:pStyle w:val="BECCell"/>
              <w:jc w:val="right"/>
            </w:pPr>
            <w:r>
              <w:t xml:space="preserve">231,626</w:t>
            </w:r>
          </w:p>
        </w:tc>
      </w:tr>
      <w:tr>
        <w:trPr>
          <w:cantSplit/>
        </w:trPr>
        <w:tc>
          <w:tcPr>
            <w:tcW w:w="617" w:type="dxa"/>
            <w:shd w:val="clear" w:color="auto" w:fill="F4F1EA"/>
            <w:vAlign w:val="center"/>
          </w:tcPr>
          <w:p>
            <w:pPr>
              <w:pStyle w:val="BECCell"/>
            </w:pPr>
            <w:r>
              <w:t xml:space="preserve">5</w:t>
            </w:r>
          </w:p>
        </w:tc>
        <w:tc>
          <w:tcPr>
            <w:tcW w:w="1440" w:type="dxa"/>
            <w:shd w:val="clear" w:color="auto" w:fill="F4F1EA"/>
            <w:vAlign w:val="center"/>
          </w:tcPr>
          <w:p>
            <w:pPr>
              <w:pStyle w:val="BECCell"/>
              <w:jc w:val="right"/>
            </w:pPr>
            <w:r>
              <w:t xml:space="preserve">165,880</w:t>
            </w:r>
          </w:p>
        </w:tc>
        <w:tc>
          <w:tcPr>
            <w:tcW w:w="1131" w:type="dxa"/>
            <w:shd w:val="clear" w:color="auto" w:fill="F4F1EA"/>
            <w:vAlign w:val="center"/>
          </w:tcPr>
          <w:p>
            <w:pPr>
              <w:pStyle w:val="BECCell"/>
              <w:jc w:val="right"/>
            </w:pPr>
            <w:r>
              <w:t xml:space="preserve">34,149</w:t>
            </w:r>
          </w:p>
        </w:tc>
        <w:tc>
          <w:tcPr>
            <w:tcW w:w="1337" w:type="dxa"/>
            <w:shd w:val="clear" w:color="auto" w:fill="F4F1EA"/>
            <w:vAlign w:val="center"/>
          </w:tcPr>
          <w:p>
            <w:pPr>
              <w:pStyle w:val="BECCell"/>
              <w:jc w:val="right"/>
            </w:pPr>
            <w:r>
              <w:t xml:space="preserve">131,731</w:t>
            </w:r>
          </w:p>
        </w:tc>
        <w:tc>
          <w:tcPr>
            <w:tcW w:w="2160" w:type="dxa"/>
            <w:shd w:val="clear" w:color="auto" w:fill="F4F1EA"/>
            <w:vAlign w:val="center"/>
          </w:tcPr>
          <w:p>
            <w:pPr>
              <w:pStyle w:val="BECCell"/>
              <w:jc w:val="right"/>
            </w:pPr>
            <w:r>
              <w:t xml:space="preserve">0.6209</w:t>
            </w:r>
          </w:p>
        </w:tc>
        <w:tc>
          <w:tcPr>
            <w:tcW w:w="1337" w:type="dxa"/>
            <w:shd w:val="clear" w:color="auto" w:fill="F4F1EA"/>
            <w:vAlign w:val="center"/>
          </w:tcPr>
          <w:p>
            <w:pPr>
              <w:pStyle w:val="BECCell"/>
              <w:jc w:val="right"/>
            </w:pPr>
            <w:r>
              <w:t xml:space="preserve">81,794</w:t>
            </w:r>
          </w:p>
        </w:tc>
        <w:tc>
          <w:tcPr>
            <w:tcW w:w="1338" w:type="dxa"/>
            <w:shd w:val="clear" w:color="auto" w:fill="F4F1EA"/>
            <w:vAlign w:val="center"/>
          </w:tcPr>
          <w:p>
            <w:pPr>
              <w:pStyle w:val="BECCell"/>
              <w:jc w:val="right"/>
            </w:pPr>
            <w:r>
              <w:rPr>
                <w:b/>
              </w:rPr>
              <w:t xml:space="preserve">313,420</w:t>
            </w:r>
          </w:p>
        </w:tc>
      </w:tr>
      <w:tr>
        <w:trPr>
          <w:cantSplit/>
        </w:trPr>
        <w:tc>
          <w:tcPr>
            <w:tcW w:w="617" w:type="dxa"/>
            <w:vAlign w:val="center"/>
          </w:tcPr>
          <w:p>
            <w:pPr>
              <w:pStyle w:val="BECCell"/>
            </w:pPr>
            <w:r>
              <w:t xml:space="preserve"/>
            </w:r>
          </w:p>
        </w:tc>
        <w:tc>
          <w:tcPr>
            <w:tcW w:w="1440" w:type="dxa"/>
            <w:vAlign w:val="center"/>
          </w:tcPr>
          <w:p>
            <w:pPr>
              <w:pStyle w:val="BECCell"/>
              <w:jc w:val="right"/>
            </w:pPr>
            <w:r>
              <w:rPr>
                <w:b/>
              </w:rPr>
              <w:t xml:space="preserve">829,400</w:t>
            </w:r>
          </w:p>
        </w:tc>
        <w:tc>
          <w:tcPr>
            <w:tcW w:w="1131" w:type="dxa"/>
            <w:vAlign w:val="center"/>
          </w:tcPr>
          <w:p>
            <w:pPr>
              <w:pStyle w:val="BECCell"/>
              <w:jc w:val="right"/>
            </w:pPr>
            <w:r>
              <w:rPr>
                <w:b/>
              </w:rPr>
              <w:t xml:space="preserve">356,689</w:t>
            </w:r>
          </w:p>
        </w:tc>
        <w:tc>
          <w:tcPr>
            <w:tcW w:w="1337" w:type="dxa"/>
            <w:vAlign w:val="center"/>
          </w:tcPr>
          <w:p>
            <w:pPr>
              <w:pStyle w:val="BECCell"/>
              <w:jc w:val="right"/>
            </w:pPr>
            <w:r>
              <w:rPr>
                <w:b/>
              </w:rPr>
              <w:t xml:space="preserve">472,711</w:t>
            </w:r>
          </w:p>
        </w:tc>
        <w:tc>
          <w:tcPr>
            <w:tcW w:w="2160" w:type="dxa"/>
            <w:vAlign w:val="center"/>
          </w:tcPr>
          <w:p>
            <w:pPr>
              <w:pStyle w:val="BECCell"/>
              <w:jc w:val="right"/>
            </w:pPr>
            <w:r>
              <w:t xml:space="preserve"/>
            </w:r>
          </w:p>
        </w:tc>
        <w:tc>
          <w:tcPr>
            <w:tcW w:w="1337" w:type="dxa"/>
            <w:vAlign w:val="center"/>
          </w:tcPr>
          <w:p>
            <w:pPr>
              <w:pStyle w:val="BECCell"/>
              <w:jc w:val="right"/>
            </w:pPr>
            <w:r>
              <w:t xml:space="preserve"/>
            </w:r>
          </w:p>
        </w:tc>
        <w:tc>
          <w:tcPr>
            <w:tcW w:w="1338" w:type="dxa"/>
            <w:vAlign w:val="center"/>
          </w:tcPr>
          <w:p>
            <w:pPr>
              <w:pStyle w:val="BECCell"/>
              <w:jc w:val="right"/>
            </w:pPr>
            <w:r>
              <w:t xml:space="preserve"/>
            </w:r>
          </w:p>
        </w:tc>
      </w:tr>
    </w:tbl>
    <w:p>
      <w:pPr>
        <w:spacing w:after="0" w:line="120" w:lineRule="exact"/>
      </w:pPr>
    </w:p>
    <w:p>
      <w:pPr>
        <w:pStyle w:val="Heading3"/>
      </w:pPr>
      <w:r>
        <w:t xml:space="preserve">9.2 Computation of Indicators</w:t>
      </w:r>
    </w:p>
    <w:p>
      <w:pPr>
        <w:pStyle w:val="Normal"/>
      </w:pPr>
      <w:r>
        <w:rPr>
          <w:b/>
        </w:rPr>
        <w:t xml:space="preserve">Net Present Value</w:t>
      </w:r>
    </w:p>
    <w:p>
      <w:pPr>
        <w:pStyle w:val="BECMath"/>
      </w:pPr>
      <w:r>
        <w:rPr>
          <w:rFonts w:ascii="Cambria Math" w:hAnsi="Cambria Math" w:cs="Cambria Math"/>
          <w:color w:val="7B1D1D"/>
          <w:sz w:val="22"/>
          <w:szCs w:val="22"/>
        </w:rPr>
        <w:t xml:space="preserve">NPV = PV(B) - PV(C) = 628,816 - 315,396 = ₱313,420</w:t>
      </w:r>
    </w:p>
    <w:p>
      <w:pPr>
        <w:pStyle w:val="Normal"/>
      </w:pPr>
      <w:r>
        <w:rPr>
          <w:b/>
        </w:rPr>
        <w:t xml:space="preserve">Benefit–Cost Ratio</w:t>
      </w:r>
    </w:p>
    <w:p>
      <w:pPr>
        <w:pStyle w:val="BECMath"/>
      </w:pPr>
      <w:r>
        <w:rPr>
          <w:rFonts w:ascii="Cambria Math" w:hAnsi="Cambria Math" w:cs="Cambria Math"/>
          <w:color w:val="7B1D1D"/>
          <w:sz w:val="22"/>
          <w:szCs w:val="22"/>
        </w:rPr>
        <w:t xml:space="preserve">BCR = (628,816) / (315,396) = 1.99</w:t>
      </w:r>
    </w:p>
    <w:p>
      <w:pPr>
        <w:pStyle w:val="Normal"/>
      </w:pPr>
      <w:r>
        <w:rPr>
          <w:b/>
        </w:rPr>
        <w:t xml:space="preserve">Return on Investment (five-year, discounted)</w:t>
      </w:r>
    </w:p>
    <w:p>
      <w:pPr>
        <w:pStyle w:val="BECMath"/>
      </w:pPr>
      <w:r>
        <w:rPr>
          <w:rFonts w:ascii="Cambria Math" w:hAnsi="Cambria Math" w:cs="Cambria Math"/>
          <w:color w:val="7B1D1D"/>
          <w:sz w:val="22"/>
          <w:szCs w:val="22"/>
        </w:rPr>
        <w:t xml:space="preserve">ROI = (313,420) / (315,396) × 100% = 99.4%</w:t>
      </w:r>
    </w:p>
    <w:p>
      <w:pPr>
        <w:pStyle w:val="Normal"/>
      </w:pPr>
      <w:r>
        <w:rPr>
          <w:b/>
        </w:rPr>
        <w:t xml:space="preserve">Internal Rate of Return.</w:t>
      </w:r>
      <w:r>
        <w:t xml:space="preserve"> Solving </w:t>
      </w:r>
      <w:r>
        <w:rPr>
          <w:i/>
        </w:rPr>
        <w:t xml:space="preserve">A</w:t>
      </w:r>
      <w:r>
        <w:t xml:space="preserve">&lt;sub&gt;5,r*&lt;/sub&gt; = 185,944 ÷ 131,731 = 1.4116 yields:</w:t>
      </w:r>
    </w:p>
    <w:p>
      <w:pPr>
        <w:pStyle w:val="BECMath"/>
      </w:pPr>
      <w:r>
        <w:rPr>
          <w:rFonts w:ascii="Cambria Math" w:hAnsi="Cambria Math" w:cs="Cambria Math"/>
          <w:color w:val="7B1D1D"/>
          <w:sz w:val="22"/>
          <w:szCs w:val="22"/>
        </w:rPr>
        <w:t xml:space="preserve">IRR ≈ 65%</w:t>
      </w:r>
    </w:p>
    <w:p>
      <w:pPr>
        <w:pStyle w:val="Normal"/>
      </w:pPr>
      <w:r>
        <w:rPr>
          <w:b/>
        </w:rPr>
        <w:t xml:space="preserve">Payback Period.</w:t>
      </w:r>
      <w:r>
        <w:t xml:space="preserve"> Undiscounted:</w:t>
      </w:r>
    </w:p>
    <w:p>
      <w:pPr>
        <w:pStyle w:val="BECMath"/>
      </w:pPr>
      <w:r>
        <w:rPr>
          <w:rFonts w:ascii="Cambria Math" w:hAnsi="Cambria Math" w:cs="Cambria Math"/>
          <w:color w:val="7B1D1D"/>
          <w:sz w:val="22"/>
          <w:szCs w:val="22"/>
        </w:rPr>
        <w:t xml:space="preserve">PP = (185,944) / (131,731) = 1.41 years = 16.9 months</w:t>
      </w:r>
    </w:p>
    <w:p>
      <w:pPr>
        <w:pStyle w:val="Normal"/>
      </w:pPr>
      <w:r>
        <w:t xml:space="preserve">Discounted (from Table 9.1, cumulative PV crosses zero during Year 2):</w:t>
      </w:r>
    </w:p>
    <w:p>
      <w:pPr>
        <w:pStyle w:val="BECMath"/>
      </w:pPr>
      <w:r>
        <w:rPr>
          <w:rFonts w:ascii="Cambria Math" w:hAnsi="Cambria Math" w:cs="Cambria Math"/>
          <w:color w:val="7B1D1D"/>
          <w:sz w:val="22"/>
          <w:szCs w:val="22"/>
        </w:rPr>
        <w:t xml:space="preserve">PP_disc = 1 + (66,189) / (108,869) = 1.61 years = 19.3 months</w:t>
      </w:r>
    </w:p>
    <w:p>
      <w:pPr>
        <w:pStyle w:val="Normal"/>
      </w:pPr>
      <w:r>
        <w:rPr>
          <w:b/>
        </w:rPr>
        <w:t xml:space="preserve">Equivalent Annual Cost</w:t>
      </w:r>
    </w:p>
    <w:p>
      <w:pPr>
        <w:pStyle w:val="BECMath"/>
      </w:pPr>
      <w:r>
        <w:rPr>
          <w:rFonts w:ascii="Cambria Math" w:hAnsi="Cambria Math" w:cs="Cambria Math"/>
          <w:color w:val="7B1D1D"/>
          <w:sz w:val="22"/>
          <w:szCs w:val="22"/>
        </w:rPr>
        <w:t xml:space="preserve">EAC = (315,396) / (3.790787) = ₱83,201/year</w:t>
      </w:r>
    </w:p>
    <w:p>
      <w:pPr>
        <w:pStyle w:val="Heading3"/>
      </w:pPr>
      <w:r>
        <w:t xml:space="preserve">9.3 Summary of Results</w:t>
      </w:r>
    </w:p>
    <w:p>
      <w:pPr>
        <w:pStyle w:val="Normal"/>
      </w:pPr>
      <w:r>
        <w:rPr>
          <w:b/>
        </w:rPr>
        <w:t xml:space="preserve">Table 9.2 — Base-Case Financial Indicators</w:t>
      </w:r>
    </w:p>
    <w:tbl>
      <w:tblPr>
        <w:tblStyle w:val="BECTable"/>
        <w:tblW w:w="9360" w:type="dxa"/>
        <w:tblLayout w:type="fixed"/>
        <w:tblCellMar>
          <w:top w:w="60" w:type="dxa"/>
          <w:left w:w="90" w:type="dxa"/>
          <w:bottom w:w="60" w:type="dxa"/>
          <w:right w:w="90" w:type="dxa"/>
        </w:tblCellMar>
      </w:tblPr>
      <w:tblGrid>
        <w:gridCol w:w="4450"/>
        <w:gridCol w:w="1688"/>
        <w:gridCol w:w="2148"/>
        <w:gridCol w:w="1074"/>
      </w:tblGrid>
      <w:tr>
        <w:trPr>
          <w:tblHeader/>
          <w:cantSplit/>
        </w:trPr>
        <w:tc>
          <w:tcPr>
            <w:tcW w:w="4450" w:type="dxa"/>
            <w:shd w:val="clear" w:color="auto" w:fill="7B1D1D"/>
            <w:vAlign w:val="center"/>
          </w:tcPr>
          <w:p>
            <w:pPr>
              <w:pStyle w:val="BECCell"/>
            </w:pPr>
            <w:r>
              <w:rPr>
                <w:b/>
                <w:color w:val="FFFFFF"/>
              </w:rPr>
              <w:t xml:space="preserve">Indicator</w:t>
            </w:r>
          </w:p>
        </w:tc>
        <w:tc>
          <w:tcPr>
            <w:tcW w:w="1688" w:type="dxa"/>
            <w:shd w:val="clear" w:color="auto" w:fill="7B1D1D"/>
            <w:vAlign w:val="center"/>
          </w:tcPr>
          <w:p>
            <w:pPr>
              <w:pStyle w:val="BECCell"/>
              <w:jc w:val="right"/>
            </w:pPr>
            <w:r>
              <w:rPr>
                <w:b/>
                <w:color w:val="FFFFFF"/>
              </w:rPr>
              <w:t xml:space="preserve">Value</w:t>
            </w:r>
          </w:p>
        </w:tc>
        <w:tc>
          <w:tcPr>
            <w:tcW w:w="2148" w:type="dxa"/>
            <w:shd w:val="clear" w:color="auto" w:fill="7B1D1D"/>
            <w:vAlign w:val="center"/>
          </w:tcPr>
          <w:p>
            <w:pPr>
              <w:pStyle w:val="BECCell"/>
            </w:pPr>
            <w:r>
              <w:rPr>
                <w:b/>
                <w:color w:val="FFFFFF"/>
              </w:rPr>
              <w:t xml:space="preserve">Decision rule</w:t>
            </w:r>
          </w:p>
        </w:tc>
        <w:tc>
          <w:tcPr>
            <w:tcW w:w="1074" w:type="dxa"/>
            <w:shd w:val="clear" w:color="auto" w:fill="7B1D1D"/>
            <w:vAlign w:val="center"/>
          </w:tcPr>
          <w:p>
            <w:pPr>
              <w:pStyle w:val="BECCell"/>
            </w:pPr>
            <w:r>
              <w:rPr>
                <w:b/>
                <w:color w:val="FFFFFF"/>
              </w:rPr>
              <w:t xml:space="preserve">Verdict</w:t>
            </w:r>
          </w:p>
        </w:tc>
      </w:tr>
      <w:tr>
        <w:trPr>
          <w:cantSplit/>
        </w:trPr>
        <w:tc>
          <w:tcPr>
            <w:tcW w:w="4450" w:type="dxa"/>
            <w:vAlign w:val="center"/>
          </w:tcPr>
          <w:p>
            <w:pPr>
              <w:pStyle w:val="BECCell"/>
            </w:pPr>
            <w:r>
              <w:t xml:space="preserve">Net Present Value (5 yr, 10%)</w:t>
            </w:r>
          </w:p>
        </w:tc>
        <w:tc>
          <w:tcPr>
            <w:tcW w:w="1688" w:type="dxa"/>
            <w:vAlign w:val="center"/>
          </w:tcPr>
          <w:p>
            <w:pPr>
              <w:pStyle w:val="BECCell"/>
              <w:jc w:val="right"/>
            </w:pPr>
            <w:r>
              <w:rPr>
                <w:b/>
              </w:rPr>
              <w:t xml:space="preserve">₱313,420</w:t>
            </w:r>
          </w:p>
        </w:tc>
        <w:tc>
          <w:tcPr>
            <w:tcW w:w="2148" w:type="dxa"/>
            <w:vAlign w:val="center"/>
          </w:tcPr>
          <w:p>
            <w:pPr>
              <w:pStyle w:val="BECCell"/>
            </w:pPr>
            <w:r>
              <w:t xml:space="preserve">NPV &gt; 0</w:t>
            </w:r>
          </w:p>
        </w:tc>
        <w:tc>
          <w:tcPr>
            <w:tcW w:w="1074" w:type="dxa"/>
            <w:vAlign w:val="center"/>
          </w:tcPr>
          <w:p>
            <w:pPr>
              <w:pStyle w:val="BECCell"/>
            </w:pPr>
            <w:r>
              <w:rPr>
                <w:b/>
              </w:rPr>
              <w:t xml:space="preserve">PASS</w:t>
            </w:r>
          </w:p>
        </w:tc>
      </w:tr>
      <w:tr>
        <w:trPr>
          <w:cantSplit/>
        </w:trPr>
        <w:tc>
          <w:tcPr>
            <w:tcW w:w="4450" w:type="dxa"/>
            <w:shd w:val="clear" w:color="auto" w:fill="F4F1EA"/>
            <w:vAlign w:val="center"/>
          </w:tcPr>
          <w:p>
            <w:pPr>
              <w:pStyle w:val="BECCell"/>
            </w:pPr>
            <w:r>
              <w:t xml:space="preserve">Benefit–Cost Ratio</w:t>
            </w:r>
          </w:p>
        </w:tc>
        <w:tc>
          <w:tcPr>
            <w:tcW w:w="1688" w:type="dxa"/>
            <w:shd w:val="clear" w:color="auto" w:fill="F4F1EA"/>
            <w:vAlign w:val="center"/>
          </w:tcPr>
          <w:p>
            <w:pPr>
              <w:pStyle w:val="BECCell"/>
              <w:jc w:val="right"/>
            </w:pPr>
            <w:r>
              <w:rPr>
                <w:b/>
              </w:rPr>
              <w:t xml:space="preserve">1.99</w:t>
            </w:r>
          </w:p>
        </w:tc>
        <w:tc>
          <w:tcPr>
            <w:tcW w:w="2148" w:type="dxa"/>
            <w:shd w:val="clear" w:color="auto" w:fill="F4F1EA"/>
            <w:vAlign w:val="center"/>
          </w:tcPr>
          <w:p>
            <w:pPr>
              <w:pStyle w:val="BECCell"/>
            </w:pPr>
            <w:r>
              <w:t xml:space="preserve">BCR &gt; 1.0</w:t>
            </w:r>
          </w:p>
        </w:tc>
        <w:tc>
          <w:tcPr>
            <w:tcW w:w="1074" w:type="dxa"/>
            <w:shd w:val="clear" w:color="auto" w:fill="F4F1EA"/>
            <w:vAlign w:val="center"/>
          </w:tcPr>
          <w:p>
            <w:pPr>
              <w:pStyle w:val="BECCell"/>
            </w:pPr>
            <w:r>
              <w:rPr>
                <w:b/>
              </w:rPr>
              <w:t xml:space="preserve">PASS</w:t>
            </w:r>
          </w:p>
        </w:tc>
      </w:tr>
      <w:tr>
        <w:trPr>
          <w:cantSplit/>
        </w:trPr>
        <w:tc>
          <w:tcPr>
            <w:tcW w:w="4450" w:type="dxa"/>
            <w:vAlign w:val="center"/>
          </w:tcPr>
          <w:p>
            <w:pPr>
              <w:pStyle w:val="BECCell"/>
            </w:pPr>
            <w:r>
              <w:t xml:space="preserve">Return on Investment (5 yr)</w:t>
            </w:r>
          </w:p>
        </w:tc>
        <w:tc>
          <w:tcPr>
            <w:tcW w:w="1688" w:type="dxa"/>
            <w:vAlign w:val="center"/>
          </w:tcPr>
          <w:p>
            <w:pPr>
              <w:pStyle w:val="BECCell"/>
              <w:jc w:val="right"/>
            </w:pPr>
            <w:r>
              <w:rPr>
                <w:b/>
              </w:rPr>
              <w:t xml:space="preserve">99.4%</w:t>
            </w:r>
          </w:p>
        </w:tc>
        <w:tc>
          <w:tcPr>
            <w:tcW w:w="2148" w:type="dxa"/>
            <w:vAlign w:val="center"/>
          </w:tcPr>
          <w:p>
            <w:pPr>
              <w:pStyle w:val="BECCell"/>
            </w:pPr>
            <w:r>
              <w:t xml:space="preserve">ROI &gt; 0%</w:t>
            </w:r>
          </w:p>
        </w:tc>
        <w:tc>
          <w:tcPr>
            <w:tcW w:w="1074" w:type="dxa"/>
            <w:vAlign w:val="center"/>
          </w:tcPr>
          <w:p>
            <w:pPr>
              <w:pStyle w:val="BECCell"/>
            </w:pPr>
            <w:r>
              <w:rPr>
                <w:b/>
              </w:rPr>
              <w:t xml:space="preserve">PASS</w:t>
            </w:r>
          </w:p>
        </w:tc>
      </w:tr>
      <w:tr>
        <w:trPr>
          <w:cantSplit/>
        </w:trPr>
        <w:tc>
          <w:tcPr>
            <w:tcW w:w="4450" w:type="dxa"/>
            <w:shd w:val="clear" w:color="auto" w:fill="F4F1EA"/>
            <w:vAlign w:val="center"/>
          </w:tcPr>
          <w:p>
            <w:pPr>
              <w:pStyle w:val="BECCell"/>
            </w:pPr>
            <w:r>
              <w:t xml:space="preserve">Internal Rate of Return</w:t>
            </w:r>
          </w:p>
        </w:tc>
        <w:tc>
          <w:tcPr>
            <w:tcW w:w="1688" w:type="dxa"/>
            <w:shd w:val="clear" w:color="auto" w:fill="F4F1EA"/>
            <w:vAlign w:val="center"/>
          </w:tcPr>
          <w:p>
            <w:pPr>
              <w:pStyle w:val="BECCell"/>
              <w:jc w:val="right"/>
            </w:pPr>
            <w:r>
              <w:rPr>
                <w:b/>
              </w:rPr>
              <w:t xml:space="preserve">≈65%</w:t>
            </w:r>
          </w:p>
        </w:tc>
        <w:tc>
          <w:tcPr>
            <w:tcW w:w="2148" w:type="dxa"/>
            <w:shd w:val="clear" w:color="auto" w:fill="F4F1EA"/>
            <w:vAlign w:val="center"/>
          </w:tcPr>
          <w:p>
            <w:pPr>
              <w:pStyle w:val="BECCell"/>
            </w:pPr>
            <w:r>
              <w:t xml:space="preserve">IRR &gt; 10%</w:t>
            </w:r>
          </w:p>
        </w:tc>
        <w:tc>
          <w:tcPr>
            <w:tcW w:w="1074" w:type="dxa"/>
            <w:shd w:val="clear" w:color="auto" w:fill="F4F1EA"/>
            <w:vAlign w:val="center"/>
          </w:tcPr>
          <w:p>
            <w:pPr>
              <w:pStyle w:val="BECCell"/>
            </w:pPr>
            <w:r>
              <w:rPr>
                <w:b/>
              </w:rPr>
              <w:t xml:space="preserve">PASS</w:t>
            </w:r>
          </w:p>
        </w:tc>
      </w:tr>
      <w:tr>
        <w:trPr>
          <w:cantSplit/>
        </w:trPr>
        <w:tc>
          <w:tcPr>
            <w:tcW w:w="4450" w:type="dxa"/>
            <w:vAlign w:val="center"/>
          </w:tcPr>
          <w:p>
            <w:pPr>
              <w:pStyle w:val="BECCell"/>
            </w:pPr>
            <w:r>
              <w:t xml:space="preserve">Payback period (simple)</w:t>
            </w:r>
          </w:p>
        </w:tc>
        <w:tc>
          <w:tcPr>
            <w:tcW w:w="1688" w:type="dxa"/>
            <w:vAlign w:val="center"/>
          </w:tcPr>
          <w:p>
            <w:pPr>
              <w:pStyle w:val="BECCell"/>
              <w:jc w:val="right"/>
            </w:pPr>
            <w:r>
              <w:rPr>
                <w:b/>
              </w:rPr>
              <w:t xml:space="preserve">16.9 months</w:t>
            </w:r>
          </w:p>
        </w:tc>
        <w:tc>
          <w:tcPr>
            <w:tcW w:w="2148" w:type="dxa"/>
            <w:vAlign w:val="center"/>
          </w:tcPr>
          <w:p>
            <w:pPr>
              <w:pStyle w:val="BECCell"/>
            </w:pPr>
            <w:r>
              <w:t xml:space="preserve">&lt; 5 yr horizon</w:t>
            </w:r>
          </w:p>
        </w:tc>
        <w:tc>
          <w:tcPr>
            <w:tcW w:w="1074" w:type="dxa"/>
            <w:vAlign w:val="center"/>
          </w:tcPr>
          <w:p>
            <w:pPr>
              <w:pStyle w:val="BECCell"/>
            </w:pPr>
            <w:r>
              <w:rPr>
                <w:b/>
              </w:rPr>
              <w:t xml:space="preserve">PASS</w:t>
            </w:r>
          </w:p>
        </w:tc>
      </w:tr>
      <w:tr>
        <w:trPr>
          <w:cantSplit/>
        </w:trPr>
        <w:tc>
          <w:tcPr>
            <w:tcW w:w="4450" w:type="dxa"/>
            <w:shd w:val="clear" w:color="auto" w:fill="F4F1EA"/>
            <w:vAlign w:val="center"/>
          </w:tcPr>
          <w:p>
            <w:pPr>
              <w:pStyle w:val="BECCell"/>
            </w:pPr>
            <w:r>
              <w:t xml:space="preserve">Payback period (discounted)</w:t>
            </w:r>
          </w:p>
        </w:tc>
        <w:tc>
          <w:tcPr>
            <w:tcW w:w="1688" w:type="dxa"/>
            <w:shd w:val="clear" w:color="auto" w:fill="F4F1EA"/>
            <w:vAlign w:val="center"/>
          </w:tcPr>
          <w:p>
            <w:pPr>
              <w:pStyle w:val="BECCell"/>
              <w:jc w:val="right"/>
            </w:pPr>
            <w:r>
              <w:rPr>
                <w:b/>
              </w:rPr>
              <w:t xml:space="preserve">19.3 months</w:t>
            </w:r>
          </w:p>
        </w:tc>
        <w:tc>
          <w:tcPr>
            <w:tcW w:w="2148" w:type="dxa"/>
            <w:shd w:val="clear" w:color="auto" w:fill="F4F1EA"/>
            <w:vAlign w:val="center"/>
          </w:tcPr>
          <w:p>
            <w:pPr>
              <w:pStyle w:val="BECCell"/>
            </w:pPr>
            <w:r>
              <w:t xml:space="preserve">&lt; 5 yr horizon</w:t>
            </w:r>
          </w:p>
        </w:tc>
        <w:tc>
          <w:tcPr>
            <w:tcW w:w="1074" w:type="dxa"/>
            <w:shd w:val="clear" w:color="auto" w:fill="F4F1EA"/>
            <w:vAlign w:val="center"/>
          </w:tcPr>
          <w:p>
            <w:pPr>
              <w:pStyle w:val="BECCell"/>
            </w:pPr>
            <w:r>
              <w:rPr>
                <w:b/>
              </w:rPr>
              <w:t xml:space="preserve">PASS</w:t>
            </w:r>
          </w:p>
        </w:tc>
      </w:tr>
    </w:tbl>
    <w:p>
      <w:pPr>
        <w:spacing w:after="0" w:line="120" w:lineRule="exact"/>
      </w:pPr>
    </w:p>
    <w:p>
      <w:pPr>
        <w:pStyle w:val="Heading3"/>
      </w:pPr>
      <w:r>
        <w:t xml:space="preserve">9.4 Derived Unit Economics</w:t>
      </w:r>
    </w:p>
    <w:p>
      <w:pPr>
        <w:pStyle w:val="Normal"/>
      </w:pPr>
      <w:r>
        <w:rPr>
          <w:b/>
        </w:rPr>
        <w:t xml:space="preserve">Table 9.3 — Unit Cost Indicators</w:t>
      </w:r>
    </w:p>
    <w:tbl>
      <w:tblPr>
        <w:tblStyle w:val="BECTable"/>
        <w:tblW w:w="9360" w:type="dxa"/>
        <w:tblLayout w:type="fixed"/>
        <w:tblCellMar>
          <w:top w:w="60" w:type="dxa"/>
          <w:left w:w="90" w:type="dxa"/>
          <w:bottom w:w="60" w:type="dxa"/>
          <w:right w:w="90" w:type="dxa"/>
        </w:tblCellMar>
      </w:tblPr>
      <w:tblGrid>
        <w:gridCol w:w="4800"/>
        <w:gridCol w:w="3360"/>
        <w:gridCol w:w="1200"/>
      </w:tblGrid>
      <w:tr>
        <w:trPr>
          <w:tblHeader/>
          <w:cantSplit/>
        </w:trPr>
        <w:tc>
          <w:tcPr>
            <w:tcW w:w="4800" w:type="dxa"/>
            <w:shd w:val="clear" w:color="auto" w:fill="7B1D1D"/>
            <w:vAlign w:val="center"/>
          </w:tcPr>
          <w:p>
            <w:pPr>
              <w:pStyle w:val="BECCell"/>
            </w:pPr>
            <w:r>
              <w:rPr>
                <w:b/>
                <w:color w:val="FFFFFF"/>
              </w:rPr>
              <w:t xml:space="preserve">Indicator</w:t>
            </w:r>
          </w:p>
        </w:tc>
        <w:tc>
          <w:tcPr>
            <w:tcW w:w="3360" w:type="dxa"/>
            <w:shd w:val="clear" w:color="auto" w:fill="7B1D1D"/>
            <w:vAlign w:val="center"/>
          </w:tcPr>
          <w:p>
            <w:pPr>
              <w:pStyle w:val="BECCell"/>
            </w:pPr>
            <w:r>
              <w:rPr>
                <w:b/>
                <w:color w:val="FFFFFF"/>
              </w:rPr>
              <w:t xml:space="preserve">Computation</w:t>
            </w:r>
          </w:p>
        </w:tc>
        <w:tc>
          <w:tcPr>
            <w:tcW w:w="1200" w:type="dxa"/>
            <w:shd w:val="clear" w:color="auto" w:fill="7B1D1D"/>
            <w:vAlign w:val="center"/>
          </w:tcPr>
          <w:p>
            <w:pPr>
              <w:pStyle w:val="BECCell"/>
              <w:jc w:val="right"/>
            </w:pPr>
            <w:r>
              <w:rPr>
                <w:b/>
                <w:color w:val="FFFFFF"/>
              </w:rPr>
              <w:t xml:space="preserve">Value</w:t>
            </w:r>
          </w:p>
        </w:tc>
      </w:tr>
      <w:tr>
        <w:trPr>
          <w:cantSplit/>
        </w:trPr>
        <w:tc>
          <w:tcPr>
            <w:tcW w:w="4800" w:type="dxa"/>
            <w:vAlign w:val="center"/>
          </w:tcPr>
          <w:p>
            <w:pPr>
              <w:pStyle w:val="BECCell"/>
            </w:pPr>
            <w:r>
              <w:t xml:space="preserve">Equivalent annual cost of ownership</w:t>
            </w:r>
          </w:p>
        </w:tc>
        <w:tc>
          <w:tcPr>
            <w:tcW w:w="3360" w:type="dxa"/>
            <w:vAlign w:val="center"/>
          </w:tcPr>
          <w:p>
            <w:pPr>
              <w:pStyle w:val="BECCell"/>
            </w:pPr>
            <w:r>
              <w:t xml:space="preserve">PV(C) ÷ 3.790787</w:t>
            </w:r>
          </w:p>
        </w:tc>
        <w:tc>
          <w:tcPr>
            <w:tcW w:w="1200" w:type="dxa"/>
            <w:vAlign w:val="center"/>
          </w:tcPr>
          <w:p>
            <w:pPr>
              <w:pStyle w:val="BECCell"/>
              <w:jc w:val="right"/>
            </w:pPr>
            <w:r>
              <w:t xml:space="preserve">₱83,201/yr</w:t>
            </w:r>
          </w:p>
        </w:tc>
      </w:tr>
      <w:tr>
        <w:trPr>
          <w:cantSplit/>
        </w:trPr>
        <w:tc>
          <w:tcPr>
            <w:tcW w:w="4800" w:type="dxa"/>
            <w:shd w:val="clear" w:color="auto" w:fill="F4F1EA"/>
            <w:vAlign w:val="center"/>
          </w:tcPr>
          <w:p>
            <w:pPr>
              <w:pStyle w:val="BECCell"/>
            </w:pPr>
            <w:r>
              <w:t xml:space="preserve">Cost per defect report processed</w:t>
            </w:r>
          </w:p>
        </w:tc>
        <w:tc>
          <w:tcPr>
            <w:tcW w:w="3360" w:type="dxa"/>
            <w:shd w:val="clear" w:color="auto" w:fill="F4F1EA"/>
            <w:vAlign w:val="center"/>
          </w:tcPr>
          <w:p>
            <w:pPr>
              <w:pStyle w:val="BECCell"/>
            </w:pPr>
            <w:r>
              <w:t xml:space="preserve">₱83,201 ÷ 1,200</w:t>
            </w:r>
          </w:p>
        </w:tc>
        <w:tc>
          <w:tcPr>
            <w:tcW w:w="1200" w:type="dxa"/>
            <w:shd w:val="clear" w:color="auto" w:fill="F4F1EA"/>
            <w:vAlign w:val="center"/>
          </w:tcPr>
          <w:p>
            <w:pPr>
              <w:pStyle w:val="BECCell"/>
              <w:jc w:val="right"/>
            </w:pPr>
            <w:r>
              <w:rPr>
                <w:b/>
              </w:rPr>
              <w:t xml:space="preserve">₱69.33</w:t>
            </w:r>
          </w:p>
        </w:tc>
      </w:tr>
      <w:tr>
        <w:trPr>
          <w:cantSplit/>
        </w:trPr>
        <w:tc>
          <w:tcPr>
            <w:tcW w:w="4800" w:type="dxa"/>
            <w:vAlign w:val="center"/>
          </w:tcPr>
          <w:p>
            <w:pPr>
              <w:pStyle w:val="BECCell"/>
            </w:pPr>
            <w:r>
              <w:t xml:space="preserve">Cost per registered campus user per year</w:t>
            </w:r>
          </w:p>
        </w:tc>
        <w:tc>
          <w:tcPr>
            <w:tcW w:w="3360" w:type="dxa"/>
            <w:vAlign w:val="center"/>
          </w:tcPr>
          <w:p>
            <w:pPr>
              <w:pStyle w:val="BECCell"/>
            </w:pPr>
            <w:r>
              <w:t xml:space="preserve">₱83,201 ÷ 5,000</w:t>
            </w:r>
          </w:p>
        </w:tc>
        <w:tc>
          <w:tcPr>
            <w:tcW w:w="1200" w:type="dxa"/>
            <w:vAlign w:val="center"/>
          </w:tcPr>
          <w:p>
            <w:pPr>
              <w:pStyle w:val="BECCell"/>
              <w:jc w:val="right"/>
            </w:pPr>
            <w:r>
              <w:rPr>
                <w:b/>
              </w:rPr>
              <w:t xml:space="preserve">₱16.64</w:t>
            </w:r>
          </w:p>
        </w:tc>
      </w:tr>
      <w:tr>
        <w:trPr>
          <w:cantSplit/>
        </w:trPr>
        <w:tc>
          <w:tcPr>
            <w:tcW w:w="4800" w:type="dxa"/>
            <w:shd w:val="clear" w:color="auto" w:fill="F4F1EA"/>
            <w:vAlign w:val="center"/>
          </w:tcPr>
          <w:p>
            <w:pPr>
              <w:pStyle w:val="BECCell"/>
            </w:pPr>
            <w:r>
              <w:t xml:space="preserve">Net benefit per defect report processed</w:t>
            </w:r>
          </w:p>
        </w:tc>
        <w:tc>
          <w:tcPr>
            <w:tcW w:w="3360" w:type="dxa"/>
            <w:shd w:val="clear" w:color="auto" w:fill="F4F1EA"/>
            <w:vAlign w:val="center"/>
          </w:tcPr>
          <w:p>
            <w:pPr>
              <w:pStyle w:val="BECCell"/>
            </w:pPr>
            <w:r>
              <w:t xml:space="preserve">(₱165,880 − ₱34,149) ÷ 1,200</w:t>
            </w:r>
          </w:p>
        </w:tc>
        <w:tc>
          <w:tcPr>
            <w:tcW w:w="1200" w:type="dxa"/>
            <w:shd w:val="clear" w:color="auto" w:fill="F4F1EA"/>
            <w:vAlign w:val="center"/>
          </w:tcPr>
          <w:p>
            <w:pPr>
              <w:pStyle w:val="BECCell"/>
              <w:jc w:val="right"/>
            </w:pPr>
            <w:r>
              <w:rPr>
                <w:b/>
              </w:rPr>
              <w:t xml:space="preserve">₱109.78</w:t>
            </w:r>
          </w:p>
        </w:tc>
      </w:tr>
    </w:tbl>
    <w:p>
      <w:pPr>
        <w:spacing w:after="0" w:line="120" w:lineRule="exact"/>
      </w:pPr>
    </w:p>
    <w:p>
      <w:pPr>
        <w:pStyle w:val="Heading3"/>
      </w:pPr>
      <w:r>
        <w:t xml:space="preserve">9.5 Cash-Basis Restatement</w:t>
      </w:r>
    </w:p>
    <w:p>
      <w:pPr>
        <w:pStyle w:val="Normal"/>
      </w:pPr>
      <w:r>
        <w:t xml:space="preserve">Because ₱185,944 of Year-0 cost is imputed rather than cash-settled (§5.5), the institution's actual cash position differs materially. On a cash basis — recognizing only recurring costs R1–R6 — the indicators are:</w:t>
      </w:r>
    </w:p>
    <w:tbl>
      <w:tblPr>
        <w:tblStyle w:val="BECTable"/>
        <w:tblW w:w="9360" w:type="dxa"/>
        <w:tblLayout w:type="fixed"/>
        <w:tblCellMar>
          <w:top w:w="60" w:type="dxa"/>
          <w:left w:w="90" w:type="dxa"/>
          <w:bottom w:w="60" w:type="dxa"/>
          <w:right w:w="90" w:type="dxa"/>
        </w:tblCellMar>
      </w:tblPr>
      <w:tblGrid>
        <w:gridCol w:w="3186"/>
        <w:gridCol w:w="6174"/>
      </w:tblGrid>
      <w:tr>
        <w:trPr>
          <w:tblHeader/>
          <w:cantSplit/>
        </w:trPr>
        <w:tc>
          <w:tcPr>
            <w:tcW w:w="3186" w:type="dxa"/>
            <w:shd w:val="clear" w:color="auto" w:fill="7B1D1D"/>
            <w:vAlign w:val="center"/>
          </w:tcPr>
          <w:p>
            <w:pPr>
              <w:pStyle w:val="BECCell"/>
            </w:pPr>
            <w:r>
              <w:rPr>
                <w:b/>
                <w:color w:val="FFFFFF"/>
              </w:rPr>
              <w:t xml:space="preserve">Indicator</w:t>
            </w:r>
          </w:p>
        </w:tc>
        <w:tc>
          <w:tcPr>
            <w:tcW w:w="6174" w:type="dxa"/>
            <w:shd w:val="clear" w:color="auto" w:fill="7B1D1D"/>
            <w:vAlign w:val="center"/>
          </w:tcPr>
          <w:p>
            <w:pPr>
              <w:pStyle w:val="BECCell"/>
              <w:jc w:val="right"/>
            </w:pPr>
            <w:r>
              <w:rPr>
                <w:b/>
                <w:color w:val="FFFFFF"/>
              </w:rPr>
              <w:t xml:space="preserve">Cash basis</w:t>
            </w:r>
          </w:p>
        </w:tc>
      </w:tr>
      <w:tr>
        <w:trPr>
          <w:cantSplit/>
        </w:trPr>
        <w:tc>
          <w:tcPr>
            <w:tcW w:w="3186" w:type="dxa"/>
            <w:vAlign w:val="center"/>
          </w:tcPr>
          <w:p>
            <w:pPr>
              <w:pStyle w:val="BECCell"/>
            </w:pPr>
            <w:r>
              <w:t xml:space="preserve">PV of cash costs</w:t>
            </w:r>
          </w:p>
        </w:tc>
        <w:tc>
          <w:tcPr>
            <w:tcW w:w="6174" w:type="dxa"/>
            <w:vAlign w:val="center"/>
          </w:tcPr>
          <w:p>
            <w:pPr>
              <w:pStyle w:val="BECCell"/>
              <w:jc w:val="right"/>
            </w:pPr>
            <w:r>
              <w:t xml:space="preserve">₱129,452</w:t>
            </w:r>
          </w:p>
        </w:tc>
      </w:tr>
      <w:tr>
        <w:trPr>
          <w:cantSplit/>
        </w:trPr>
        <w:tc>
          <w:tcPr>
            <w:tcW w:w="3186" w:type="dxa"/>
            <w:shd w:val="clear" w:color="auto" w:fill="F4F1EA"/>
            <w:vAlign w:val="center"/>
          </w:tcPr>
          <w:p>
            <w:pPr>
              <w:pStyle w:val="BECCell"/>
            </w:pPr>
            <w:r>
              <w:t xml:space="preserve">NPV</w:t>
            </w:r>
          </w:p>
        </w:tc>
        <w:tc>
          <w:tcPr>
            <w:tcW w:w="6174" w:type="dxa"/>
            <w:shd w:val="clear" w:color="auto" w:fill="F4F1EA"/>
            <w:vAlign w:val="center"/>
          </w:tcPr>
          <w:p>
            <w:pPr>
              <w:pStyle w:val="BECCell"/>
              <w:jc w:val="right"/>
            </w:pPr>
            <w:r>
              <w:t xml:space="preserve">₱499,364</w:t>
            </w:r>
          </w:p>
        </w:tc>
      </w:tr>
      <w:tr>
        <w:trPr>
          <w:cantSplit/>
        </w:trPr>
        <w:tc>
          <w:tcPr>
            <w:tcW w:w="3186" w:type="dxa"/>
            <w:vAlign w:val="center"/>
          </w:tcPr>
          <w:p>
            <w:pPr>
              <w:pStyle w:val="BECCell"/>
            </w:pPr>
            <w:r>
              <w:t xml:space="preserve">BCR</w:t>
            </w:r>
          </w:p>
        </w:tc>
        <w:tc>
          <w:tcPr>
            <w:tcW w:w="6174" w:type="dxa"/>
            <w:vAlign w:val="center"/>
          </w:tcPr>
          <w:p>
            <w:pPr>
              <w:pStyle w:val="BECCell"/>
              <w:jc w:val="right"/>
            </w:pPr>
            <w:r>
              <w:t xml:space="preserve">4.86</w:t>
            </w:r>
          </w:p>
        </w:tc>
      </w:tr>
      <w:tr>
        <w:trPr>
          <w:cantSplit/>
        </w:trPr>
        <w:tc>
          <w:tcPr>
            <w:tcW w:w="3186" w:type="dxa"/>
            <w:shd w:val="clear" w:color="auto" w:fill="F4F1EA"/>
            <w:vAlign w:val="center"/>
          </w:tcPr>
          <w:p>
            <w:pPr>
              <w:pStyle w:val="BECCell"/>
            </w:pPr>
            <w:r>
              <w:t xml:space="preserve">ROI (5 yr)</w:t>
            </w:r>
          </w:p>
        </w:tc>
        <w:tc>
          <w:tcPr>
            <w:tcW w:w="6174" w:type="dxa"/>
            <w:shd w:val="clear" w:color="auto" w:fill="F4F1EA"/>
            <w:vAlign w:val="center"/>
          </w:tcPr>
          <w:p>
            <w:pPr>
              <w:pStyle w:val="BECCell"/>
              <w:jc w:val="right"/>
            </w:pPr>
            <w:r>
              <w:t xml:space="preserve">385.8%</w:t>
            </w:r>
          </w:p>
        </w:tc>
      </w:tr>
      <w:tr>
        <w:trPr>
          <w:cantSplit/>
        </w:trPr>
        <w:tc>
          <w:tcPr>
            <w:tcW w:w="3186" w:type="dxa"/>
            <w:vAlign w:val="center"/>
          </w:tcPr>
          <w:p>
            <w:pPr>
              <w:pStyle w:val="BECCell"/>
            </w:pPr>
            <w:r>
              <w:t xml:space="preserve">Payback</w:t>
            </w:r>
          </w:p>
        </w:tc>
        <w:tc>
          <w:tcPr>
            <w:tcW w:w="6174" w:type="dxa"/>
            <w:vAlign w:val="center"/>
          </w:tcPr>
          <w:p>
            <w:pPr>
              <w:pStyle w:val="BECCell"/>
              <w:jc w:val="right"/>
            </w:pPr>
            <w:r>
              <w:t xml:space="preserve">Immediate (Year 1 net positive)</w:t>
            </w:r>
          </w:p>
        </w:tc>
      </w:tr>
    </w:tbl>
    <w:p>
      <w:pPr>
        <w:spacing w:after="0" w:line="120" w:lineRule="exact"/>
      </w:pPr>
    </w:p>
    <w:p>
      <w:pPr>
        <w:pStyle w:val="Normal"/>
      </w:pPr>
      <w:r>
        <w:rPr>
          <w:b/>
        </w:rPr>
        <w:t xml:space="preserve">The shadow-priced figures in §9.3 are the analytically correct basis for the decision</w:t>
      </w:r>
      <w:r>
        <w:t xml:space="preserve"> and are the figures cited throughout this paper. The cash-basis restatement is provided solely to document the institution's actual outlay position.</w:t>
      </w:r>
    </w:p>
    <w:p>
      <w:pPr>
        <w:pStyle w:val="BECRule"/>
      </w:pPr>
    </w:p>
    <w:p>
      <w:pPr>
        <w:pStyle w:val="Heading2"/>
      </w:pPr>
      <w:r>
        <w:t xml:space="preserve">10. SCENARIO ANALYSIS</w:t>
      </w:r>
    </w:p>
    <w:p>
      <w:pPr>
        <w:pStyle w:val="Normal"/>
      </w:pPr>
      <w:r>
        <w:t xml:space="preserve">Three scenarios are constructed by varying the four principal benefit drivers. Cost parameters are held constant across scenarios (except for a modest hosting and API allowance in the optimistic case reflecting higher transaction volume), since costs are determined by the build rather than by usage; cost uncertainty is treated separately in §11.</w:t>
      </w:r>
    </w:p>
    <w:p>
      <w:pPr>
        <w:pStyle w:val="Normal"/>
      </w:pPr>
      <w:r>
        <w:rPr>
          <w:b/>
        </w:rPr>
        <w:t xml:space="preserve">Table 10.1 — Scenario Parameter Definitions</w:t>
      </w:r>
    </w:p>
    <w:tbl>
      <w:tblPr>
        <w:tblStyle w:val="BECTable"/>
        <w:tblW w:w="9360" w:type="dxa"/>
        <w:tblLayout w:type="fixed"/>
        <w:tblCellMar>
          <w:top w:w="60" w:type="dxa"/>
          <w:left w:w="90" w:type="dxa"/>
          <w:bottom w:w="60" w:type="dxa"/>
          <w:right w:w="90" w:type="dxa"/>
        </w:tblCellMar>
      </w:tblPr>
      <w:tblGrid>
        <w:gridCol w:w="5472"/>
        <w:gridCol w:w="1584"/>
        <w:gridCol w:w="864"/>
        <w:gridCol w:w="1440"/>
      </w:tblGrid>
      <w:tr>
        <w:trPr>
          <w:tblHeader/>
          <w:cantSplit/>
        </w:trPr>
        <w:tc>
          <w:tcPr>
            <w:tcW w:w="5472" w:type="dxa"/>
            <w:shd w:val="clear" w:color="auto" w:fill="7B1D1D"/>
            <w:vAlign w:val="center"/>
          </w:tcPr>
          <w:p>
            <w:pPr>
              <w:pStyle w:val="BECCell"/>
            </w:pPr>
            <w:r>
              <w:rPr>
                <w:b/>
                <w:color w:val="FFFFFF"/>
              </w:rPr>
              <w:t xml:space="preserve">Driver</w:t>
            </w:r>
          </w:p>
        </w:tc>
        <w:tc>
          <w:tcPr>
            <w:tcW w:w="1584" w:type="dxa"/>
            <w:shd w:val="clear" w:color="auto" w:fill="7B1D1D"/>
            <w:vAlign w:val="center"/>
          </w:tcPr>
          <w:p>
            <w:pPr>
              <w:pStyle w:val="BECCell"/>
              <w:jc w:val="right"/>
            </w:pPr>
            <w:r>
              <w:rPr>
                <w:b/>
                <w:color w:val="FFFFFF"/>
              </w:rPr>
              <w:t xml:space="preserve">Pessimistic</w:t>
            </w:r>
          </w:p>
        </w:tc>
        <w:tc>
          <w:tcPr>
            <w:tcW w:w="864" w:type="dxa"/>
            <w:shd w:val="clear" w:color="auto" w:fill="7B1D1D"/>
            <w:vAlign w:val="center"/>
          </w:tcPr>
          <w:p>
            <w:pPr>
              <w:pStyle w:val="BECCell"/>
              <w:jc w:val="right"/>
            </w:pPr>
            <w:r>
              <w:rPr>
                <w:b/>
                <w:color w:val="FFFFFF"/>
              </w:rPr>
              <w:t xml:space="preserve">Base</w:t>
            </w:r>
          </w:p>
        </w:tc>
        <w:tc>
          <w:tcPr>
            <w:tcW w:w="1440" w:type="dxa"/>
            <w:shd w:val="clear" w:color="auto" w:fill="7B1D1D"/>
            <w:vAlign w:val="center"/>
          </w:tcPr>
          <w:p>
            <w:pPr>
              <w:pStyle w:val="BECCell"/>
              <w:jc w:val="right"/>
            </w:pPr>
            <w:r>
              <w:rPr>
                <w:b/>
                <w:color w:val="FFFFFF"/>
              </w:rPr>
              <w:t xml:space="preserve">Optimistic</w:t>
            </w:r>
          </w:p>
        </w:tc>
      </w:tr>
      <w:tr>
        <w:trPr>
          <w:cantSplit/>
        </w:trPr>
        <w:tc>
          <w:tcPr>
            <w:tcW w:w="5472" w:type="dxa"/>
            <w:vAlign w:val="center"/>
          </w:tcPr>
          <w:p>
            <w:pPr>
              <w:pStyle w:val="BECCell"/>
            </w:pPr>
            <w:r>
              <w:t xml:space="preserve">Annual report volume</w:t>
            </w:r>
          </w:p>
        </w:tc>
        <w:tc>
          <w:tcPr>
            <w:tcW w:w="1584" w:type="dxa"/>
            <w:vAlign w:val="center"/>
          </w:tcPr>
          <w:p>
            <w:pPr>
              <w:pStyle w:val="BECCell"/>
              <w:jc w:val="right"/>
            </w:pPr>
            <w:r>
              <w:t xml:space="preserve">800</w:t>
            </w:r>
          </w:p>
        </w:tc>
        <w:tc>
          <w:tcPr>
            <w:tcW w:w="864" w:type="dxa"/>
            <w:vAlign w:val="center"/>
          </w:tcPr>
          <w:p>
            <w:pPr>
              <w:pStyle w:val="BECCell"/>
              <w:jc w:val="right"/>
            </w:pPr>
            <w:r>
              <w:t xml:space="preserve">1,200</w:t>
            </w:r>
          </w:p>
        </w:tc>
        <w:tc>
          <w:tcPr>
            <w:tcW w:w="1440" w:type="dxa"/>
            <w:vAlign w:val="center"/>
          </w:tcPr>
          <w:p>
            <w:pPr>
              <w:pStyle w:val="BECCell"/>
              <w:jc w:val="right"/>
            </w:pPr>
            <w:r>
              <w:t xml:space="preserve">1,800</w:t>
            </w:r>
          </w:p>
        </w:tc>
      </w:tr>
      <w:tr>
        <w:trPr>
          <w:cantSplit/>
        </w:trPr>
        <w:tc>
          <w:tcPr>
            <w:tcW w:w="5472" w:type="dxa"/>
            <w:shd w:val="clear" w:color="auto" w:fill="F4F1EA"/>
            <w:vAlign w:val="center"/>
          </w:tcPr>
          <w:p>
            <w:pPr>
              <w:pStyle w:val="BECCell"/>
            </w:pPr>
            <w:r>
              <w:t xml:space="preserve">Reporter minutes saved per report</w:t>
            </w:r>
          </w:p>
        </w:tc>
        <w:tc>
          <w:tcPr>
            <w:tcW w:w="1584" w:type="dxa"/>
            <w:shd w:val="clear" w:color="auto" w:fill="F4F1EA"/>
            <w:vAlign w:val="center"/>
          </w:tcPr>
          <w:p>
            <w:pPr>
              <w:pStyle w:val="BECCell"/>
              <w:jc w:val="right"/>
            </w:pPr>
            <w:r>
              <w:t xml:space="preserve">12</w:t>
            </w:r>
          </w:p>
        </w:tc>
        <w:tc>
          <w:tcPr>
            <w:tcW w:w="864" w:type="dxa"/>
            <w:shd w:val="clear" w:color="auto" w:fill="F4F1EA"/>
            <w:vAlign w:val="center"/>
          </w:tcPr>
          <w:p>
            <w:pPr>
              <w:pStyle w:val="BECCell"/>
              <w:jc w:val="right"/>
            </w:pPr>
            <w:r>
              <w:t xml:space="preserve">20</w:t>
            </w:r>
          </w:p>
        </w:tc>
        <w:tc>
          <w:tcPr>
            <w:tcW w:w="1440" w:type="dxa"/>
            <w:shd w:val="clear" w:color="auto" w:fill="F4F1EA"/>
            <w:vAlign w:val="center"/>
          </w:tcPr>
          <w:p>
            <w:pPr>
              <w:pStyle w:val="BECCell"/>
              <w:jc w:val="right"/>
            </w:pPr>
            <w:r>
              <w:t xml:space="preserve">28</w:t>
            </w:r>
          </w:p>
        </w:tc>
      </w:tr>
      <w:tr>
        <w:trPr>
          <w:cantSplit/>
        </w:trPr>
        <w:tc>
          <w:tcPr>
            <w:tcW w:w="5472" w:type="dxa"/>
            <w:vAlign w:val="center"/>
          </w:tcPr>
          <w:p>
            <w:pPr>
              <w:pStyle w:val="BECCell"/>
            </w:pPr>
            <w:r>
              <w:t xml:space="preserve">PMO minutes saved per report</w:t>
            </w:r>
          </w:p>
        </w:tc>
        <w:tc>
          <w:tcPr>
            <w:tcW w:w="1584" w:type="dxa"/>
            <w:vAlign w:val="center"/>
          </w:tcPr>
          <w:p>
            <w:pPr>
              <w:pStyle w:val="BECCell"/>
              <w:jc w:val="right"/>
            </w:pPr>
            <w:r>
              <w:t xml:space="preserve">10</w:t>
            </w:r>
          </w:p>
        </w:tc>
        <w:tc>
          <w:tcPr>
            <w:tcW w:w="864" w:type="dxa"/>
            <w:vAlign w:val="center"/>
          </w:tcPr>
          <w:p>
            <w:pPr>
              <w:pStyle w:val="BECCell"/>
              <w:jc w:val="right"/>
            </w:pPr>
            <w:r>
              <w:t xml:space="preserve">15</w:t>
            </w:r>
          </w:p>
        </w:tc>
        <w:tc>
          <w:tcPr>
            <w:tcW w:w="1440" w:type="dxa"/>
            <w:vAlign w:val="center"/>
          </w:tcPr>
          <w:p>
            <w:pPr>
              <w:pStyle w:val="BECCell"/>
              <w:jc w:val="right"/>
            </w:pPr>
            <w:r>
              <w:t xml:space="preserve">20</w:t>
            </w:r>
          </w:p>
        </w:tc>
      </w:tr>
      <w:tr>
        <w:trPr>
          <w:cantSplit/>
        </w:trPr>
        <w:tc>
          <w:tcPr>
            <w:tcW w:w="5472" w:type="dxa"/>
            <w:shd w:val="clear" w:color="auto" w:fill="F4F1EA"/>
            <w:vAlign w:val="center"/>
          </w:tcPr>
          <w:p>
            <w:pPr>
              <w:pStyle w:val="BECCell"/>
            </w:pPr>
            <w:r>
              <w:t xml:space="preserve">Repeat-visit avoidance rate</w:t>
            </w:r>
          </w:p>
        </w:tc>
        <w:tc>
          <w:tcPr>
            <w:tcW w:w="1584" w:type="dxa"/>
            <w:shd w:val="clear" w:color="auto" w:fill="F4F1EA"/>
            <w:vAlign w:val="center"/>
          </w:tcPr>
          <w:p>
            <w:pPr>
              <w:pStyle w:val="BECCell"/>
              <w:jc w:val="right"/>
            </w:pPr>
            <w:r>
              <w:t xml:space="preserve">8%</w:t>
            </w:r>
          </w:p>
        </w:tc>
        <w:tc>
          <w:tcPr>
            <w:tcW w:w="864" w:type="dxa"/>
            <w:shd w:val="clear" w:color="auto" w:fill="F4F1EA"/>
            <w:vAlign w:val="center"/>
          </w:tcPr>
          <w:p>
            <w:pPr>
              <w:pStyle w:val="BECCell"/>
              <w:jc w:val="right"/>
            </w:pPr>
            <w:r>
              <w:t xml:space="preserve">12%</w:t>
            </w:r>
          </w:p>
        </w:tc>
        <w:tc>
          <w:tcPr>
            <w:tcW w:w="1440" w:type="dxa"/>
            <w:shd w:val="clear" w:color="auto" w:fill="F4F1EA"/>
            <w:vAlign w:val="center"/>
          </w:tcPr>
          <w:p>
            <w:pPr>
              <w:pStyle w:val="BECCell"/>
              <w:jc w:val="right"/>
            </w:pPr>
            <w:r>
              <w:t xml:space="preserve">16%</w:t>
            </w:r>
          </w:p>
        </w:tc>
      </w:tr>
      <w:tr>
        <w:trPr>
          <w:cantSplit/>
        </w:trPr>
        <w:tc>
          <w:tcPr>
            <w:tcW w:w="5472" w:type="dxa"/>
            <w:vAlign w:val="center"/>
          </w:tcPr>
          <w:p>
            <w:pPr>
              <w:pStyle w:val="BECCell"/>
            </w:pPr>
            <w:r>
              <w:t xml:space="preserve">Maintenance expenditure reduction rate</w:t>
            </w:r>
          </w:p>
        </w:tc>
        <w:tc>
          <w:tcPr>
            <w:tcW w:w="1584" w:type="dxa"/>
            <w:vAlign w:val="center"/>
          </w:tcPr>
          <w:p>
            <w:pPr>
              <w:pStyle w:val="BECCell"/>
              <w:jc w:val="right"/>
            </w:pPr>
            <w:r>
              <w:t xml:space="preserve">2.5%</w:t>
            </w:r>
          </w:p>
        </w:tc>
        <w:tc>
          <w:tcPr>
            <w:tcW w:w="864" w:type="dxa"/>
            <w:vAlign w:val="center"/>
          </w:tcPr>
          <w:p>
            <w:pPr>
              <w:pStyle w:val="BECCell"/>
              <w:jc w:val="right"/>
            </w:pPr>
            <w:r>
              <w:t xml:space="preserve">5.0%</w:t>
            </w:r>
          </w:p>
        </w:tc>
        <w:tc>
          <w:tcPr>
            <w:tcW w:w="1440" w:type="dxa"/>
            <w:vAlign w:val="center"/>
          </w:tcPr>
          <w:p>
            <w:pPr>
              <w:pStyle w:val="BECCell"/>
              <w:jc w:val="right"/>
            </w:pPr>
            <w:r>
              <w:t xml:space="preserve">10.0%</w:t>
            </w:r>
          </w:p>
        </w:tc>
      </w:tr>
      <w:tr>
        <w:trPr>
          <w:cantSplit/>
        </w:trPr>
        <w:tc>
          <w:tcPr>
            <w:tcW w:w="5472" w:type="dxa"/>
            <w:shd w:val="clear" w:color="auto" w:fill="F4F1EA"/>
            <w:vAlign w:val="center"/>
          </w:tcPr>
          <w:p>
            <w:pPr>
              <w:pStyle w:val="BECCell"/>
            </w:pPr>
            <w:r>
              <w:t xml:space="preserve">Recurring annual cost (₱)</w:t>
            </w:r>
          </w:p>
        </w:tc>
        <w:tc>
          <w:tcPr>
            <w:tcW w:w="1584" w:type="dxa"/>
            <w:shd w:val="clear" w:color="auto" w:fill="F4F1EA"/>
            <w:vAlign w:val="center"/>
          </w:tcPr>
          <w:p>
            <w:pPr>
              <w:pStyle w:val="BECCell"/>
              <w:jc w:val="right"/>
            </w:pPr>
            <w:r>
              <w:t xml:space="preserve">34,149</w:t>
            </w:r>
          </w:p>
        </w:tc>
        <w:tc>
          <w:tcPr>
            <w:tcW w:w="864" w:type="dxa"/>
            <w:shd w:val="clear" w:color="auto" w:fill="F4F1EA"/>
            <w:vAlign w:val="center"/>
          </w:tcPr>
          <w:p>
            <w:pPr>
              <w:pStyle w:val="BECCell"/>
              <w:jc w:val="right"/>
            </w:pPr>
            <w:r>
              <w:t xml:space="preserve">34,149</w:t>
            </w:r>
          </w:p>
        </w:tc>
        <w:tc>
          <w:tcPr>
            <w:tcW w:w="1440" w:type="dxa"/>
            <w:shd w:val="clear" w:color="auto" w:fill="F4F1EA"/>
            <w:vAlign w:val="center"/>
          </w:tcPr>
          <w:p>
            <w:pPr>
              <w:pStyle w:val="BECCell"/>
              <w:jc w:val="right"/>
            </w:pPr>
            <w:r>
              <w:t xml:space="preserve">37,449</w:t>
            </w:r>
          </w:p>
        </w:tc>
      </w:tr>
    </w:tbl>
    <w:p>
      <w:pPr>
        <w:spacing w:after="0" w:line="120" w:lineRule="exact"/>
      </w:pPr>
    </w:p>
    <w:p>
      <w:pPr>
        <w:pStyle w:val="Normal"/>
      </w:pPr>
      <w:r>
        <w:rPr>
          <w:b/>
        </w:rPr>
        <w:t xml:space="preserve">Table 10.2 — Scenario Benefit Streams (₱ per annum)</w:t>
      </w:r>
    </w:p>
    <w:tbl>
      <w:tblPr>
        <w:tblStyle w:val="BECTable"/>
        <w:tblW w:w="9360" w:type="dxa"/>
        <w:tblLayout w:type="fixed"/>
        <w:tblCellMar>
          <w:top w:w="60" w:type="dxa"/>
          <w:left w:w="90" w:type="dxa"/>
          <w:bottom w:w="60" w:type="dxa"/>
          <w:right w:w="90" w:type="dxa"/>
        </w:tblCellMar>
      </w:tblPr>
      <w:tblGrid>
        <w:gridCol w:w="4680"/>
        <w:gridCol w:w="1839"/>
        <w:gridCol w:w="1170"/>
        <w:gridCol w:w="1671"/>
      </w:tblGrid>
      <w:tr>
        <w:trPr>
          <w:tblHeader/>
          <w:cantSplit/>
        </w:trPr>
        <w:tc>
          <w:tcPr>
            <w:tcW w:w="4680" w:type="dxa"/>
            <w:shd w:val="clear" w:color="auto" w:fill="7B1D1D"/>
            <w:vAlign w:val="center"/>
          </w:tcPr>
          <w:p>
            <w:pPr>
              <w:pStyle w:val="BECCell"/>
            </w:pPr>
            <w:r>
              <w:rPr>
                <w:b/>
                <w:color w:val="FFFFFF"/>
              </w:rPr>
              <w:t xml:space="preserve">Stream</w:t>
            </w:r>
          </w:p>
        </w:tc>
        <w:tc>
          <w:tcPr>
            <w:tcW w:w="1839" w:type="dxa"/>
            <w:shd w:val="clear" w:color="auto" w:fill="7B1D1D"/>
            <w:vAlign w:val="center"/>
          </w:tcPr>
          <w:p>
            <w:pPr>
              <w:pStyle w:val="BECCell"/>
              <w:jc w:val="right"/>
            </w:pPr>
            <w:r>
              <w:rPr>
                <w:b/>
                <w:color w:val="FFFFFF"/>
              </w:rPr>
              <w:t xml:space="preserve">Pessimistic</w:t>
            </w:r>
          </w:p>
        </w:tc>
        <w:tc>
          <w:tcPr>
            <w:tcW w:w="1170" w:type="dxa"/>
            <w:shd w:val="clear" w:color="auto" w:fill="7B1D1D"/>
            <w:vAlign w:val="center"/>
          </w:tcPr>
          <w:p>
            <w:pPr>
              <w:pStyle w:val="BECCell"/>
              <w:jc w:val="right"/>
            </w:pPr>
            <w:r>
              <w:rPr>
                <w:b/>
                <w:color w:val="FFFFFF"/>
              </w:rPr>
              <w:t xml:space="preserve">Base</w:t>
            </w:r>
          </w:p>
        </w:tc>
        <w:tc>
          <w:tcPr>
            <w:tcW w:w="1671" w:type="dxa"/>
            <w:shd w:val="clear" w:color="auto" w:fill="7B1D1D"/>
            <w:vAlign w:val="center"/>
          </w:tcPr>
          <w:p>
            <w:pPr>
              <w:pStyle w:val="BECCell"/>
              <w:jc w:val="right"/>
            </w:pPr>
            <w:r>
              <w:rPr>
                <w:b/>
                <w:color w:val="FFFFFF"/>
              </w:rPr>
              <w:t xml:space="preserve">Optimistic</w:t>
            </w:r>
          </w:p>
        </w:tc>
      </w:tr>
      <w:tr>
        <w:trPr>
          <w:cantSplit/>
        </w:trPr>
        <w:tc>
          <w:tcPr>
            <w:tcW w:w="4680" w:type="dxa"/>
            <w:vAlign w:val="center"/>
          </w:tcPr>
          <w:p>
            <w:pPr>
              <w:pStyle w:val="BECCell"/>
            </w:pPr>
            <w:r>
              <w:t xml:space="preserve">B1 — Reporter time</w:t>
            </w:r>
          </w:p>
        </w:tc>
        <w:tc>
          <w:tcPr>
            <w:tcW w:w="1839" w:type="dxa"/>
            <w:vAlign w:val="center"/>
          </w:tcPr>
          <w:p>
            <w:pPr>
              <w:pStyle w:val="BECCell"/>
              <w:jc w:val="right"/>
            </w:pPr>
            <w:r>
              <w:t xml:space="preserve">16,000</w:t>
            </w:r>
          </w:p>
        </w:tc>
        <w:tc>
          <w:tcPr>
            <w:tcW w:w="1170" w:type="dxa"/>
            <w:vAlign w:val="center"/>
          </w:tcPr>
          <w:p>
            <w:pPr>
              <w:pStyle w:val="BECCell"/>
              <w:jc w:val="right"/>
            </w:pPr>
            <w:r>
              <w:t xml:space="preserve">40,000</w:t>
            </w:r>
          </w:p>
        </w:tc>
        <w:tc>
          <w:tcPr>
            <w:tcW w:w="1671" w:type="dxa"/>
            <w:vAlign w:val="center"/>
          </w:tcPr>
          <w:p>
            <w:pPr>
              <w:pStyle w:val="BECCell"/>
              <w:jc w:val="right"/>
            </w:pPr>
            <w:r>
              <w:t xml:space="preserve">84,000</w:t>
            </w:r>
          </w:p>
        </w:tc>
      </w:tr>
      <w:tr>
        <w:trPr>
          <w:cantSplit/>
        </w:trPr>
        <w:tc>
          <w:tcPr>
            <w:tcW w:w="4680" w:type="dxa"/>
            <w:shd w:val="clear" w:color="auto" w:fill="F4F1EA"/>
            <w:vAlign w:val="center"/>
          </w:tcPr>
          <w:p>
            <w:pPr>
              <w:pStyle w:val="BECCell"/>
            </w:pPr>
            <w:r>
              <w:t xml:space="preserve">B2 — PMO processing</w:t>
            </w:r>
          </w:p>
        </w:tc>
        <w:tc>
          <w:tcPr>
            <w:tcW w:w="1839" w:type="dxa"/>
            <w:shd w:val="clear" w:color="auto" w:fill="F4F1EA"/>
            <w:vAlign w:val="center"/>
          </w:tcPr>
          <w:p>
            <w:pPr>
              <w:pStyle w:val="BECCell"/>
              <w:jc w:val="right"/>
            </w:pPr>
            <w:r>
              <w:t xml:space="preserve">22,233</w:t>
            </w:r>
          </w:p>
        </w:tc>
        <w:tc>
          <w:tcPr>
            <w:tcW w:w="1170" w:type="dxa"/>
            <w:shd w:val="clear" w:color="auto" w:fill="F4F1EA"/>
            <w:vAlign w:val="center"/>
          </w:tcPr>
          <w:p>
            <w:pPr>
              <w:pStyle w:val="BECCell"/>
              <w:jc w:val="right"/>
            </w:pPr>
            <w:r>
              <w:t xml:space="preserve">44,160</w:t>
            </w:r>
          </w:p>
        </w:tc>
        <w:tc>
          <w:tcPr>
            <w:tcW w:w="1671" w:type="dxa"/>
            <w:shd w:val="clear" w:color="auto" w:fill="F4F1EA"/>
            <w:vAlign w:val="center"/>
          </w:tcPr>
          <w:p>
            <w:pPr>
              <w:pStyle w:val="BECCell"/>
              <w:jc w:val="right"/>
            </w:pPr>
            <w:r>
              <w:t xml:space="preserve">80,040</w:t>
            </w:r>
          </w:p>
        </w:tc>
      </w:tr>
      <w:tr>
        <w:trPr>
          <w:cantSplit/>
        </w:trPr>
        <w:tc>
          <w:tcPr>
            <w:tcW w:w="4680" w:type="dxa"/>
            <w:vAlign w:val="center"/>
          </w:tcPr>
          <w:p>
            <w:pPr>
              <w:pStyle w:val="BECCell"/>
            </w:pPr>
            <w:r>
              <w:t xml:space="preserve">B3 — Technician productivity</w:t>
            </w:r>
          </w:p>
        </w:tc>
        <w:tc>
          <w:tcPr>
            <w:tcW w:w="1839" w:type="dxa"/>
            <w:vAlign w:val="center"/>
          </w:tcPr>
          <w:p>
            <w:pPr>
              <w:pStyle w:val="BECCell"/>
              <w:jc w:val="right"/>
            </w:pPr>
            <w:r>
              <w:t xml:space="preserve">4,320</w:t>
            </w:r>
          </w:p>
        </w:tc>
        <w:tc>
          <w:tcPr>
            <w:tcW w:w="1170" w:type="dxa"/>
            <w:vAlign w:val="center"/>
          </w:tcPr>
          <w:p>
            <w:pPr>
              <w:pStyle w:val="BECCell"/>
              <w:jc w:val="right"/>
            </w:pPr>
            <w:r>
              <w:t xml:space="preserve">9,720</w:t>
            </w:r>
          </w:p>
        </w:tc>
        <w:tc>
          <w:tcPr>
            <w:tcW w:w="1671" w:type="dxa"/>
            <w:vAlign w:val="center"/>
          </w:tcPr>
          <w:p>
            <w:pPr>
              <w:pStyle w:val="BECCell"/>
              <w:jc w:val="right"/>
            </w:pPr>
            <w:r>
              <w:t xml:space="preserve">19,440</w:t>
            </w:r>
          </w:p>
        </w:tc>
      </w:tr>
      <w:tr>
        <w:trPr>
          <w:cantSplit/>
        </w:trPr>
        <w:tc>
          <w:tcPr>
            <w:tcW w:w="4680" w:type="dxa"/>
            <w:shd w:val="clear" w:color="auto" w:fill="F4F1EA"/>
            <w:vAlign w:val="center"/>
          </w:tcPr>
          <w:p>
            <w:pPr>
              <w:pStyle w:val="BECCell"/>
            </w:pPr>
            <w:r>
              <w:t xml:space="preserve">B5 — Consumables</w:t>
            </w:r>
          </w:p>
        </w:tc>
        <w:tc>
          <w:tcPr>
            <w:tcW w:w="1839" w:type="dxa"/>
            <w:shd w:val="clear" w:color="auto" w:fill="F4F1EA"/>
            <w:vAlign w:val="center"/>
          </w:tcPr>
          <w:p>
            <w:pPr>
              <w:pStyle w:val="BECCell"/>
              <w:jc w:val="right"/>
            </w:pPr>
            <w:r>
              <w:t xml:space="preserve">8,000</w:t>
            </w:r>
          </w:p>
        </w:tc>
        <w:tc>
          <w:tcPr>
            <w:tcW w:w="1170" w:type="dxa"/>
            <w:shd w:val="clear" w:color="auto" w:fill="F4F1EA"/>
            <w:vAlign w:val="center"/>
          </w:tcPr>
          <w:p>
            <w:pPr>
              <w:pStyle w:val="BECCell"/>
              <w:jc w:val="right"/>
            </w:pPr>
            <w:r>
              <w:t xml:space="preserve">12,000</w:t>
            </w:r>
          </w:p>
        </w:tc>
        <w:tc>
          <w:tcPr>
            <w:tcW w:w="1671" w:type="dxa"/>
            <w:shd w:val="clear" w:color="auto" w:fill="F4F1EA"/>
            <w:vAlign w:val="center"/>
          </w:tcPr>
          <w:p>
            <w:pPr>
              <w:pStyle w:val="BECCell"/>
              <w:jc w:val="right"/>
            </w:pPr>
            <w:r>
              <w:t xml:space="preserve">18,000</w:t>
            </w:r>
          </w:p>
        </w:tc>
      </w:tr>
      <w:tr>
        <w:trPr>
          <w:cantSplit/>
        </w:trPr>
        <w:tc>
          <w:tcPr>
            <w:tcW w:w="4680" w:type="dxa"/>
            <w:vAlign w:val="center"/>
          </w:tcPr>
          <w:p>
            <w:pPr>
              <w:pStyle w:val="BECCell"/>
            </w:pPr>
            <w:r>
              <w:t xml:space="preserve">B6 — Maintenance expenditure</w:t>
            </w:r>
          </w:p>
        </w:tc>
        <w:tc>
          <w:tcPr>
            <w:tcW w:w="1839" w:type="dxa"/>
            <w:vAlign w:val="center"/>
          </w:tcPr>
          <w:p>
            <w:pPr>
              <w:pStyle w:val="BECCell"/>
              <w:jc w:val="right"/>
            </w:pPr>
            <w:r>
              <w:t xml:space="preserve">30,000</w:t>
            </w:r>
          </w:p>
        </w:tc>
        <w:tc>
          <w:tcPr>
            <w:tcW w:w="1170" w:type="dxa"/>
            <w:vAlign w:val="center"/>
          </w:tcPr>
          <w:p>
            <w:pPr>
              <w:pStyle w:val="BECCell"/>
              <w:jc w:val="right"/>
            </w:pPr>
            <w:r>
              <w:t xml:space="preserve">60,000</w:t>
            </w:r>
          </w:p>
        </w:tc>
        <w:tc>
          <w:tcPr>
            <w:tcW w:w="1671" w:type="dxa"/>
            <w:vAlign w:val="center"/>
          </w:tcPr>
          <w:p>
            <w:pPr>
              <w:pStyle w:val="BECCell"/>
              <w:jc w:val="right"/>
            </w:pPr>
            <w:r>
              <w:t xml:space="preserve">120,000</w:t>
            </w:r>
          </w:p>
        </w:tc>
      </w:tr>
      <w:tr>
        <w:trPr>
          <w:cantSplit/>
        </w:trPr>
        <w:tc>
          <w:tcPr>
            <w:tcW w:w="4680" w:type="dxa"/>
            <w:shd w:val="clear" w:color="auto" w:fill="F4F1EA"/>
            <w:vAlign w:val="center"/>
          </w:tcPr>
          <w:p>
            <w:pPr>
              <w:pStyle w:val="BECCell"/>
            </w:pPr>
            <w:r>
              <w:rPr>
                <w:b/>
              </w:rPr>
              <w:t xml:space="preserve">Total gross benefits</w:t>
            </w:r>
          </w:p>
        </w:tc>
        <w:tc>
          <w:tcPr>
            <w:tcW w:w="1839" w:type="dxa"/>
            <w:shd w:val="clear" w:color="auto" w:fill="F4F1EA"/>
            <w:vAlign w:val="center"/>
          </w:tcPr>
          <w:p>
            <w:pPr>
              <w:pStyle w:val="BECCell"/>
              <w:jc w:val="right"/>
            </w:pPr>
            <w:r>
              <w:rPr>
                <w:b/>
              </w:rPr>
              <w:t xml:space="preserve">80,553</w:t>
            </w:r>
          </w:p>
        </w:tc>
        <w:tc>
          <w:tcPr>
            <w:tcW w:w="1170" w:type="dxa"/>
            <w:shd w:val="clear" w:color="auto" w:fill="F4F1EA"/>
            <w:vAlign w:val="center"/>
          </w:tcPr>
          <w:p>
            <w:pPr>
              <w:pStyle w:val="BECCell"/>
              <w:jc w:val="right"/>
            </w:pPr>
            <w:r>
              <w:rPr>
                <w:b/>
              </w:rPr>
              <w:t xml:space="preserve">165,880</w:t>
            </w:r>
          </w:p>
        </w:tc>
        <w:tc>
          <w:tcPr>
            <w:tcW w:w="1671" w:type="dxa"/>
            <w:shd w:val="clear" w:color="auto" w:fill="F4F1EA"/>
            <w:vAlign w:val="center"/>
          </w:tcPr>
          <w:p>
            <w:pPr>
              <w:pStyle w:val="BECCell"/>
              <w:jc w:val="right"/>
            </w:pPr>
            <w:r>
              <w:rPr>
                <w:b/>
              </w:rPr>
              <w:t xml:space="preserve">321,480</w:t>
            </w:r>
          </w:p>
        </w:tc>
      </w:tr>
    </w:tbl>
    <w:p>
      <w:pPr>
        <w:spacing w:after="0" w:line="120" w:lineRule="exact"/>
      </w:pPr>
    </w:p>
    <w:p>
      <w:pPr>
        <w:pStyle w:val="Normal"/>
      </w:pPr>
      <w:r>
        <w:rPr>
          <w:b/>
        </w:rPr>
        <w:t xml:space="preserve">Table 10.3 — Scenario Results</w:t>
      </w:r>
    </w:p>
    <w:tbl>
      <w:tblPr>
        <w:tblStyle w:val="BECTable"/>
        <w:tblW w:w="9360" w:type="dxa"/>
        <w:tblLayout w:type="fixed"/>
        <w:tblCellMar>
          <w:top w:w="60" w:type="dxa"/>
          <w:left w:w="90" w:type="dxa"/>
          <w:bottom w:w="60" w:type="dxa"/>
          <w:right w:w="90" w:type="dxa"/>
        </w:tblCellMar>
      </w:tblPr>
      <w:tblGrid>
        <w:gridCol w:w="2373"/>
        <w:gridCol w:w="3164"/>
        <w:gridCol w:w="1450"/>
        <w:gridCol w:w="2373"/>
      </w:tblGrid>
      <w:tr>
        <w:trPr>
          <w:tblHeader/>
          <w:cantSplit/>
        </w:trPr>
        <w:tc>
          <w:tcPr>
            <w:tcW w:w="2373" w:type="dxa"/>
            <w:shd w:val="clear" w:color="auto" w:fill="7B1D1D"/>
            <w:vAlign w:val="center"/>
          </w:tcPr>
          <w:p>
            <w:pPr>
              <w:pStyle w:val="BECCell"/>
            </w:pPr>
            <w:r>
              <w:rPr>
                <w:b/>
                <w:color w:val="FFFFFF"/>
              </w:rPr>
              <w:t xml:space="preserve">Indicator</w:t>
            </w:r>
          </w:p>
        </w:tc>
        <w:tc>
          <w:tcPr>
            <w:tcW w:w="3164" w:type="dxa"/>
            <w:shd w:val="clear" w:color="auto" w:fill="7B1D1D"/>
            <w:vAlign w:val="center"/>
          </w:tcPr>
          <w:p>
            <w:pPr>
              <w:pStyle w:val="BECCell"/>
              <w:jc w:val="right"/>
            </w:pPr>
            <w:r>
              <w:rPr>
                <w:b/>
                <w:color w:val="FFFFFF"/>
              </w:rPr>
              <w:t xml:space="preserve">Pessimistic</w:t>
            </w:r>
          </w:p>
        </w:tc>
        <w:tc>
          <w:tcPr>
            <w:tcW w:w="1450" w:type="dxa"/>
            <w:shd w:val="clear" w:color="auto" w:fill="7B1D1D"/>
            <w:vAlign w:val="center"/>
          </w:tcPr>
          <w:p>
            <w:pPr>
              <w:pStyle w:val="BECCell"/>
              <w:jc w:val="right"/>
            </w:pPr>
            <w:r>
              <w:rPr>
                <w:b/>
                <w:color w:val="FFFFFF"/>
              </w:rPr>
              <w:t xml:space="preserve">Base</w:t>
            </w:r>
          </w:p>
        </w:tc>
        <w:tc>
          <w:tcPr>
            <w:tcW w:w="2373" w:type="dxa"/>
            <w:shd w:val="clear" w:color="auto" w:fill="7B1D1D"/>
            <w:vAlign w:val="center"/>
          </w:tcPr>
          <w:p>
            <w:pPr>
              <w:pStyle w:val="BECCell"/>
              <w:jc w:val="right"/>
            </w:pPr>
            <w:r>
              <w:rPr>
                <w:b/>
                <w:color w:val="FFFFFF"/>
              </w:rPr>
              <w:t xml:space="preserve">Optimistic</w:t>
            </w:r>
          </w:p>
        </w:tc>
      </w:tr>
      <w:tr>
        <w:trPr>
          <w:cantSplit/>
        </w:trPr>
        <w:tc>
          <w:tcPr>
            <w:tcW w:w="2373" w:type="dxa"/>
            <w:vAlign w:val="center"/>
          </w:tcPr>
          <w:p>
            <w:pPr>
              <w:pStyle w:val="BECCell"/>
            </w:pPr>
            <w:r>
              <w:t xml:space="preserve">PV of benefits (₱)</w:t>
            </w:r>
          </w:p>
        </w:tc>
        <w:tc>
          <w:tcPr>
            <w:tcW w:w="3164" w:type="dxa"/>
            <w:vAlign w:val="center"/>
          </w:tcPr>
          <w:p>
            <w:pPr>
              <w:pStyle w:val="BECCell"/>
              <w:jc w:val="right"/>
            </w:pPr>
            <w:r>
              <w:t xml:space="preserve">305,359</w:t>
            </w:r>
          </w:p>
        </w:tc>
        <w:tc>
          <w:tcPr>
            <w:tcW w:w="1450" w:type="dxa"/>
            <w:vAlign w:val="center"/>
          </w:tcPr>
          <w:p>
            <w:pPr>
              <w:pStyle w:val="BECCell"/>
              <w:jc w:val="right"/>
            </w:pPr>
            <w:r>
              <w:t xml:space="preserve">628,816</w:t>
            </w:r>
          </w:p>
        </w:tc>
        <w:tc>
          <w:tcPr>
            <w:tcW w:w="2373" w:type="dxa"/>
            <w:vAlign w:val="center"/>
          </w:tcPr>
          <w:p>
            <w:pPr>
              <w:pStyle w:val="BECCell"/>
              <w:jc w:val="right"/>
            </w:pPr>
            <w:r>
              <w:t xml:space="preserve">1,218,662</w:t>
            </w:r>
          </w:p>
        </w:tc>
      </w:tr>
      <w:tr>
        <w:trPr>
          <w:cantSplit/>
        </w:trPr>
        <w:tc>
          <w:tcPr>
            <w:tcW w:w="2373" w:type="dxa"/>
            <w:shd w:val="clear" w:color="auto" w:fill="F4F1EA"/>
            <w:vAlign w:val="center"/>
          </w:tcPr>
          <w:p>
            <w:pPr>
              <w:pStyle w:val="BECCell"/>
            </w:pPr>
            <w:r>
              <w:t xml:space="preserve">PV of costs (₱)</w:t>
            </w:r>
          </w:p>
        </w:tc>
        <w:tc>
          <w:tcPr>
            <w:tcW w:w="3164" w:type="dxa"/>
            <w:shd w:val="clear" w:color="auto" w:fill="F4F1EA"/>
            <w:vAlign w:val="center"/>
          </w:tcPr>
          <w:p>
            <w:pPr>
              <w:pStyle w:val="BECCell"/>
              <w:jc w:val="right"/>
            </w:pPr>
            <w:r>
              <w:t xml:space="preserve">315,396</w:t>
            </w:r>
          </w:p>
        </w:tc>
        <w:tc>
          <w:tcPr>
            <w:tcW w:w="1450" w:type="dxa"/>
            <w:shd w:val="clear" w:color="auto" w:fill="F4F1EA"/>
            <w:vAlign w:val="center"/>
          </w:tcPr>
          <w:p>
            <w:pPr>
              <w:pStyle w:val="BECCell"/>
              <w:jc w:val="right"/>
            </w:pPr>
            <w:r>
              <w:t xml:space="preserve">315,396</w:t>
            </w:r>
          </w:p>
        </w:tc>
        <w:tc>
          <w:tcPr>
            <w:tcW w:w="2373" w:type="dxa"/>
            <w:shd w:val="clear" w:color="auto" w:fill="F4F1EA"/>
            <w:vAlign w:val="center"/>
          </w:tcPr>
          <w:p>
            <w:pPr>
              <w:pStyle w:val="BECCell"/>
              <w:jc w:val="right"/>
            </w:pPr>
            <w:r>
              <w:t xml:space="preserve">327,904</w:t>
            </w:r>
          </w:p>
        </w:tc>
      </w:tr>
      <w:tr>
        <w:trPr>
          <w:cantSplit/>
        </w:trPr>
        <w:tc>
          <w:tcPr>
            <w:tcW w:w="2373" w:type="dxa"/>
            <w:vAlign w:val="center"/>
          </w:tcPr>
          <w:p>
            <w:pPr>
              <w:pStyle w:val="BECCell"/>
            </w:pPr>
            <w:r>
              <w:rPr>
                <w:b/>
              </w:rPr>
              <w:t xml:space="preserve">NPV (₱)</w:t>
            </w:r>
          </w:p>
        </w:tc>
        <w:tc>
          <w:tcPr>
            <w:tcW w:w="3164" w:type="dxa"/>
            <w:vAlign w:val="center"/>
          </w:tcPr>
          <w:p>
            <w:pPr>
              <w:pStyle w:val="BECCell"/>
              <w:jc w:val="right"/>
            </w:pPr>
            <w:r>
              <w:rPr>
                <w:b/>
              </w:rPr>
              <w:t xml:space="preserve">(10,037)</w:t>
            </w:r>
          </w:p>
        </w:tc>
        <w:tc>
          <w:tcPr>
            <w:tcW w:w="1450" w:type="dxa"/>
            <w:vAlign w:val="center"/>
          </w:tcPr>
          <w:p>
            <w:pPr>
              <w:pStyle w:val="BECCell"/>
              <w:jc w:val="right"/>
            </w:pPr>
            <w:r>
              <w:rPr>
                <w:b/>
              </w:rPr>
              <w:t xml:space="preserve">313,420</w:t>
            </w:r>
          </w:p>
        </w:tc>
        <w:tc>
          <w:tcPr>
            <w:tcW w:w="2373" w:type="dxa"/>
            <w:vAlign w:val="center"/>
          </w:tcPr>
          <w:p>
            <w:pPr>
              <w:pStyle w:val="BECCell"/>
              <w:jc w:val="right"/>
            </w:pPr>
            <w:r>
              <w:rPr>
                <w:b/>
              </w:rPr>
              <w:t xml:space="preserve">890,758</w:t>
            </w:r>
          </w:p>
        </w:tc>
      </w:tr>
      <w:tr>
        <w:trPr>
          <w:cantSplit/>
        </w:trPr>
        <w:tc>
          <w:tcPr>
            <w:tcW w:w="2373" w:type="dxa"/>
            <w:shd w:val="clear" w:color="auto" w:fill="F4F1EA"/>
            <w:vAlign w:val="center"/>
          </w:tcPr>
          <w:p>
            <w:pPr>
              <w:pStyle w:val="BECCell"/>
            </w:pPr>
            <w:r>
              <w:rPr>
                <w:b/>
              </w:rPr>
              <w:t xml:space="preserve">BCR</w:t>
            </w:r>
          </w:p>
        </w:tc>
        <w:tc>
          <w:tcPr>
            <w:tcW w:w="3164" w:type="dxa"/>
            <w:shd w:val="clear" w:color="auto" w:fill="F4F1EA"/>
            <w:vAlign w:val="center"/>
          </w:tcPr>
          <w:p>
            <w:pPr>
              <w:pStyle w:val="BECCell"/>
              <w:jc w:val="right"/>
            </w:pPr>
            <w:r>
              <w:rPr>
                <w:b/>
              </w:rPr>
              <w:t xml:space="preserve">0.97</w:t>
            </w:r>
          </w:p>
        </w:tc>
        <w:tc>
          <w:tcPr>
            <w:tcW w:w="1450" w:type="dxa"/>
            <w:shd w:val="clear" w:color="auto" w:fill="F4F1EA"/>
            <w:vAlign w:val="center"/>
          </w:tcPr>
          <w:p>
            <w:pPr>
              <w:pStyle w:val="BECCell"/>
              <w:jc w:val="right"/>
            </w:pPr>
            <w:r>
              <w:rPr>
                <w:b/>
              </w:rPr>
              <w:t xml:space="preserve">1.99</w:t>
            </w:r>
          </w:p>
        </w:tc>
        <w:tc>
          <w:tcPr>
            <w:tcW w:w="2373" w:type="dxa"/>
            <w:shd w:val="clear" w:color="auto" w:fill="F4F1EA"/>
            <w:vAlign w:val="center"/>
          </w:tcPr>
          <w:p>
            <w:pPr>
              <w:pStyle w:val="BECCell"/>
              <w:jc w:val="right"/>
            </w:pPr>
            <w:r>
              <w:rPr>
                <w:b/>
              </w:rPr>
              <w:t xml:space="preserve">3.72</w:t>
            </w:r>
          </w:p>
        </w:tc>
      </w:tr>
      <w:tr>
        <w:trPr>
          <w:cantSplit/>
        </w:trPr>
        <w:tc>
          <w:tcPr>
            <w:tcW w:w="2373" w:type="dxa"/>
            <w:vAlign w:val="center"/>
          </w:tcPr>
          <w:p>
            <w:pPr>
              <w:pStyle w:val="BECCell"/>
            </w:pPr>
            <w:r>
              <w:rPr>
                <w:b/>
              </w:rPr>
              <w:t xml:space="preserve">ROI (5 yr)</w:t>
            </w:r>
          </w:p>
        </w:tc>
        <w:tc>
          <w:tcPr>
            <w:tcW w:w="3164" w:type="dxa"/>
            <w:vAlign w:val="center"/>
          </w:tcPr>
          <w:p>
            <w:pPr>
              <w:pStyle w:val="BECCell"/>
              <w:jc w:val="right"/>
            </w:pPr>
            <w:r>
              <w:rPr>
                <w:b/>
              </w:rPr>
              <w:t xml:space="preserve">−3.2%</w:t>
            </w:r>
          </w:p>
        </w:tc>
        <w:tc>
          <w:tcPr>
            <w:tcW w:w="1450" w:type="dxa"/>
            <w:vAlign w:val="center"/>
          </w:tcPr>
          <w:p>
            <w:pPr>
              <w:pStyle w:val="BECCell"/>
              <w:jc w:val="right"/>
            </w:pPr>
            <w:r>
              <w:rPr>
                <w:b/>
              </w:rPr>
              <w:t xml:space="preserve">99.4%</w:t>
            </w:r>
          </w:p>
        </w:tc>
        <w:tc>
          <w:tcPr>
            <w:tcW w:w="2373" w:type="dxa"/>
            <w:vAlign w:val="center"/>
          </w:tcPr>
          <w:p>
            <w:pPr>
              <w:pStyle w:val="BECCell"/>
              <w:jc w:val="right"/>
            </w:pPr>
            <w:r>
              <w:rPr>
                <w:b/>
              </w:rPr>
              <w:t xml:space="preserve">271.7%</w:t>
            </w:r>
          </w:p>
        </w:tc>
      </w:tr>
      <w:tr>
        <w:trPr>
          <w:cantSplit/>
        </w:trPr>
        <w:tc>
          <w:tcPr>
            <w:tcW w:w="2373" w:type="dxa"/>
            <w:shd w:val="clear" w:color="auto" w:fill="F4F1EA"/>
            <w:vAlign w:val="center"/>
          </w:tcPr>
          <w:p>
            <w:pPr>
              <w:pStyle w:val="BECCell"/>
            </w:pPr>
            <w:r>
              <w:rPr>
                <w:b/>
              </w:rPr>
              <w:t xml:space="preserve">IRR</w:t>
            </w:r>
          </w:p>
        </w:tc>
        <w:tc>
          <w:tcPr>
            <w:tcW w:w="3164" w:type="dxa"/>
            <w:shd w:val="clear" w:color="auto" w:fill="F4F1EA"/>
            <w:vAlign w:val="center"/>
          </w:tcPr>
          <w:p>
            <w:pPr>
              <w:pStyle w:val="BECCell"/>
              <w:jc w:val="right"/>
            </w:pPr>
            <w:r>
              <w:rPr>
                <w:b/>
              </w:rPr>
              <w:t xml:space="preserve">≈7.9%</w:t>
            </w:r>
          </w:p>
        </w:tc>
        <w:tc>
          <w:tcPr>
            <w:tcW w:w="1450" w:type="dxa"/>
            <w:shd w:val="clear" w:color="auto" w:fill="F4F1EA"/>
            <w:vAlign w:val="center"/>
          </w:tcPr>
          <w:p>
            <w:pPr>
              <w:pStyle w:val="BECCell"/>
              <w:jc w:val="right"/>
            </w:pPr>
            <w:r>
              <w:rPr>
                <w:b/>
              </w:rPr>
              <w:t xml:space="preserve">≈65%</w:t>
            </w:r>
          </w:p>
        </w:tc>
        <w:tc>
          <w:tcPr>
            <w:tcW w:w="2373" w:type="dxa"/>
            <w:shd w:val="clear" w:color="auto" w:fill="F4F1EA"/>
            <w:vAlign w:val="center"/>
          </w:tcPr>
          <w:p>
            <w:pPr>
              <w:pStyle w:val="BECCell"/>
              <w:jc w:val="right"/>
            </w:pPr>
            <w:r>
              <w:rPr>
                <w:b/>
              </w:rPr>
              <w:t xml:space="preserve">≈151%</w:t>
            </w:r>
          </w:p>
        </w:tc>
      </w:tr>
      <w:tr>
        <w:trPr>
          <w:cantSplit/>
        </w:trPr>
        <w:tc>
          <w:tcPr>
            <w:tcW w:w="2373" w:type="dxa"/>
            <w:vAlign w:val="center"/>
          </w:tcPr>
          <w:p>
            <w:pPr>
              <w:pStyle w:val="BECCell"/>
            </w:pPr>
            <w:r>
              <w:rPr>
                <w:b/>
              </w:rPr>
              <w:t xml:space="preserve">Payback (simple)</w:t>
            </w:r>
          </w:p>
        </w:tc>
        <w:tc>
          <w:tcPr>
            <w:tcW w:w="3164" w:type="dxa"/>
            <w:vAlign w:val="center"/>
          </w:tcPr>
          <w:p>
            <w:pPr>
              <w:pStyle w:val="BECCell"/>
              <w:jc w:val="right"/>
            </w:pPr>
            <w:r>
              <w:rPr>
                <w:b/>
              </w:rPr>
              <w:t xml:space="preserve">48.1 months</w:t>
            </w:r>
          </w:p>
        </w:tc>
        <w:tc>
          <w:tcPr>
            <w:tcW w:w="1450" w:type="dxa"/>
            <w:vAlign w:val="center"/>
          </w:tcPr>
          <w:p>
            <w:pPr>
              <w:pStyle w:val="BECCell"/>
              <w:jc w:val="right"/>
            </w:pPr>
            <w:r>
              <w:rPr>
                <w:b/>
              </w:rPr>
              <w:t xml:space="preserve">16.9 months</w:t>
            </w:r>
          </w:p>
        </w:tc>
        <w:tc>
          <w:tcPr>
            <w:tcW w:w="2373" w:type="dxa"/>
            <w:vAlign w:val="center"/>
          </w:tcPr>
          <w:p>
            <w:pPr>
              <w:pStyle w:val="BECCell"/>
              <w:jc w:val="right"/>
            </w:pPr>
            <w:r>
              <w:rPr>
                <w:b/>
              </w:rPr>
              <w:t xml:space="preserve">7.9 months</w:t>
            </w:r>
          </w:p>
        </w:tc>
      </w:tr>
      <w:tr>
        <w:trPr>
          <w:cantSplit/>
        </w:trPr>
        <w:tc>
          <w:tcPr>
            <w:tcW w:w="2373" w:type="dxa"/>
            <w:shd w:val="clear" w:color="auto" w:fill="F4F1EA"/>
            <w:vAlign w:val="center"/>
          </w:tcPr>
          <w:p>
            <w:pPr>
              <w:pStyle w:val="BECCell"/>
            </w:pPr>
            <w:r>
              <w:rPr>
                <w:b/>
              </w:rPr>
              <w:t xml:space="preserve">Verdict</w:t>
            </w:r>
          </w:p>
        </w:tc>
        <w:tc>
          <w:tcPr>
            <w:tcW w:w="3164" w:type="dxa"/>
            <w:shd w:val="clear" w:color="auto" w:fill="F4F1EA"/>
            <w:vAlign w:val="center"/>
          </w:tcPr>
          <w:p>
            <w:pPr>
              <w:pStyle w:val="BECCell"/>
              <w:jc w:val="right"/>
            </w:pPr>
            <w:r>
              <w:t xml:space="preserve">Marginally not justified</w:t>
            </w:r>
          </w:p>
        </w:tc>
        <w:tc>
          <w:tcPr>
            <w:tcW w:w="1450" w:type="dxa"/>
            <w:shd w:val="clear" w:color="auto" w:fill="F4F1EA"/>
            <w:vAlign w:val="center"/>
          </w:tcPr>
          <w:p>
            <w:pPr>
              <w:pStyle w:val="BECCell"/>
              <w:jc w:val="right"/>
            </w:pPr>
            <w:r>
              <w:rPr>
                <w:b/>
              </w:rPr>
              <w:t xml:space="preserve">Justified</w:t>
            </w:r>
          </w:p>
        </w:tc>
        <w:tc>
          <w:tcPr>
            <w:tcW w:w="2373" w:type="dxa"/>
            <w:shd w:val="clear" w:color="auto" w:fill="F4F1EA"/>
            <w:vAlign w:val="center"/>
          </w:tcPr>
          <w:p>
            <w:pPr>
              <w:pStyle w:val="BECCell"/>
              <w:jc w:val="right"/>
            </w:pPr>
            <w:r>
              <w:t xml:space="preserve">Strongly justified</w:t>
            </w:r>
          </w:p>
        </w:tc>
      </w:tr>
    </w:tbl>
    <w:p>
      <w:pPr>
        <w:spacing w:after="0" w:line="120" w:lineRule="exact"/>
      </w:pPr>
    </w:p>
    <w:p>
      <w:pPr>
        <w:pStyle w:val="Heading3"/>
      </w:pPr>
      <w:r>
        <w:t xml:space="preserve">10.1 Interpretation</w:t>
      </w:r>
    </w:p>
    <w:p>
      <w:pPr>
        <w:pStyle w:val="Normal"/>
      </w:pPr>
      <w:r>
        <w:t xml:space="preserve">The pessimistic scenario — which simultaneously assumes a one-third lower report volume, 40% smaller per-transaction time savings, and a maintenance-expenditure reduction of only 2.5% — produces an NPV of −₱10,037 and an IRR of 7.9%. This is </w:t>
      </w:r>
      <w:r>
        <w:rPr>
          <w:b/>
        </w:rPr>
        <w:t xml:space="preserve">marginally below the 10% hurdle rate but very close to break-even</w:t>
      </w:r>
      <w:r>
        <w:t xml:space="preserve">: the project would still recover its full shadow-priced investment within 48 months, and would be comfortably positive at a discount rate of 7% or lower.</w:t>
      </w:r>
    </w:p>
    <w:p>
      <w:pPr>
        <w:pStyle w:val="Normal"/>
      </w:pPr>
      <w:r>
        <w:t xml:space="preserve">The practical significance of this finding is that the investment is </w:t>
      </w:r>
      <w:r>
        <w:rPr>
          <w:b/>
        </w:rPr>
        <w:t xml:space="preserve">not fragile</w:t>
      </w:r>
      <w:r>
        <w:t xml:space="preserve">. Even under a conjunction of adverse assumptions that would be unusual in practice, the loss is bounded at approximately ₱10,000 in present-value terms — roughly 3% of the resources committed. The asymmetry of the outcome distribution (−₱10,037 to +₱890,758) is strongly favorable.</w:t>
      </w:r>
    </w:p>
    <w:p>
      <w:pPr>
        <w:pStyle w:val="BECRule"/>
      </w:pPr>
    </w:p>
    <w:p>
      <w:pPr>
        <w:pStyle w:val="Heading2"/>
      </w:pPr>
      <w:r>
        <w:t xml:space="preserve">11. SENSITIVITY AND BREAK-EVEN ANALYSIS</w:t>
      </w:r>
    </w:p>
    <w:p>
      <w:pPr>
        <w:pStyle w:val="Heading3"/>
      </w:pPr>
      <w:r>
        <w:t xml:space="preserve">11.1 One-Way Sensitivity Analysis</w:t>
      </w:r>
    </w:p>
    <w:p>
      <w:pPr>
        <w:pStyle w:val="Normal"/>
      </w:pPr>
      <w:r>
        <w:t xml:space="preserve">Each parameter is varied independently, holding all others at base-case values.</w:t>
      </w:r>
    </w:p>
    <w:p>
      <w:pPr>
        <w:pStyle w:val="Normal"/>
      </w:pPr>
      <w:r>
        <w:rPr>
          <w:b/>
        </w:rPr>
        <w:t xml:space="preserve">Table 11.1 — One-Way Sensitivity Results</w:t>
      </w:r>
    </w:p>
    <w:tbl>
      <w:tblPr>
        <w:tblStyle w:val="BECTable"/>
        <w:tblW w:w="9360" w:type="dxa"/>
        <w:tblLayout w:type="fixed"/>
        <w:tblCellMar>
          <w:top w:w="60" w:type="dxa"/>
          <w:left w:w="90" w:type="dxa"/>
          <w:bottom w:w="60" w:type="dxa"/>
          <w:right w:w="90" w:type="dxa"/>
        </w:tblCellMar>
      </w:tblPr>
      <w:tblGrid>
        <w:gridCol w:w="556"/>
        <w:gridCol w:w="4634"/>
        <w:gridCol w:w="1668"/>
        <w:gridCol w:w="741"/>
        <w:gridCol w:w="556"/>
        <w:gridCol w:w="1205"/>
      </w:tblGrid>
      <w:tr>
        <w:trPr>
          <w:tblHeader/>
          <w:cantSplit/>
        </w:trPr>
        <w:tc>
          <w:tcPr>
            <w:tcW w:w="556" w:type="dxa"/>
            <w:shd w:val="clear" w:color="auto" w:fill="7B1D1D"/>
            <w:vAlign w:val="center"/>
          </w:tcPr>
          <w:p>
            <w:pPr>
              <w:pStyle w:val="BECCell"/>
            </w:pPr>
            <w:r>
              <w:rPr>
                <w:b/>
                <w:color w:val="FFFFFF"/>
              </w:rPr>
              <w:t xml:space="preserve">#</w:t>
            </w:r>
          </w:p>
        </w:tc>
        <w:tc>
          <w:tcPr>
            <w:tcW w:w="4634" w:type="dxa"/>
            <w:shd w:val="clear" w:color="auto" w:fill="7B1D1D"/>
            <w:vAlign w:val="center"/>
          </w:tcPr>
          <w:p>
            <w:pPr>
              <w:pStyle w:val="BECCell"/>
            </w:pPr>
            <w:r>
              <w:rPr>
                <w:b/>
                <w:color w:val="FFFFFF"/>
              </w:rPr>
              <w:t xml:space="preserve">Parameter varied</w:t>
            </w:r>
          </w:p>
        </w:tc>
        <w:tc>
          <w:tcPr>
            <w:tcW w:w="1668" w:type="dxa"/>
            <w:shd w:val="clear" w:color="auto" w:fill="7B1D1D"/>
            <w:vAlign w:val="center"/>
          </w:tcPr>
          <w:p>
            <w:pPr>
              <w:pStyle w:val="BECCell"/>
            </w:pPr>
            <w:r>
              <w:rPr>
                <w:b/>
                <w:color w:val="FFFFFF"/>
              </w:rPr>
              <w:t xml:space="preserve">Variation tested</w:t>
            </w:r>
          </w:p>
        </w:tc>
        <w:tc>
          <w:tcPr>
            <w:tcW w:w="741" w:type="dxa"/>
            <w:shd w:val="clear" w:color="auto" w:fill="7B1D1D"/>
            <w:vAlign w:val="center"/>
          </w:tcPr>
          <w:p>
            <w:pPr>
              <w:pStyle w:val="BECCell"/>
              <w:jc w:val="right"/>
            </w:pPr>
            <w:r>
              <w:rPr>
                <w:b/>
                <w:color w:val="FFFFFF"/>
              </w:rPr>
              <w:t xml:space="preserve">NPV (₱)</w:t>
            </w:r>
          </w:p>
        </w:tc>
        <w:tc>
          <w:tcPr>
            <w:tcW w:w="556" w:type="dxa"/>
            <w:shd w:val="clear" w:color="auto" w:fill="7B1D1D"/>
            <w:vAlign w:val="center"/>
          </w:tcPr>
          <w:p>
            <w:pPr>
              <w:pStyle w:val="BECCell"/>
              <w:jc w:val="right"/>
            </w:pPr>
            <w:r>
              <w:rPr>
                <w:b/>
                <w:color w:val="FFFFFF"/>
              </w:rPr>
              <w:t xml:space="preserve">BCR</w:t>
            </w:r>
          </w:p>
        </w:tc>
        <w:tc>
          <w:tcPr>
            <w:tcW w:w="1205" w:type="dxa"/>
            <w:shd w:val="clear" w:color="auto" w:fill="7B1D1D"/>
            <w:vAlign w:val="center"/>
          </w:tcPr>
          <w:p>
            <w:pPr>
              <w:pStyle w:val="BECCell"/>
            </w:pPr>
            <w:r>
              <w:rPr>
                <w:b/>
                <w:color w:val="FFFFFF"/>
              </w:rPr>
              <w:t xml:space="preserve">Verdict</w:t>
            </w:r>
          </w:p>
        </w:tc>
      </w:tr>
      <w:tr>
        <w:trPr>
          <w:cantSplit/>
        </w:trPr>
        <w:tc>
          <w:tcPr>
            <w:tcW w:w="556" w:type="dxa"/>
            <w:vAlign w:val="center"/>
          </w:tcPr>
          <w:p>
            <w:pPr>
              <w:pStyle w:val="BECCell"/>
            </w:pPr>
            <w:r>
              <w:t xml:space="preserve">S0</w:t>
            </w:r>
          </w:p>
        </w:tc>
        <w:tc>
          <w:tcPr>
            <w:tcW w:w="4634" w:type="dxa"/>
            <w:vAlign w:val="center"/>
          </w:tcPr>
          <w:p>
            <w:pPr>
              <w:pStyle w:val="BECCell"/>
            </w:pPr>
            <w:r>
              <w:rPr>
                <w:i/>
              </w:rPr>
              <w:t xml:space="preserve">(Base case)</w:t>
            </w:r>
          </w:p>
        </w:tc>
        <w:tc>
          <w:tcPr>
            <w:tcW w:w="1668" w:type="dxa"/>
            <w:vAlign w:val="center"/>
          </w:tcPr>
          <w:p>
            <w:pPr>
              <w:pStyle w:val="BECCell"/>
            </w:pPr>
            <w:r>
              <w:t xml:space="preserve">—</w:t>
            </w:r>
          </w:p>
        </w:tc>
        <w:tc>
          <w:tcPr>
            <w:tcW w:w="741" w:type="dxa"/>
            <w:vAlign w:val="center"/>
          </w:tcPr>
          <w:p>
            <w:pPr>
              <w:pStyle w:val="BECCell"/>
              <w:jc w:val="right"/>
            </w:pPr>
            <w:r>
              <w:t xml:space="preserve">313,420</w:t>
            </w:r>
          </w:p>
        </w:tc>
        <w:tc>
          <w:tcPr>
            <w:tcW w:w="556" w:type="dxa"/>
            <w:vAlign w:val="center"/>
          </w:tcPr>
          <w:p>
            <w:pPr>
              <w:pStyle w:val="BECCell"/>
              <w:jc w:val="right"/>
            </w:pPr>
            <w:r>
              <w:t xml:space="preserve">1.99</w:t>
            </w:r>
          </w:p>
        </w:tc>
        <w:tc>
          <w:tcPr>
            <w:tcW w:w="1205" w:type="dxa"/>
            <w:vAlign w:val="center"/>
          </w:tcPr>
          <w:p>
            <w:pPr>
              <w:pStyle w:val="BECCell"/>
            </w:pPr>
            <w:r>
              <w:t xml:space="preserve">Justified</w:t>
            </w:r>
          </w:p>
        </w:tc>
      </w:tr>
      <w:tr>
        <w:trPr>
          <w:cantSplit/>
        </w:trPr>
        <w:tc>
          <w:tcPr>
            <w:tcW w:w="556" w:type="dxa"/>
            <w:shd w:val="clear" w:color="auto" w:fill="F4F1EA"/>
            <w:vAlign w:val="center"/>
          </w:tcPr>
          <w:p>
            <w:pPr>
              <w:pStyle w:val="BECCell"/>
            </w:pPr>
            <w:r>
              <w:t xml:space="preserve">S1</w:t>
            </w:r>
          </w:p>
        </w:tc>
        <w:tc>
          <w:tcPr>
            <w:tcW w:w="4634" w:type="dxa"/>
            <w:shd w:val="clear" w:color="auto" w:fill="F4F1EA"/>
            <w:vAlign w:val="center"/>
          </w:tcPr>
          <w:p>
            <w:pPr>
              <w:pStyle w:val="BECCell"/>
            </w:pPr>
            <w:r>
              <w:t xml:space="preserve">Discount rate</w:t>
            </w:r>
          </w:p>
        </w:tc>
        <w:tc>
          <w:tcPr>
            <w:tcW w:w="1668" w:type="dxa"/>
            <w:shd w:val="clear" w:color="auto" w:fill="F4F1EA"/>
            <w:vAlign w:val="center"/>
          </w:tcPr>
          <w:p>
            <w:pPr>
              <w:pStyle w:val="BECCell"/>
            </w:pPr>
            <w:r>
              <w:t xml:space="preserve">6% (lower)</w:t>
            </w:r>
          </w:p>
        </w:tc>
        <w:tc>
          <w:tcPr>
            <w:tcW w:w="741" w:type="dxa"/>
            <w:shd w:val="clear" w:color="auto" w:fill="F4F1EA"/>
            <w:vAlign w:val="center"/>
          </w:tcPr>
          <w:p>
            <w:pPr>
              <w:pStyle w:val="BECCell"/>
              <w:jc w:val="right"/>
            </w:pPr>
            <w:r>
              <w:t xml:space="preserve">368,956</w:t>
            </w:r>
          </w:p>
        </w:tc>
        <w:tc>
          <w:tcPr>
            <w:tcW w:w="556" w:type="dxa"/>
            <w:shd w:val="clear" w:color="auto" w:fill="F4F1EA"/>
            <w:vAlign w:val="center"/>
          </w:tcPr>
          <w:p>
            <w:pPr>
              <w:pStyle w:val="BECCell"/>
              <w:jc w:val="right"/>
            </w:pPr>
            <w:r>
              <w:t xml:space="preserve">2.12</w:t>
            </w:r>
          </w:p>
        </w:tc>
        <w:tc>
          <w:tcPr>
            <w:tcW w:w="1205" w:type="dxa"/>
            <w:shd w:val="clear" w:color="auto" w:fill="F4F1EA"/>
            <w:vAlign w:val="center"/>
          </w:tcPr>
          <w:p>
            <w:pPr>
              <w:pStyle w:val="BECCell"/>
            </w:pPr>
            <w:r>
              <w:t xml:space="preserve">Justified</w:t>
            </w:r>
          </w:p>
        </w:tc>
      </w:tr>
      <w:tr>
        <w:trPr>
          <w:cantSplit/>
        </w:trPr>
        <w:tc>
          <w:tcPr>
            <w:tcW w:w="556" w:type="dxa"/>
            <w:vAlign w:val="center"/>
          </w:tcPr>
          <w:p>
            <w:pPr>
              <w:pStyle w:val="BECCell"/>
            </w:pPr>
            <w:r>
              <w:t xml:space="preserve">S2</w:t>
            </w:r>
          </w:p>
        </w:tc>
        <w:tc>
          <w:tcPr>
            <w:tcW w:w="4634" w:type="dxa"/>
            <w:vAlign w:val="center"/>
          </w:tcPr>
          <w:p>
            <w:pPr>
              <w:pStyle w:val="BECCell"/>
            </w:pPr>
            <w:r>
              <w:t xml:space="preserve">Discount rate</w:t>
            </w:r>
          </w:p>
        </w:tc>
        <w:tc>
          <w:tcPr>
            <w:tcW w:w="1668" w:type="dxa"/>
            <w:vAlign w:val="center"/>
          </w:tcPr>
          <w:p>
            <w:pPr>
              <w:pStyle w:val="BECCell"/>
            </w:pPr>
            <w:r>
              <w:t xml:space="preserve">15% (higher)</w:t>
            </w:r>
          </w:p>
        </w:tc>
        <w:tc>
          <w:tcPr>
            <w:tcW w:w="741" w:type="dxa"/>
            <w:vAlign w:val="center"/>
          </w:tcPr>
          <w:p>
            <w:pPr>
              <w:pStyle w:val="BECCell"/>
              <w:jc w:val="right"/>
            </w:pPr>
            <w:r>
              <w:t xml:space="preserve">255,639</w:t>
            </w:r>
          </w:p>
        </w:tc>
        <w:tc>
          <w:tcPr>
            <w:tcW w:w="556" w:type="dxa"/>
            <w:vAlign w:val="center"/>
          </w:tcPr>
          <w:p>
            <w:pPr>
              <w:pStyle w:val="BECCell"/>
              <w:jc w:val="right"/>
            </w:pPr>
            <w:r>
              <w:t xml:space="preserve">1.85</w:t>
            </w:r>
          </w:p>
        </w:tc>
        <w:tc>
          <w:tcPr>
            <w:tcW w:w="1205" w:type="dxa"/>
            <w:vAlign w:val="center"/>
          </w:tcPr>
          <w:p>
            <w:pPr>
              <w:pStyle w:val="BECCell"/>
            </w:pPr>
            <w:r>
              <w:t xml:space="preserve">Justified</w:t>
            </w:r>
          </w:p>
        </w:tc>
      </w:tr>
      <w:tr>
        <w:trPr>
          <w:cantSplit/>
        </w:trPr>
        <w:tc>
          <w:tcPr>
            <w:tcW w:w="556" w:type="dxa"/>
            <w:shd w:val="clear" w:color="auto" w:fill="F4F1EA"/>
            <w:vAlign w:val="center"/>
          </w:tcPr>
          <w:p>
            <w:pPr>
              <w:pStyle w:val="BECCell"/>
            </w:pPr>
            <w:r>
              <w:t xml:space="preserve">S3</w:t>
            </w:r>
          </w:p>
        </w:tc>
        <w:tc>
          <w:tcPr>
            <w:tcW w:w="4634" w:type="dxa"/>
            <w:shd w:val="clear" w:color="auto" w:fill="F4F1EA"/>
            <w:vAlign w:val="center"/>
          </w:tcPr>
          <w:p>
            <w:pPr>
              <w:pStyle w:val="BECCell"/>
            </w:pPr>
            <w:r>
              <w:t xml:space="preserve">All benefits</w:t>
            </w:r>
          </w:p>
        </w:tc>
        <w:tc>
          <w:tcPr>
            <w:tcW w:w="1668" w:type="dxa"/>
            <w:shd w:val="clear" w:color="auto" w:fill="F4F1EA"/>
            <w:vAlign w:val="center"/>
          </w:tcPr>
          <w:p>
            <w:pPr>
              <w:pStyle w:val="BECCell"/>
            </w:pPr>
            <w:r>
              <w:t xml:space="preserve">−25%</w:t>
            </w:r>
          </w:p>
        </w:tc>
        <w:tc>
          <w:tcPr>
            <w:tcW w:w="741" w:type="dxa"/>
            <w:shd w:val="clear" w:color="auto" w:fill="F4F1EA"/>
            <w:vAlign w:val="center"/>
          </w:tcPr>
          <w:p>
            <w:pPr>
              <w:pStyle w:val="BECCell"/>
              <w:jc w:val="right"/>
            </w:pPr>
            <w:r>
              <w:t xml:space="preserve">156,216</w:t>
            </w:r>
          </w:p>
        </w:tc>
        <w:tc>
          <w:tcPr>
            <w:tcW w:w="556" w:type="dxa"/>
            <w:shd w:val="clear" w:color="auto" w:fill="F4F1EA"/>
            <w:vAlign w:val="center"/>
          </w:tcPr>
          <w:p>
            <w:pPr>
              <w:pStyle w:val="BECCell"/>
              <w:jc w:val="right"/>
            </w:pPr>
            <w:r>
              <w:t xml:space="preserve">1.50</w:t>
            </w:r>
          </w:p>
        </w:tc>
        <w:tc>
          <w:tcPr>
            <w:tcW w:w="1205" w:type="dxa"/>
            <w:shd w:val="clear" w:color="auto" w:fill="F4F1EA"/>
            <w:vAlign w:val="center"/>
          </w:tcPr>
          <w:p>
            <w:pPr>
              <w:pStyle w:val="BECCell"/>
            </w:pPr>
            <w:r>
              <w:t xml:space="preserve">Justified</w:t>
            </w:r>
          </w:p>
        </w:tc>
      </w:tr>
      <w:tr>
        <w:trPr>
          <w:cantSplit/>
        </w:trPr>
        <w:tc>
          <w:tcPr>
            <w:tcW w:w="556" w:type="dxa"/>
            <w:vAlign w:val="center"/>
          </w:tcPr>
          <w:p>
            <w:pPr>
              <w:pStyle w:val="BECCell"/>
            </w:pPr>
            <w:r>
              <w:t xml:space="preserve">S4</w:t>
            </w:r>
          </w:p>
        </w:tc>
        <w:tc>
          <w:tcPr>
            <w:tcW w:w="4634" w:type="dxa"/>
            <w:vAlign w:val="center"/>
          </w:tcPr>
          <w:p>
            <w:pPr>
              <w:pStyle w:val="BECCell"/>
            </w:pPr>
            <w:r>
              <w:t xml:space="preserve">All benefits</w:t>
            </w:r>
          </w:p>
        </w:tc>
        <w:tc>
          <w:tcPr>
            <w:tcW w:w="1668" w:type="dxa"/>
            <w:vAlign w:val="center"/>
          </w:tcPr>
          <w:p>
            <w:pPr>
              <w:pStyle w:val="BECCell"/>
            </w:pPr>
            <w:r>
              <w:t xml:space="preserve">−40%</w:t>
            </w:r>
          </w:p>
        </w:tc>
        <w:tc>
          <w:tcPr>
            <w:tcW w:w="741" w:type="dxa"/>
            <w:vAlign w:val="center"/>
          </w:tcPr>
          <w:p>
            <w:pPr>
              <w:pStyle w:val="BECCell"/>
              <w:jc w:val="right"/>
            </w:pPr>
            <w:r>
              <w:t xml:space="preserve">61,894</w:t>
            </w:r>
          </w:p>
        </w:tc>
        <w:tc>
          <w:tcPr>
            <w:tcW w:w="556" w:type="dxa"/>
            <w:vAlign w:val="center"/>
          </w:tcPr>
          <w:p>
            <w:pPr>
              <w:pStyle w:val="BECCell"/>
              <w:jc w:val="right"/>
            </w:pPr>
            <w:r>
              <w:t xml:space="preserve">1.20</w:t>
            </w:r>
          </w:p>
        </w:tc>
        <w:tc>
          <w:tcPr>
            <w:tcW w:w="1205" w:type="dxa"/>
            <w:vAlign w:val="center"/>
          </w:tcPr>
          <w:p>
            <w:pPr>
              <w:pStyle w:val="BECCell"/>
            </w:pPr>
            <w:r>
              <w:t xml:space="preserve">Justified</w:t>
            </w:r>
          </w:p>
        </w:tc>
      </w:tr>
      <w:tr>
        <w:trPr>
          <w:cantSplit/>
        </w:trPr>
        <w:tc>
          <w:tcPr>
            <w:tcW w:w="556" w:type="dxa"/>
            <w:shd w:val="clear" w:color="auto" w:fill="F4F1EA"/>
            <w:vAlign w:val="center"/>
          </w:tcPr>
          <w:p>
            <w:pPr>
              <w:pStyle w:val="BECCell"/>
            </w:pPr>
            <w:r>
              <w:t xml:space="preserve">S5</w:t>
            </w:r>
          </w:p>
        </w:tc>
        <w:tc>
          <w:tcPr>
            <w:tcW w:w="4634" w:type="dxa"/>
            <w:shd w:val="clear" w:color="auto" w:fill="F4F1EA"/>
            <w:vAlign w:val="center"/>
          </w:tcPr>
          <w:p>
            <w:pPr>
              <w:pStyle w:val="BECCell"/>
            </w:pPr>
            <w:r>
              <w:t xml:space="preserve">All benefits</w:t>
            </w:r>
          </w:p>
        </w:tc>
        <w:tc>
          <w:tcPr>
            <w:tcW w:w="1668" w:type="dxa"/>
            <w:shd w:val="clear" w:color="auto" w:fill="F4F1EA"/>
            <w:vAlign w:val="center"/>
          </w:tcPr>
          <w:p>
            <w:pPr>
              <w:pStyle w:val="BECCell"/>
            </w:pPr>
            <w:r>
              <w:t xml:space="preserve">−50%</w:t>
            </w:r>
          </w:p>
        </w:tc>
        <w:tc>
          <w:tcPr>
            <w:tcW w:w="741" w:type="dxa"/>
            <w:shd w:val="clear" w:color="auto" w:fill="F4F1EA"/>
            <w:vAlign w:val="center"/>
          </w:tcPr>
          <w:p>
            <w:pPr>
              <w:pStyle w:val="BECCell"/>
              <w:jc w:val="right"/>
            </w:pPr>
            <w:r>
              <w:t xml:space="preserve">(988)</w:t>
            </w:r>
          </w:p>
        </w:tc>
        <w:tc>
          <w:tcPr>
            <w:tcW w:w="556" w:type="dxa"/>
            <w:shd w:val="clear" w:color="auto" w:fill="F4F1EA"/>
            <w:vAlign w:val="center"/>
          </w:tcPr>
          <w:p>
            <w:pPr>
              <w:pStyle w:val="BECCell"/>
              <w:jc w:val="right"/>
            </w:pPr>
            <w:r>
              <w:t xml:space="preserve">1.00</w:t>
            </w:r>
          </w:p>
        </w:tc>
        <w:tc>
          <w:tcPr>
            <w:tcW w:w="1205" w:type="dxa"/>
            <w:shd w:val="clear" w:color="auto" w:fill="F4F1EA"/>
            <w:vAlign w:val="center"/>
          </w:tcPr>
          <w:p>
            <w:pPr>
              <w:pStyle w:val="BECCell"/>
            </w:pPr>
            <w:r>
              <w:rPr>
                <w:b/>
              </w:rPr>
              <w:t xml:space="preserve">Break-even</w:t>
            </w:r>
          </w:p>
        </w:tc>
      </w:tr>
      <w:tr>
        <w:trPr>
          <w:cantSplit/>
        </w:trPr>
        <w:tc>
          <w:tcPr>
            <w:tcW w:w="556" w:type="dxa"/>
            <w:vAlign w:val="center"/>
          </w:tcPr>
          <w:p>
            <w:pPr>
              <w:pStyle w:val="BECCell"/>
            </w:pPr>
            <w:r>
              <w:t xml:space="preserve">S6</w:t>
            </w:r>
          </w:p>
        </w:tc>
        <w:tc>
          <w:tcPr>
            <w:tcW w:w="4634" w:type="dxa"/>
            <w:vAlign w:val="center"/>
          </w:tcPr>
          <w:p>
            <w:pPr>
              <w:pStyle w:val="BECCell"/>
            </w:pPr>
            <w:r>
              <w:t xml:space="preserve">All costs</w:t>
            </w:r>
          </w:p>
        </w:tc>
        <w:tc>
          <w:tcPr>
            <w:tcW w:w="1668" w:type="dxa"/>
            <w:vAlign w:val="center"/>
          </w:tcPr>
          <w:p>
            <w:pPr>
              <w:pStyle w:val="BECCell"/>
            </w:pPr>
            <w:r>
              <w:t xml:space="preserve">+50%</w:t>
            </w:r>
          </w:p>
        </w:tc>
        <w:tc>
          <w:tcPr>
            <w:tcW w:w="741" w:type="dxa"/>
            <w:vAlign w:val="center"/>
          </w:tcPr>
          <w:p>
            <w:pPr>
              <w:pStyle w:val="BECCell"/>
              <w:jc w:val="right"/>
            </w:pPr>
            <w:r>
              <w:t xml:space="preserve">155,722</w:t>
            </w:r>
          </w:p>
        </w:tc>
        <w:tc>
          <w:tcPr>
            <w:tcW w:w="556" w:type="dxa"/>
            <w:vAlign w:val="center"/>
          </w:tcPr>
          <w:p>
            <w:pPr>
              <w:pStyle w:val="BECCell"/>
              <w:jc w:val="right"/>
            </w:pPr>
            <w:r>
              <w:t xml:space="preserve">1.33</w:t>
            </w:r>
          </w:p>
        </w:tc>
        <w:tc>
          <w:tcPr>
            <w:tcW w:w="1205" w:type="dxa"/>
            <w:vAlign w:val="center"/>
          </w:tcPr>
          <w:p>
            <w:pPr>
              <w:pStyle w:val="BECCell"/>
            </w:pPr>
            <w:r>
              <w:t xml:space="preserve">Justified</w:t>
            </w:r>
          </w:p>
        </w:tc>
      </w:tr>
      <w:tr>
        <w:trPr>
          <w:cantSplit/>
        </w:trPr>
        <w:tc>
          <w:tcPr>
            <w:tcW w:w="556" w:type="dxa"/>
            <w:shd w:val="clear" w:color="auto" w:fill="F4F1EA"/>
            <w:vAlign w:val="center"/>
          </w:tcPr>
          <w:p>
            <w:pPr>
              <w:pStyle w:val="BECCell"/>
            </w:pPr>
            <w:r>
              <w:t xml:space="preserve">S7</w:t>
            </w:r>
          </w:p>
        </w:tc>
        <w:tc>
          <w:tcPr>
            <w:tcW w:w="4634" w:type="dxa"/>
            <w:shd w:val="clear" w:color="auto" w:fill="F4F1EA"/>
            <w:vAlign w:val="center"/>
          </w:tcPr>
          <w:p>
            <w:pPr>
              <w:pStyle w:val="BECCell"/>
            </w:pPr>
            <w:r>
              <w:t xml:space="preserve">All costs</w:t>
            </w:r>
          </w:p>
        </w:tc>
        <w:tc>
          <w:tcPr>
            <w:tcW w:w="1668" w:type="dxa"/>
            <w:shd w:val="clear" w:color="auto" w:fill="F4F1EA"/>
            <w:vAlign w:val="center"/>
          </w:tcPr>
          <w:p>
            <w:pPr>
              <w:pStyle w:val="BECCell"/>
            </w:pPr>
            <w:r>
              <w:t xml:space="preserve">+100%</w:t>
            </w:r>
          </w:p>
        </w:tc>
        <w:tc>
          <w:tcPr>
            <w:tcW w:w="741" w:type="dxa"/>
            <w:shd w:val="clear" w:color="auto" w:fill="F4F1EA"/>
            <w:vAlign w:val="center"/>
          </w:tcPr>
          <w:p>
            <w:pPr>
              <w:pStyle w:val="BECCell"/>
              <w:jc w:val="right"/>
            </w:pPr>
            <w:r>
              <w:t xml:space="preserve">(1,976)</w:t>
            </w:r>
          </w:p>
        </w:tc>
        <w:tc>
          <w:tcPr>
            <w:tcW w:w="556" w:type="dxa"/>
            <w:shd w:val="clear" w:color="auto" w:fill="F4F1EA"/>
            <w:vAlign w:val="center"/>
          </w:tcPr>
          <w:p>
            <w:pPr>
              <w:pStyle w:val="BECCell"/>
              <w:jc w:val="right"/>
            </w:pPr>
            <w:r>
              <w:t xml:space="preserve">1.00</w:t>
            </w:r>
          </w:p>
        </w:tc>
        <w:tc>
          <w:tcPr>
            <w:tcW w:w="1205" w:type="dxa"/>
            <w:shd w:val="clear" w:color="auto" w:fill="F4F1EA"/>
            <w:vAlign w:val="center"/>
          </w:tcPr>
          <w:p>
            <w:pPr>
              <w:pStyle w:val="BECCell"/>
            </w:pPr>
            <w:r>
              <w:rPr>
                <w:b/>
              </w:rPr>
              <w:t xml:space="preserve">Break-even</w:t>
            </w:r>
          </w:p>
        </w:tc>
      </w:tr>
      <w:tr>
        <w:trPr>
          <w:cantSplit/>
        </w:trPr>
        <w:tc>
          <w:tcPr>
            <w:tcW w:w="556" w:type="dxa"/>
            <w:vAlign w:val="center"/>
          </w:tcPr>
          <w:p>
            <w:pPr>
              <w:pStyle w:val="BECCell"/>
            </w:pPr>
            <w:r>
              <w:t xml:space="preserve">S8</w:t>
            </w:r>
          </w:p>
        </w:tc>
        <w:tc>
          <w:tcPr>
            <w:tcW w:w="4634" w:type="dxa"/>
            <w:vAlign w:val="center"/>
          </w:tcPr>
          <w:p>
            <w:pPr>
              <w:pStyle w:val="BECCell"/>
            </w:pPr>
            <w:r>
              <w:t xml:space="preserve">Report volume</w:t>
            </w:r>
          </w:p>
        </w:tc>
        <w:tc>
          <w:tcPr>
            <w:tcW w:w="1668" w:type="dxa"/>
            <w:vAlign w:val="center"/>
          </w:tcPr>
          <w:p>
            <w:pPr>
              <w:pStyle w:val="BECCell"/>
            </w:pPr>
            <w:r>
              <w:t xml:space="preserve">800/yr (−33%)</w:t>
            </w:r>
          </w:p>
        </w:tc>
        <w:tc>
          <w:tcPr>
            <w:tcW w:w="741" w:type="dxa"/>
            <w:vAlign w:val="center"/>
          </w:tcPr>
          <w:p>
            <w:pPr>
              <w:pStyle w:val="BECCell"/>
              <w:jc w:val="right"/>
            </w:pPr>
            <w:r>
              <w:t xml:space="preserve">191,838</w:t>
            </w:r>
          </w:p>
        </w:tc>
        <w:tc>
          <w:tcPr>
            <w:tcW w:w="556" w:type="dxa"/>
            <w:vAlign w:val="center"/>
          </w:tcPr>
          <w:p>
            <w:pPr>
              <w:pStyle w:val="BECCell"/>
              <w:jc w:val="right"/>
            </w:pPr>
            <w:r>
              <w:t xml:space="preserve">1.61</w:t>
            </w:r>
          </w:p>
        </w:tc>
        <w:tc>
          <w:tcPr>
            <w:tcW w:w="1205" w:type="dxa"/>
            <w:vAlign w:val="center"/>
          </w:tcPr>
          <w:p>
            <w:pPr>
              <w:pStyle w:val="BECCell"/>
            </w:pPr>
            <w:r>
              <w:t xml:space="preserve">Justified</w:t>
            </w:r>
          </w:p>
        </w:tc>
      </w:tr>
      <w:tr>
        <w:trPr>
          <w:cantSplit/>
        </w:trPr>
        <w:tc>
          <w:tcPr>
            <w:tcW w:w="556" w:type="dxa"/>
            <w:shd w:val="clear" w:color="auto" w:fill="F4F1EA"/>
            <w:vAlign w:val="center"/>
          </w:tcPr>
          <w:p>
            <w:pPr>
              <w:pStyle w:val="BECCell"/>
            </w:pPr>
            <w:r>
              <w:t xml:space="preserve">S9</w:t>
            </w:r>
          </w:p>
        </w:tc>
        <w:tc>
          <w:tcPr>
            <w:tcW w:w="4634" w:type="dxa"/>
            <w:shd w:val="clear" w:color="auto" w:fill="F4F1EA"/>
            <w:vAlign w:val="center"/>
          </w:tcPr>
          <w:p>
            <w:pPr>
              <w:pStyle w:val="BECCell"/>
            </w:pPr>
            <w:r>
              <w:rPr>
                <w:b/>
              </w:rPr>
              <w:t xml:space="preserve">All labor-time benefits excluded</w:t>
            </w:r>
            <w:r>
              <w:t xml:space="preserve"> (B1+B2+B3 = ₱0)</w:t>
            </w:r>
          </w:p>
        </w:tc>
        <w:tc>
          <w:tcPr>
            <w:tcW w:w="1668" w:type="dxa"/>
            <w:shd w:val="clear" w:color="auto" w:fill="F4F1EA"/>
            <w:vAlign w:val="center"/>
          </w:tcPr>
          <w:p>
            <w:pPr>
              <w:pStyle w:val="BECCell"/>
            </w:pPr>
            <w:r>
              <w:t xml:space="preserve">Removes ₱93,880/yr</w:t>
            </w:r>
          </w:p>
        </w:tc>
        <w:tc>
          <w:tcPr>
            <w:tcW w:w="741" w:type="dxa"/>
            <w:shd w:val="clear" w:color="auto" w:fill="F4F1EA"/>
            <w:vAlign w:val="center"/>
          </w:tcPr>
          <w:p>
            <w:pPr>
              <w:pStyle w:val="BECCell"/>
              <w:jc w:val="right"/>
            </w:pPr>
            <w:r>
              <w:rPr>
                <w:b/>
              </w:rPr>
              <w:t xml:space="preserve">(42,459)</w:t>
            </w:r>
          </w:p>
        </w:tc>
        <w:tc>
          <w:tcPr>
            <w:tcW w:w="556" w:type="dxa"/>
            <w:shd w:val="clear" w:color="auto" w:fill="F4F1EA"/>
            <w:vAlign w:val="center"/>
          </w:tcPr>
          <w:p>
            <w:pPr>
              <w:pStyle w:val="BECCell"/>
              <w:jc w:val="right"/>
            </w:pPr>
            <w:r>
              <w:rPr>
                <w:b/>
              </w:rPr>
              <w:t xml:space="preserve">0.87</w:t>
            </w:r>
          </w:p>
        </w:tc>
        <w:tc>
          <w:tcPr>
            <w:tcW w:w="1205" w:type="dxa"/>
            <w:shd w:val="clear" w:color="auto" w:fill="F4F1EA"/>
            <w:vAlign w:val="center"/>
          </w:tcPr>
          <w:p>
            <w:pPr>
              <w:pStyle w:val="BECCell"/>
            </w:pPr>
            <w:r>
              <w:rPr>
                <w:b/>
              </w:rPr>
              <w:t xml:space="preserve">Not justified</w:t>
            </w:r>
          </w:p>
        </w:tc>
      </w:tr>
      <w:tr>
        <w:trPr>
          <w:cantSplit/>
        </w:trPr>
        <w:tc>
          <w:tcPr>
            <w:tcW w:w="556" w:type="dxa"/>
            <w:vAlign w:val="center"/>
          </w:tcPr>
          <w:p>
            <w:pPr>
              <w:pStyle w:val="BECCell"/>
            </w:pPr>
            <w:r>
              <w:t xml:space="preserve">S10</w:t>
            </w:r>
          </w:p>
        </w:tc>
        <w:tc>
          <w:tcPr>
            <w:tcW w:w="4634" w:type="dxa"/>
            <w:vAlign w:val="center"/>
          </w:tcPr>
          <w:p>
            <w:pPr>
              <w:pStyle w:val="BECCell"/>
            </w:pPr>
            <w:r>
              <w:rPr>
                <w:b/>
              </w:rPr>
              <w:t xml:space="preserve">Maintenance-expenditure benefit excluded</w:t>
            </w:r>
            <w:r>
              <w:t xml:space="preserve"> (B6 = ₱0)</w:t>
            </w:r>
          </w:p>
        </w:tc>
        <w:tc>
          <w:tcPr>
            <w:tcW w:w="1668" w:type="dxa"/>
            <w:vAlign w:val="center"/>
          </w:tcPr>
          <w:p>
            <w:pPr>
              <w:pStyle w:val="BECCell"/>
            </w:pPr>
            <w:r>
              <w:t xml:space="preserve">Removes ₱60,000/yr</w:t>
            </w:r>
          </w:p>
        </w:tc>
        <w:tc>
          <w:tcPr>
            <w:tcW w:w="741" w:type="dxa"/>
            <w:vAlign w:val="center"/>
          </w:tcPr>
          <w:p>
            <w:pPr>
              <w:pStyle w:val="BECCell"/>
              <w:jc w:val="right"/>
            </w:pPr>
            <w:r>
              <w:rPr>
                <w:b/>
              </w:rPr>
              <w:t xml:space="preserve">85,972</w:t>
            </w:r>
          </w:p>
        </w:tc>
        <w:tc>
          <w:tcPr>
            <w:tcW w:w="556" w:type="dxa"/>
            <w:vAlign w:val="center"/>
          </w:tcPr>
          <w:p>
            <w:pPr>
              <w:pStyle w:val="BECCell"/>
              <w:jc w:val="right"/>
            </w:pPr>
            <w:r>
              <w:rPr>
                <w:b/>
              </w:rPr>
              <w:t xml:space="preserve">1.27</w:t>
            </w:r>
          </w:p>
        </w:tc>
        <w:tc>
          <w:tcPr>
            <w:tcW w:w="1205" w:type="dxa"/>
            <w:vAlign w:val="center"/>
          </w:tcPr>
          <w:p>
            <w:pPr>
              <w:pStyle w:val="BECCell"/>
            </w:pPr>
            <w:r>
              <w:t xml:space="preserve">Justified</w:t>
            </w:r>
          </w:p>
        </w:tc>
      </w:tr>
    </w:tbl>
    <w:p>
      <w:pPr>
        <w:spacing w:after="0" w:line="120" w:lineRule="exact"/>
      </w:pPr>
    </w:p>
    <w:p>
      <w:pPr>
        <w:pStyle w:val="Heading3"/>
      </w:pPr>
      <w:r>
        <w:t xml:space="preserve">11.2 Interpretation of Sensitivity Results</w:t>
      </w:r>
    </w:p>
    <w:p>
      <w:pPr>
        <w:pStyle w:val="Normal"/>
      </w:pPr>
      <w:r>
        <w:t xml:space="preserve">Three findings warrant emphasis.</w:t>
      </w:r>
    </w:p>
    <w:p>
      <w:pPr>
        <w:pStyle w:val="Normal"/>
      </w:pPr>
      <w:r>
        <w:rPr>
          <w:b/>
        </w:rPr>
        <w:t xml:space="preserve">First, the conclusion is robust to discount-rate choice.</w:t>
      </w:r>
      <w:r>
        <w:t xml:space="preserve"> Varying the discount rate across the full plausible range (6%–15%) changes NPV by less than ±18% and does not alter the decision. The choice of the NEDA rate is therefore not driving the result.</w:t>
      </w:r>
    </w:p>
    <w:p>
      <w:pPr>
        <w:pStyle w:val="Normal"/>
      </w:pPr>
      <w:r>
        <w:rPr>
          <w:b/>
        </w:rPr>
        <w:t xml:space="preserve">Second, the conclusion is robust to substantial parameter error.</w:t>
      </w:r>
      <w:r>
        <w:t xml:space="preserve"> The investment remains justified with benefits overstated by up to 50%, or costs understated by up to 100%. Given that the base-case benefit estimates already incorporate deliberate conservatism (§8.6), this margin is comfortable.</w:t>
      </w:r>
    </w:p>
    <w:p>
      <w:pPr>
        <w:pStyle w:val="Normal"/>
      </w:pPr>
      <w:r>
        <w:rPr>
          <w:b/>
        </w:rPr>
        <w:t xml:space="preserve">Third — and this is the study's principal analytical caveat — the conclusion is materially dependent on the monetization of institutional labor time.</w:t>
      </w:r>
      <w:r>
        <w:t xml:space="preserve"> Test S9 removes all three labor-time benefit streams and yields a negative NPV (−₱42,459, BCR 0.87). An evaluator who rejects the valuation of saved staff and student time as an economic benefit — on the grounds, for instance, that such time is not actually redeployed to productive alternative use — would not find the investment justified on the remaining quantified streams alone.</w:t>
      </w:r>
    </w:p>
    <w:p>
      <w:pPr>
        <w:pStyle w:val="Normal"/>
      </w:pPr>
      <w:r>
        <w:t xml:space="preserve">This objection is analytically legitimate and is stated here explicitly rather than obscured. Two counter-considerations apply. (a) The PMO component of the labor saving (B2, ₱44,160) is the most defensible of the three, since PMO staff time released from clerical logging is demonstrably redeployable to maintenance supervision. (b) The intangible benefits catalogued in §13 — which include accountability, auditability, and institutional data assets — are not counted anywhere in the quantified analysis and would offset a substantial part of the S9 shortfall if monetized.</w:t>
      </w:r>
    </w:p>
    <w:p>
      <w:pPr>
        <w:pStyle w:val="Normal"/>
      </w:pPr>
      <w:r>
        <w:t xml:space="preserve">Conversely, test S10 shows that removing the largest and least-validated single line (B6, maintenance expenditure reduction) still leaves the project justified at BCR 1.27. The analysis is therefore </w:t>
      </w:r>
      <w:r>
        <w:rPr>
          <w:b/>
        </w:rPr>
        <w:t xml:space="preserve">not</w:t>
      </w:r>
      <w:r>
        <w:t xml:space="preserve"> dependent on the maintenance-reduction assumption, which is the more reassuring of the two findings.</w:t>
      </w:r>
    </w:p>
    <w:p>
      <w:pPr>
        <w:pStyle w:val="Heading3"/>
      </w:pPr>
      <w:r>
        <w:t xml:space="preserve">11.3 Break-Even Analysis</w:t>
      </w:r>
    </w:p>
    <w:p>
      <w:pPr>
        <w:pStyle w:val="Normal"/>
      </w:pPr>
      <w:r>
        <w:rPr>
          <w:b/>
        </w:rPr>
        <w:t xml:space="preserve">Table 11.2 — Break-Even Thresholds</w:t>
      </w:r>
    </w:p>
    <w:tbl>
      <w:tblPr>
        <w:tblStyle w:val="BECTable"/>
        <w:tblW w:w="9360" w:type="dxa"/>
        <w:tblLayout w:type="fixed"/>
        <w:tblCellMar>
          <w:top w:w="60" w:type="dxa"/>
          <w:left w:w="90" w:type="dxa"/>
          <w:bottom w:w="60" w:type="dxa"/>
          <w:right w:w="90" w:type="dxa"/>
        </w:tblCellMar>
      </w:tblPr>
      <w:tblGrid>
        <w:gridCol w:w="5300"/>
        <w:gridCol w:w="1240"/>
        <w:gridCol w:w="1015"/>
        <w:gridCol w:w="1805"/>
      </w:tblGrid>
      <w:tr>
        <w:trPr>
          <w:tblHeader/>
          <w:cantSplit/>
        </w:trPr>
        <w:tc>
          <w:tcPr>
            <w:tcW w:w="5300" w:type="dxa"/>
            <w:shd w:val="clear" w:color="auto" w:fill="7B1D1D"/>
            <w:vAlign w:val="center"/>
          </w:tcPr>
          <w:p>
            <w:pPr>
              <w:pStyle w:val="BECCell"/>
            </w:pPr>
            <w:r>
              <w:rPr>
                <w:b/>
                <w:color w:val="FFFFFF"/>
              </w:rPr>
              <w:t xml:space="preserve">Break-even condition</w:t>
            </w:r>
          </w:p>
        </w:tc>
        <w:tc>
          <w:tcPr>
            <w:tcW w:w="1240" w:type="dxa"/>
            <w:shd w:val="clear" w:color="auto" w:fill="7B1D1D"/>
            <w:vAlign w:val="center"/>
          </w:tcPr>
          <w:p>
            <w:pPr>
              <w:pStyle w:val="BECCell"/>
              <w:jc w:val="right"/>
            </w:pPr>
            <w:r>
              <w:rPr>
                <w:b/>
                <w:color w:val="FFFFFF"/>
              </w:rPr>
              <w:t xml:space="preserve">Threshold</w:t>
            </w:r>
          </w:p>
        </w:tc>
        <w:tc>
          <w:tcPr>
            <w:tcW w:w="1015" w:type="dxa"/>
            <w:shd w:val="clear" w:color="auto" w:fill="7B1D1D"/>
            <w:vAlign w:val="center"/>
          </w:tcPr>
          <w:p>
            <w:pPr>
              <w:pStyle w:val="BECCell"/>
              <w:jc w:val="right"/>
            </w:pPr>
            <w:r>
              <w:rPr>
                <w:b/>
                <w:color w:val="FFFFFF"/>
              </w:rPr>
              <w:t xml:space="preserve">Base case</w:t>
            </w:r>
          </w:p>
        </w:tc>
        <w:tc>
          <w:tcPr>
            <w:tcW w:w="1805" w:type="dxa"/>
            <w:shd w:val="clear" w:color="auto" w:fill="7B1D1D"/>
            <w:vAlign w:val="center"/>
          </w:tcPr>
          <w:p>
            <w:pPr>
              <w:pStyle w:val="BECCell"/>
              <w:jc w:val="right"/>
            </w:pPr>
            <w:r>
              <w:rPr>
                <w:b/>
                <w:color w:val="FFFFFF"/>
              </w:rPr>
              <w:t xml:space="preserve">Margin of safety</w:t>
            </w:r>
          </w:p>
        </w:tc>
      </w:tr>
      <w:tr>
        <w:trPr>
          <w:cantSplit/>
        </w:trPr>
        <w:tc>
          <w:tcPr>
            <w:tcW w:w="5300" w:type="dxa"/>
            <w:vAlign w:val="center"/>
          </w:tcPr>
          <w:p>
            <w:pPr>
              <w:pStyle w:val="BECCell"/>
            </w:pPr>
            <w:r>
              <w:t xml:space="preserve">Minimum annual gross benefit for NPV = 0</w:t>
            </w:r>
          </w:p>
        </w:tc>
        <w:tc>
          <w:tcPr>
            <w:tcW w:w="1240" w:type="dxa"/>
            <w:vAlign w:val="center"/>
          </w:tcPr>
          <w:p>
            <w:pPr>
              <w:pStyle w:val="BECCell"/>
              <w:jc w:val="right"/>
            </w:pPr>
            <w:r>
              <w:t xml:space="preserve">₱83,201</w:t>
            </w:r>
          </w:p>
        </w:tc>
        <w:tc>
          <w:tcPr>
            <w:tcW w:w="1015" w:type="dxa"/>
            <w:vAlign w:val="center"/>
          </w:tcPr>
          <w:p>
            <w:pPr>
              <w:pStyle w:val="BECCell"/>
              <w:jc w:val="right"/>
            </w:pPr>
            <w:r>
              <w:t xml:space="preserve">₱165,880</w:t>
            </w:r>
          </w:p>
        </w:tc>
        <w:tc>
          <w:tcPr>
            <w:tcW w:w="1805" w:type="dxa"/>
            <w:vAlign w:val="center"/>
          </w:tcPr>
          <w:p>
            <w:pPr>
              <w:pStyle w:val="BECCell"/>
              <w:jc w:val="right"/>
            </w:pPr>
            <w:r>
              <w:rPr>
                <w:b/>
              </w:rPr>
              <w:t xml:space="preserve">49.8%</w:t>
            </w:r>
          </w:p>
        </w:tc>
      </w:tr>
      <w:tr>
        <w:trPr>
          <w:cantSplit/>
        </w:trPr>
        <w:tc>
          <w:tcPr>
            <w:tcW w:w="5300" w:type="dxa"/>
            <w:shd w:val="clear" w:color="auto" w:fill="F4F1EA"/>
            <w:vAlign w:val="center"/>
          </w:tcPr>
          <w:p>
            <w:pPr>
              <w:pStyle w:val="BECCell"/>
            </w:pPr>
            <w:r>
              <w:t xml:space="preserve">Maximum PV of total cost for NPV = 0</w:t>
            </w:r>
          </w:p>
        </w:tc>
        <w:tc>
          <w:tcPr>
            <w:tcW w:w="1240" w:type="dxa"/>
            <w:shd w:val="clear" w:color="auto" w:fill="F4F1EA"/>
            <w:vAlign w:val="center"/>
          </w:tcPr>
          <w:p>
            <w:pPr>
              <w:pStyle w:val="BECCell"/>
              <w:jc w:val="right"/>
            </w:pPr>
            <w:r>
              <w:t xml:space="preserve">₱628,816</w:t>
            </w:r>
          </w:p>
        </w:tc>
        <w:tc>
          <w:tcPr>
            <w:tcW w:w="1015" w:type="dxa"/>
            <w:shd w:val="clear" w:color="auto" w:fill="F4F1EA"/>
            <w:vAlign w:val="center"/>
          </w:tcPr>
          <w:p>
            <w:pPr>
              <w:pStyle w:val="BECCell"/>
              <w:jc w:val="right"/>
            </w:pPr>
            <w:r>
              <w:t xml:space="preserve">₱315,396</w:t>
            </w:r>
          </w:p>
        </w:tc>
        <w:tc>
          <w:tcPr>
            <w:tcW w:w="1805" w:type="dxa"/>
            <w:shd w:val="clear" w:color="auto" w:fill="F4F1EA"/>
            <w:vAlign w:val="center"/>
          </w:tcPr>
          <w:p>
            <w:pPr>
              <w:pStyle w:val="BECCell"/>
              <w:jc w:val="right"/>
            </w:pPr>
            <w:r>
              <w:rPr>
                <w:b/>
              </w:rPr>
              <w:t xml:space="preserve">99.4%</w:t>
            </w:r>
          </w:p>
        </w:tc>
      </w:tr>
      <w:tr>
        <w:trPr>
          <w:cantSplit/>
        </w:trPr>
        <w:tc>
          <w:tcPr>
            <w:tcW w:w="5300" w:type="dxa"/>
            <w:vAlign w:val="center"/>
          </w:tcPr>
          <w:p>
            <w:pPr>
              <w:pStyle w:val="BECCell"/>
            </w:pPr>
            <w:r>
              <w:t xml:space="preserve">Minimum annual report volume (with B6 retained)</w:t>
            </w:r>
          </w:p>
        </w:tc>
        <w:tc>
          <w:tcPr>
            <w:tcW w:w="1240" w:type="dxa"/>
            <w:vAlign w:val="center"/>
          </w:tcPr>
          <w:p>
            <w:pPr>
              <w:pStyle w:val="BECCell"/>
              <w:jc w:val="right"/>
            </w:pPr>
            <w:r>
              <w:t xml:space="preserve">169 reports</w:t>
            </w:r>
          </w:p>
        </w:tc>
        <w:tc>
          <w:tcPr>
            <w:tcW w:w="1015" w:type="dxa"/>
            <w:vAlign w:val="center"/>
          </w:tcPr>
          <w:p>
            <w:pPr>
              <w:pStyle w:val="BECCell"/>
              <w:jc w:val="right"/>
            </w:pPr>
            <w:r>
              <w:t xml:space="preserve">1,200</w:t>
            </w:r>
          </w:p>
        </w:tc>
        <w:tc>
          <w:tcPr>
            <w:tcW w:w="1805" w:type="dxa"/>
            <w:vAlign w:val="center"/>
          </w:tcPr>
          <w:p>
            <w:pPr>
              <w:pStyle w:val="BECCell"/>
              <w:jc w:val="right"/>
            </w:pPr>
            <w:r>
              <w:rPr>
                <w:b/>
              </w:rPr>
              <w:t xml:space="preserve">85.9%</w:t>
            </w:r>
          </w:p>
        </w:tc>
      </w:tr>
      <w:tr>
        <w:trPr>
          <w:cantSplit/>
        </w:trPr>
        <w:tc>
          <w:tcPr>
            <w:tcW w:w="5300" w:type="dxa"/>
            <w:shd w:val="clear" w:color="auto" w:fill="F4F1EA"/>
            <w:vAlign w:val="center"/>
          </w:tcPr>
          <w:p>
            <w:pPr>
              <w:pStyle w:val="BECCell"/>
            </w:pPr>
            <w:r>
              <w:t xml:space="preserve">Minimum annual report volume (with B6 excluded)</w:t>
            </w:r>
          </w:p>
        </w:tc>
        <w:tc>
          <w:tcPr>
            <w:tcW w:w="1240" w:type="dxa"/>
            <w:shd w:val="clear" w:color="auto" w:fill="F4F1EA"/>
            <w:vAlign w:val="center"/>
          </w:tcPr>
          <w:p>
            <w:pPr>
              <w:pStyle w:val="BECCell"/>
              <w:jc w:val="right"/>
            </w:pPr>
            <w:r>
              <w:t xml:space="preserve">917 reports</w:t>
            </w:r>
          </w:p>
        </w:tc>
        <w:tc>
          <w:tcPr>
            <w:tcW w:w="1015" w:type="dxa"/>
            <w:shd w:val="clear" w:color="auto" w:fill="F4F1EA"/>
            <w:vAlign w:val="center"/>
          </w:tcPr>
          <w:p>
            <w:pPr>
              <w:pStyle w:val="BECCell"/>
              <w:jc w:val="right"/>
            </w:pPr>
            <w:r>
              <w:t xml:space="preserve">1,200</w:t>
            </w:r>
          </w:p>
        </w:tc>
        <w:tc>
          <w:tcPr>
            <w:tcW w:w="1805" w:type="dxa"/>
            <w:shd w:val="clear" w:color="auto" w:fill="F4F1EA"/>
            <w:vAlign w:val="center"/>
          </w:tcPr>
          <w:p>
            <w:pPr>
              <w:pStyle w:val="BECCell"/>
              <w:jc w:val="right"/>
            </w:pPr>
            <w:r>
              <w:rPr>
                <w:b/>
              </w:rPr>
              <w:t xml:space="preserve">23.6%</w:t>
            </w:r>
          </w:p>
        </w:tc>
      </w:tr>
      <w:tr>
        <w:trPr>
          <w:cantSplit/>
        </w:trPr>
        <w:tc>
          <w:tcPr>
            <w:tcW w:w="5300" w:type="dxa"/>
            <w:vAlign w:val="center"/>
          </w:tcPr>
          <w:p>
            <w:pPr>
              <w:pStyle w:val="BECCell"/>
            </w:pPr>
            <w:r>
              <w:t xml:space="preserve">Maximum discount rate for NPV = 0 (IRR)</w:t>
            </w:r>
          </w:p>
        </w:tc>
        <w:tc>
          <w:tcPr>
            <w:tcW w:w="1240" w:type="dxa"/>
            <w:vAlign w:val="center"/>
          </w:tcPr>
          <w:p>
            <w:pPr>
              <w:pStyle w:val="BECCell"/>
              <w:jc w:val="right"/>
            </w:pPr>
            <w:r>
              <w:t xml:space="preserve">≈65%</w:t>
            </w:r>
          </w:p>
        </w:tc>
        <w:tc>
          <w:tcPr>
            <w:tcW w:w="1015" w:type="dxa"/>
            <w:vAlign w:val="center"/>
          </w:tcPr>
          <w:p>
            <w:pPr>
              <w:pStyle w:val="BECCell"/>
              <w:jc w:val="right"/>
            </w:pPr>
            <w:r>
              <w:t xml:space="preserve">10%</w:t>
            </w:r>
          </w:p>
        </w:tc>
        <w:tc>
          <w:tcPr>
            <w:tcW w:w="1805" w:type="dxa"/>
            <w:vAlign w:val="center"/>
          </w:tcPr>
          <w:p>
            <w:pPr>
              <w:pStyle w:val="BECCell"/>
              <w:jc w:val="right"/>
            </w:pPr>
            <w:r>
              <w:rPr>
                <w:b/>
              </w:rPr>
              <w:t xml:space="preserve">55 pp</w:t>
            </w:r>
          </w:p>
        </w:tc>
      </w:tr>
    </w:tbl>
    <w:p>
      <w:pPr>
        <w:spacing w:after="0" w:line="120" w:lineRule="exact"/>
      </w:pPr>
    </w:p>
    <w:p>
      <w:pPr>
        <w:pStyle w:val="Normal"/>
      </w:pPr>
      <w:r>
        <w:t xml:space="preserve">The break-even annual benefit of ₱83,201 is, by construction, identical to the equivalent annual cost computed in §9.4. The investment is justified provided the system delivers annual benefits of at least </w:t>
      </w:r>
      <w:r>
        <w:rPr>
          <w:b/>
        </w:rPr>
        <w:t xml:space="preserve">₱83,201 — equivalently, ₱69.33 per report at base volume.</w:t>
      </w:r>
    </w:p>
    <w:p>
      <w:pPr>
        <w:pStyle w:val="BECRule"/>
      </w:pPr>
    </w:p>
    <w:p>
      <w:pPr>
        <w:pStyle w:val="Heading2"/>
      </w:pPr>
      <w:r>
        <w:t xml:space="preserve">12. ALTERNATIVE ANALYSIS: MAKE VERSUS BUY</w:t>
      </w:r>
    </w:p>
    <w:p>
      <w:pPr>
        <w:pStyle w:val="Normal"/>
      </w:pPr>
      <w:r>
        <w:t xml:space="preserve">The relevant counterfactual is not only "no system" but also "commercially licensed system." This section evaluates the in-house build against procurement of a commercial CMMS meeting equivalent functional requirements.</w:t>
      </w:r>
    </w:p>
    <w:p>
      <w:pPr>
        <w:pStyle w:val="Heading3"/>
      </w:pPr>
      <w:r>
        <w:t xml:space="preserve">12.1 Assumptions</w:t>
      </w:r>
    </w:p>
    <w:p>
      <w:pPr>
        <w:pStyle w:val="BECList"/>
      </w:pPr>
      <w:r>
        <w:rPr>
          <w:b/>
          <w:color w:val="C9960C"/>
        </w:rPr>
        <w:t xml:space="preserve">•  </w:t>
      </w:r>
      <w:r>
        <w:t xml:space="preserve">Named users required: </w:t>
      </w:r>
      <w:r>
        <w:rPr>
          <w:b/>
        </w:rPr>
        <w:t xml:space="preserve">8</w:t>
      </w:r>
      <w:r>
        <w:t xml:space="preserve"> (2 PMO administrators, 3 technicians, 3 reserve/supervisory seats).</w:t>
      </w:r>
    </w:p>
    <w:p>
      <w:pPr>
        <w:pStyle w:val="BECList"/>
      </w:pPr>
      <w:r>
        <w:rPr>
          <w:b/>
          <w:color w:val="C9960C"/>
        </w:rPr>
        <w:t xml:space="preserve">•  </w:t>
      </w:r>
      <w:r>
        <w:t xml:space="preserve">Reporter self-service is assumed unlicensed (requester portals are typically included), consistent with vendor practice.</w:t>
      </w:r>
    </w:p>
    <w:p>
      <w:pPr>
        <w:pStyle w:val="BECList"/>
      </w:pPr>
      <w:r>
        <w:rPr>
          <w:b/>
          <w:color w:val="C9960C"/>
        </w:rPr>
        <w:t xml:space="preserve">•  </w:t>
      </w:r>
      <w:r>
        <w:t xml:space="preserve">One-time implementation, configuration, and data-migration cost: </w:t>
      </w:r>
      <w:r>
        <w:rPr>
          <w:b/>
        </w:rPr>
        <w:t xml:space="preserve">US$1,500 = ₱91,530</w:t>
      </w:r>
      <w:r>
        <w:t xml:space="preserve">.</w:t>
      </w:r>
    </w:p>
    <w:p>
      <w:pPr>
        <w:pStyle w:val="BECList"/>
      </w:pPr>
      <w:r>
        <w:rPr>
          <w:b/>
          <w:color w:val="C9960C"/>
        </w:rPr>
        <w:t xml:space="preserve">•  </w:t>
      </w:r>
      <w:r>
        <w:t xml:space="preserve">Vendor pricing per Table 4.1.</w:t>
      </w:r>
    </w:p>
    <w:p>
      <w:pPr>
        <w:pStyle w:val="Heading3"/>
      </w:pPr>
      <w:r>
        <w:t xml:space="preserve">12.2 Comparative Five-Year Total Cost of Ownership</w:t>
      </w:r>
    </w:p>
    <w:p>
      <w:pPr>
        <w:pStyle w:val="Normal"/>
      </w:pPr>
      <w:r>
        <w:rPr>
          <w:b/>
        </w:rPr>
        <w:t xml:space="preserve">Table 12.1 — Five-Year TCO Comparison (Present Value, 10%)</w:t>
      </w:r>
    </w:p>
    <w:tbl>
      <w:tblPr>
        <w:tblStyle w:val="BECTable"/>
        <w:tblW w:w="9360" w:type="dxa"/>
        <w:tblLayout w:type="fixed"/>
        <w:tblCellMar>
          <w:top w:w="60" w:type="dxa"/>
          <w:left w:w="90" w:type="dxa"/>
          <w:bottom w:w="60" w:type="dxa"/>
          <w:right w:w="90" w:type="dxa"/>
        </w:tblCellMar>
      </w:tblPr>
      <w:tblGrid>
        <w:gridCol w:w="4140"/>
        <w:gridCol w:w="1080"/>
        <w:gridCol w:w="900"/>
        <w:gridCol w:w="1440"/>
        <w:gridCol w:w="1800"/>
      </w:tblGrid>
      <w:tr>
        <w:trPr>
          <w:tblHeader/>
          <w:cantSplit/>
        </w:trPr>
        <w:tc>
          <w:tcPr>
            <w:tcW w:w="4140" w:type="dxa"/>
            <w:shd w:val="clear" w:color="auto" w:fill="7B1D1D"/>
            <w:vAlign w:val="center"/>
          </w:tcPr>
          <w:p>
            <w:pPr>
              <w:pStyle w:val="BECCell"/>
            </w:pPr>
            <w:r>
              <w:rPr>
                <w:b/>
                <w:color w:val="FFFFFF"/>
              </w:rPr>
              <w:t xml:space="preserve">Option</w:t>
            </w:r>
          </w:p>
        </w:tc>
        <w:tc>
          <w:tcPr>
            <w:tcW w:w="1080" w:type="dxa"/>
            <w:shd w:val="clear" w:color="auto" w:fill="7B1D1D"/>
            <w:vAlign w:val="center"/>
          </w:tcPr>
          <w:p>
            <w:pPr>
              <w:pStyle w:val="BECCell"/>
              <w:jc w:val="right"/>
            </w:pPr>
            <w:r>
              <w:rPr>
                <w:b/>
                <w:color w:val="FFFFFF"/>
              </w:rPr>
              <w:t xml:space="preserve">One-time (₱)</w:t>
            </w:r>
          </w:p>
        </w:tc>
        <w:tc>
          <w:tcPr>
            <w:tcW w:w="900" w:type="dxa"/>
            <w:shd w:val="clear" w:color="auto" w:fill="7B1D1D"/>
            <w:vAlign w:val="center"/>
          </w:tcPr>
          <w:p>
            <w:pPr>
              <w:pStyle w:val="BECCell"/>
              <w:jc w:val="right"/>
            </w:pPr>
            <w:r>
              <w:rPr>
                <w:b/>
                <w:color w:val="FFFFFF"/>
              </w:rPr>
              <w:t xml:space="preserve">Annual (₱)</w:t>
            </w:r>
          </w:p>
        </w:tc>
        <w:tc>
          <w:tcPr>
            <w:tcW w:w="1440" w:type="dxa"/>
            <w:shd w:val="clear" w:color="auto" w:fill="7B1D1D"/>
            <w:vAlign w:val="center"/>
          </w:tcPr>
          <w:p>
            <w:pPr>
              <w:pStyle w:val="BECCell"/>
              <w:jc w:val="right"/>
            </w:pPr>
            <w:r>
              <w:rPr>
                <w:b/>
                <w:color w:val="FFFFFF"/>
              </w:rPr>
              <w:t xml:space="preserve">PV of annual (₱)</w:t>
            </w:r>
          </w:p>
        </w:tc>
        <w:tc>
          <w:tcPr>
            <w:tcW w:w="1800" w:type="dxa"/>
            <w:shd w:val="clear" w:color="auto" w:fill="7B1D1D"/>
            <w:vAlign w:val="center"/>
          </w:tcPr>
          <w:p>
            <w:pPr>
              <w:pStyle w:val="BECCell"/>
              <w:jc w:val="right"/>
            </w:pPr>
            <w:r>
              <w:rPr>
                <w:b/>
                <w:color w:val="FFFFFF"/>
              </w:rPr>
              <w:t xml:space="preserve">Five-year PV TCO (₱)</w:t>
            </w:r>
          </w:p>
        </w:tc>
      </w:tr>
      <w:tr>
        <w:trPr>
          <w:cantSplit/>
        </w:trPr>
        <w:tc>
          <w:tcPr>
            <w:tcW w:w="4140" w:type="dxa"/>
            <w:vAlign w:val="center"/>
          </w:tcPr>
          <w:p>
            <w:pPr>
              <w:pStyle w:val="BECCell"/>
            </w:pPr>
            <w:r>
              <w:rPr>
                <w:b/>
              </w:rPr>
              <w:t xml:space="preserve">In-house system (this study)</w:t>
            </w:r>
          </w:p>
        </w:tc>
        <w:tc>
          <w:tcPr>
            <w:tcW w:w="1080" w:type="dxa"/>
            <w:vAlign w:val="center"/>
          </w:tcPr>
          <w:p>
            <w:pPr>
              <w:pStyle w:val="BECCell"/>
              <w:jc w:val="right"/>
            </w:pPr>
            <w:r>
              <w:t xml:space="preserve">185,944</w:t>
            </w:r>
          </w:p>
        </w:tc>
        <w:tc>
          <w:tcPr>
            <w:tcW w:w="900" w:type="dxa"/>
            <w:vAlign w:val="center"/>
          </w:tcPr>
          <w:p>
            <w:pPr>
              <w:pStyle w:val="BECCell"/>
              <w:jc w:val="right"/>
            </w:pPr>
            <w:r>
              <w:t xml:space="preserve">34,149</w:t>
            </w:r>
          </w:p>
        </w:tc>
        <w:tc>
          <w:tcPr>
            <w:tcW w:w="1440" w:type="dxa"/>
            <w:vAlign w:val="center"/>
          </w:tcPr>
          <w:p>
            <w:pPr>
              <w:pStyle w:val="BECCell"/>
              <w:jc w:val="right"/>
            </w:pPr>
            <w:r>
              <w:t xml:space="preserve">129,452</w:t>
            </w:r>
          </w:p>
        </w:tc>
        <w:tc>
          <w:tcPr>
            <w:tcW w:w="1800" w:type="dxa"/>
            <w:vAlign w:val="center"/>
          </w:tcPr>
          <w:p>
            <w:pPr>
              <w:pStyle w:val="BECCell"/>
              <w:jc w:val="right"/>
            </w:pPr>
            <w:r>
              <w:rPr>
                <w:b/>
              </w:rPr>
              <w:t xml:space="preserve">315,396</w:t>
            </w:r>
          </w:p>
        </w:tc>
      </w:tr>
      <w:tr>
        <w:trPr>
          <w:cantSplit/>
        </w:trPr>
        <w:tc>
          <w:tcPr>
            <w:tcW w:w="4140" w:type="dxa"/>
            <w:shd w:val="clear" w:color="auto" w:fill="F4F1EA"/>
            <w:vAlign w:val="center"/>
          </w:tcPr>
          <w:p>
            <w:pPr>
              <w:pStyle w:val="BECCell"/>
            </w:pPr>
            <w:r>
              <w:t xml:space="preserve">Commercial — entry tier (Limble, US$28/user/mo)</w:t>
            </w:r>
          </w:p>
        </w:tc>
        <w:tc>
          <w:tcPr>
            <w:tcW w:w="1080" w:type="dxa"/>
            <w:shd w:val="clear" w:color="auto" w:fill="F4F1EA"/>
            <w:vAlign w:val="center"/>
          </w:tcPr>
          <w:p>
            <w:pPr>
              <w:pStyle w:val="BECCell"/>
              <w:jc w:val="right"/>
            </w:pPr>
            <w:r>
              <w:t xml:space="preserve">91,530</w:t>
            </w:r>
          </w:p>
        </w:tc>
        <w:tc>
          <w:tcPr>
            <w:tcW w:w="900" w:type="dxa"/>
            <w:shd w:val="clear" w:color="auto" w:fill="F4F1EA"/>
            <w:vAlign w:val="center"/>
          </w:tcPr>
          <w:p>
            <w:pPr>
              <w:pStyle w:val="BECCell"/>
              <w:jc w:val="right"/>
            </w:pPr>
            <w:r>
              <w:t xml:space="preserve">163,968</w:t>
            </w:r>
          </w:p>
        </w:tc>
        <w:tc>
          <w:tcPr>
            <w:tcW w:w="1440" w:type="dxa"/>
            <w:shd w:val="clear" w:color="auto" w:fill="F4F1EA"/>
            <w:vAlign w:val="center"/>
          </w:tcPr>
          <w:p>
            <w:pPr>
              <w:pStyle w:val="BECCell"/>
              <w:jc w:val="right"/>
            </w:pPr>
            <w:r>
              <w:t xml:space="preserve">621,568</w:t>
            </w:r>
          </w:p>
        </w:tc>
        <w:tc>
          <w:tcPr>
            <w:tcW w:w="1800" w:type="dxa"/>
            <w:shd w:val="clear" w:color="auto" w:fill="F4F1EA"/>
            <w:vAlign w:val="center"/>
          </w:tcPr>
          <w:p>
            <w:pPr>
              <w:pStyle w:val="BECCell"/>
              <w:jc w:val="right"/>
            </w:pPr>
            <w:r>
              <w:rPr>
                <w:b/>
              </w:rPr>
              <w:t xml:space="preserve">713,098</w:t>
            </w:r>
          </w:p>
        </w:tc>
      </w:tr>
      <w:tr>
        <w:trPr>
          <w:cantSplit/>
        </w:trPr>
        <w:tc>
          <w:tcPr>
            <w:tcW w:w="4140" w:type="dxa"/>
            <w:vAlign w:val="center"/>
          </w:tcPr>
          <w:p>
            <w:pPr>
              <w:pStyle w:val="BECCell"/>
            </w:pPr>
            <w:r>
              <w:t xml:space="preserve">Commercial — mid tier (US$75/user/mo)</w:t>
            </w:r>
          </w:p>
        </w:tc>
        <w:tc>
          <w:tcPr>
            <w:tcW w:w="1080" w:type="dxa"/>
            <w:vAlign w:val="center"/>
          </w:tcPr>
          <w:p>
            <w:pPr>
              <w:pStyle w:val="BECCell"/>
              <w:jc w:val="right"/>
            </w:pPr>
            <w:r>
              <w:t xml:space="preserve">91,530</w:t>
            </w:r>
          </w:p>
        </w:tc>
        <w:tc>
          <w:tcPr>
            <w:tcW w:w="900" w:type="dxa"/>
            <w:vAlign w:val="center"/>
          </w:tcPr>
          <w:p>
            <w:pPr>
              <w:pStyle w:val="BECCell"/>
              <w:jc w:val="right"/>
            </w:pPr>
            <w:r>
              <w:t xml:space="preserve">439,344</w:t>
            </w:r>
          </w:p>
        </w:tc>
        <w:tc>
          <w:tcPr>
            <w:tcW w:w="1440" w:type="dxa"/>
            <w:vAlign w:val="center"/>
          </w:tcPr>
          <w:p>
            <w:pPr>
              <w:pStyle w:val="BECCell"/>
              <w:jc w:val="right"/>
            </w:pPr>
            <w:r>
              <w:t xml:space="preserve">1,665,460</w:t>
            </w:r>
          </w:p>
        </w:tc>
        <w:tc>
          <w:tcPr>
            <w:tcW w:w="1800" w:type="dxa"/>
            <w:vAlign w:val="center"/>
          </w:tcPr>
          <w:p>
            <w:pPr>
              <w:pStyle w:val="BECCell"/>
              <w:jc w:val="right"/>
            </w:pPr>
            <w:r>
              <w:rPr>
                <w:b/>
              </w:rPr>
              <w:t xml:space="preserve">1,756,990</w:t>
            </w:r>
          </w:p>
        </w:tc>
      </w:tr>
    </w:tbl>
    <w:p>
      <w:pPr>
        <w:spacing w:after="0" w:line="120" w:lineRule="exact"/>
      </w:pPr>
    </w:p>
    <w:p>
      <w:pPr>
        <w:pStyle w:val="Heading3"/>
      </w:pPr>
      <w:r>
        <w:t xml:space="preserve">12.3 Findings</w:t>
      </w:r>
    </w:p>
    <w:p>
      <w:pPr>
        <w:pStyle w:val="Normal"/>
      </w:pPr>
      <w:r>
        <w:t xml:space="preserve">The in-house system's five-year total cost of ownership is </w:t>
      </w:r>
      <w:r>
        <w:rPr>
          <w:b/>
        </w:rPr>
        <w:t xml:space="preserve">₱397,702 (55.8%) lower</w:t>
      </w:r>
      <w:r>
        <w:t xml:space="preserve"> than the lowest-priced comparable commercial subscription, and </w:t>
      </w:r>
      <w:r>
        <w:rPr>
          <w:b/>
        </w:rPr>
        <w:t xml:space="preserve">₱1,441,594 (82.0%) lower</w:t>
      </w:r>
      <w:r>
        <w:t xml:space="preserve"> than a mid-tier commercial platform. On a cash basis — excluding the imputed development cost — the differential widens to </w:t>
      </w:r>
      <w:r>
        <w:rPr>
          <w:b/>
        </w:rPr>
        <w:t xml:space="preserve">₱583,646 (81.9%)</w:t>
      </w:r>
      <w:r>
        <w:t xml:space="preserve"> against the entry tier.</w:t>
      </w:r>
    </w:p>
    <w:p>
      <w:pPr>
        <w:pStyle w:val="Normal"/>
      </w:pPr>
      <w:r>
        <w:t xml:space="preserve">Two qualifications apply. Commercial platforms deliver vendor-provided support, guaranteed uptime, and a maintenance roadmap, none of which the in-house system carries; these are real values not captured in the cost comparison. Conversely, the in-house system is precisely fitted to BEC's workflow, official forms, and institutional identity, and the institution retains full ownership of both code and data — advantages a commercial subscription does not confer. </w:t>
      </w:r>
      <w:r>
        <w:rPr>
          <w:b/>
        </w:rPr>
        <w:t xml:space="preserve">The cost differential is nonetheless of a magnitude (a factor of 2.3 to 5.6) that is unlikely to be reversed by these considerations.</w:t>
      </w:r>
    </w:p>
    <w:p>
      <w:pPr>
        <w:pStyle w:val="BECRule"/>
      </w:pPr>
    </w:p>
    <w:p>
      <w:pPr>
        <w:pStyle w:val="Heading2"/>
      </w:pPr>
      <w:r>
        <w:t xml:space="preserve">13. NON-MONETIZED (INTANGIBLE) BENEFITS</w:t>
      </w:r>
    </w:p>
    <w:p>
      <w:pPr>
        <w:pStyle w:val="Normal"/>
      </w:pPr>
      <w:r>
        <w:t xml:space="preserve">The following benefits are attributable to the system but are deliberately excluded from the quantified analysis, either because they cannot be reliably monetized or because doing so would require speculative assumptions. Their exclusion means the quantified NPV of ₱313,420 should be regarded as a </w:t>
      </w:r>
      <w:r>
        <w:rPr>
          <w:b/>
        </w:rPr>
        <w:t xml:space="preserve">lower bound</w:t>
      </w:r>
      <w:r>
        <w:t xml:space="preserve"> on the system's institutional value.</w:t>
      </w:r>
    </w:p>
    <w:p>
      <w:pPr>
        <w:pStyle w:val="Normal"/>
      </w:pPr>
      <w:r>
        <w:rPr>
          <w:b/>
        </w:rPr>
        <w:t xml:space="preserve">Table 13.1 — Intangible Benefit Register</w:t>
      </w:r>
    </w:p>
    <w:tbl>
      <w:tblPr>
        <w:tblStyle w:val="BECTable"/>
        <w:tblW w:w="9360" w:type="dxa"/>
        <w:tblLayout w:type="fixed"/>
        <w:tblCellMar>
          <w:top w:w="60" w:type="dxa"/>
          <w:left w:w="90" w:type="dxa"/>
          <w:bottom w:w="60" w:type="dxa"/>
          <w:right w:w="90" w:type="dxa"/>
        </w:tblCellMar>
      </w:tblPr>
      <w:tblGrid>
        <w:gridCol w:w="387"/>
        <w:gridCol w:w="3873"/>
        <w:gridCol w:w="3873"/>
        <w:gridCol w:w="1227"/>
      </w:tblGrid>
      <w:tr>
        <w:trPr>
          <w:tblHeader/>
          <w:cantSplit/>
        </w:trPr>
        <w:tc>
          <w:tcPr>
            <w:tcW w:w="387" w:type="dxa"/>
            <w:shd w:val="clear" w:color="auto" w:fill="7B1D1D"/>
            <w:vAlign w:val="center"/>
          </w:tcPr>
          <w:p>
            <w:pPr>
              <w:pStyle w:val="BECCell"/>
            </w:pPr>
            <w:r>
              <w:rPr>
                <w:b/>
                <w:color w:val="FFFFFF"/>
              </w:rPr>
              <w:t xml:space="preserve">#</w:t>
            </w:r>
          </w:p>
        </w:tc>
        <w:tc>
          <w:tcPr>
            <w:tcW w:w="3873" w:type="dxa"/>
            <w:shd w:val="clear" w:color="auto" w:fill="7B1D1D"/>
            <w:vAlign w:val="center"/>
          </w:tcPr>
          <w:p>
            <w:pPr>
              <w:pStyle w:val="BECCell"/>
            </w:pPr>
            <w:r>
              <w:rPr>
                <w:b/>
                <w:color w:val="FFFFFF"/>
              </w:rPr>
              <w:t xml:space="preserve">Benefit</w:t>
            </w:r>
          </w:p>
        </w:tc>
        <w:tc>
          <w:tcPr>
            <w:tcW w:w="3873" w:type="dxa"/>
            <w:shd w:val="clear" w:color="auto" w:fill="7B1D1D"/>
            <w:vAlign w:val="center"/>
          </w:tcPr>
          <w:p>
            <w:pPr>
              <w:pStyle w:val="BECCell"/>
            </w:pPr>
            <w:r>
              <w:rPr>
                <w:b/>
                <w:color w:val="FFFFFF"/>
              </w:rPr>
              <w:t xml:space="preserve">System feature responsible</w:t>
            </w:r>
          </w:p>
        </w:tc>
        <w:tc>
          <w:tcPr>
            <w:tcW w:w="1227" w:type="dxa"/>
            <w:shd w:val="clear" w:color="auto" w:fill="7B1D1D"/>
            <w:vAlign w:val="center"/>
          </w:tcPr>
          <w:p>
            <w:pPr>
              <w:pStyle w:val="BECCell"/>
            </w:pPr>
            <w:r>
              <w:rPr>
                <w:b/>
                <w:color w:val="FFFFFF"/>
              </w:rPr>
              <w:t xml:space="preserve">Assessed magnitude</w:t>
            </w:r>
          </w:p>
        </w:tc>
      </w:tr>
      <w:tr>
        <w:trPr>
          <w:cantSplit/>
        </w:trPr>
        <w:tc>
          <w:tcPr>
            <w:tcW w:w="387" w:type="dxa"/>
            <w:vAlign w:val="center"/>
          </w:tcPr>
          <w:p>
            <w:pPr>
              <w:pStyle w:val="BECCell"/>
            </w:pPr>
            <w:r>
              <w:t xml:space="preserve">I1</w:t>
            </w:r>
          </w:p>
        </w:tc>
        <w:tc>
          <w:tcPr>
            <w:tcW w:w="3873" w:type="dxa"/>
            <w:vAlign w:val="center"/>
          </w:tcPr>
          <w:p>
            <w:pPr>
              <w:pStyle w:val="BECCell"/>
            </w:pPr>
            <w:r>
              <w:t xml:space="preserve">Accountability and auditability of maintenance decisions</w:t>
            </w:r>
          </w:p>
        </w:tc>
        <w:tc>
          <w:tcPr>
            <w:tcW w:w="3873" w:type="dxa"/>
            <w:vAlign w:val="center"/>
          </w:tcPr>
          <w:p>
            <w:pPr>
              <w:pStyle w:val="BECCell"/>
            </w:pPr>
            <w:r>
              <w:t xml:space="preserve">Immutable audit log; timestamped state transitions</w:t>
            </w:r>
          </w:p>
        </w:tc>
        <w:tc>
          <w:tcPr>
            <w:tcW w:w="1227" w:type="dxa"/>
            <w:vAlign w:val="center"/>
          </w:tcPr>
          <w:p>
            <w:pPr>
              <w:pStyle w:val="BECCell"/>
            </w:pPr>
            <w:r>
              <w:t xml:space="preserve">High</w:t>
            </w:r>
          </w:p>
        </w:tc>
      </w:tr>
      <w:tr>
        <w:trPr>
          <w:cantSplit/>
        </w:trPr>
        <w:tc>
          <w:tcPr>
            <w:tcW w:w="387" w:type="dxa"/>
            <w:shd w:val="clear" w:color="auto" w:fill="F4F1EA"/>
            <w:vAlign w:val="center"/>
          </w:tcPr>
          <w:p>
            <w:pPr>
              <w:pStyle w:val="BECCell"/>
            </w:pPr>
            <w:r>
              <w:t xml:space="preserve">I2</w:t>
            </w:r>
          </w:p>
        </w:tc>
        <w:tc>
          <w:tcPr>
            <w:tcW w:w="3873" w:type="dxa"/>
            <w:shd w:val="clear" w:color="auto" w:fill="F4F1EA"/>
            <w:vAlign w:val="center"/>
          </w:tcPr>
          <w:p>
            <w:pPr>
              <w:pStyle w:val="BECCell"/>
            </w:pPr>
            <w:r>
              <w:t xml:space="preserve">Elimination of anonymous and fraudulent reporting</w:t>
            </w:r>
          </w:p>
        </w:tc>
        <w:tc>
          <w:tcPr>
            <w:tcW w:w="3873" w:type="dxa"/>
            <w:shd w:val="clear" w:color="auto" w:fill="F4F1EA"/>
            <w:vAlign w:val="center"/>
          </w:tcPr>
          <w:p>
            <w:pPr>
              <w:pStyle w:val="BECCell"/>
            </w:pPr>
            <w:r>
              <w:t xml:space="preserve">BEC directory verification at intake</w:t>
            </w:r>
          </w:p>
        </w:tc>
        <w:tc>
          <w:tcPr>
            <w:tcW w:w="1227" w:type="dxa"/>
            <w:shd w:val="clear" w:color="auto" w:fill="F4F1EA"/>
            <w:vAlign w:val="center"/>
          </w:tcPr>
          <w:p>
            <w:pPr>
              <w:pStyle w:val="BECCell"/>
            </w:pPr>
            <w:r>
              <w:t xml:space="preserve">High</w:t>
            </w:r>
          </w:p>
        </w:tc>
      </w:tr>
      <w:tr>
        <w:trPr>
          <w:cantSplit/>
        </w:trPr>
        <w:tc>
          <w:tcPr>
            <w:tcW w:w="387" w:type="dxa"/>
            <w:vAlign w:val="center"/>
          </w:tcPr>
          <w:p>
            <w:pPr>
              <w:pStyle w:val="BECCell"/>
            </w:pPr>
            <w:r>
              <w:t xml:space="preserve">I3</w:t>
            </w:r>
          </w:p>
        </w:tc>
        <w:tc>
          <w:tcPr>
            <w:tcW w:w="3873" w:type="dxa"/>
            <w:vAlign w:val="center"/>
          </w:tcPr>
          <w:p>
            <w:pPr>
              <w:pStyle w:val="BECCell"/>
            </w:pPr>
            <w:r>
              <w:t xml:space="preserve">Institutional maintenance data asset for planning and budgeting</w:t>
            </w:r>
          </w:p>
        </w:tc>
        <w:tc>
          <w:tcPr>
            <w:tcW w:w="3873" w:type="dxa"/>
            <w:vAlign w:val="center"/>
          </w:tcPr>
          <w:p>
            <w:pPr>
              <w:pStyle w:val="BECCell"/>
            </w:pPr>
            <w:r>
              <w:t xml:space="preserve">Analytics module; filtered multi-format exports</w:t>
            </w:r>
          </w:p>
        </w:tc>
        <w:tc>
          <w:tcPr>
            <w:tcW w:w="1227" w:type="dxa"/>
            <w:vAlign w:val="center"/>
          </w:tcPr>
          <w:p>
            <w:pPr>
              <w:pStyle w:val="BECCell"/>
            </w:pPr>
            <w:r>
              <w:t xml:space="preserve">High</w:t>
            </w:r>
          </w:p>
        </w:tc>
      </w:tr>
      <w:tr>
        <w:trPr>
          <w:cantSplit/>
        </w:trPr>
        <w:tc>
          <w:tcPr>
            <w:tcW w:w="387" w:type="dxa"/>
            <w:shd w:val="clear" w:color="auto" w:fill="F4F1EA"/>
            <w:vAlign w:val="center"/>
          </w:tcPr>
          <w:p>
            <w:pPr>
              <w:pStyle w:val="BECCell"/>
            </w:pPr>
            <w:r>
              <w:t xml:space="preserve">I4</w:t>
            </w:r>
          </w:p>
        </w:tc>
        <w:tc>
          <w:tcPr>
            <w:tcW w:w="3873" w:type="dxa"/>
            <w:shd w:val="clear" w:color="auto" w:fill="F4F1EA"/>
            <w:vAlign w:val="center"/>
          </w:tcPr>
          <w:p>
            <w:pPr>
              <w:pStyle w:val="BECCell"/>
            </w:pPr>
            <w:r>
              <w:t xml:space="preserve">Reduction of instructional disruption from equipment downtime</w:t>
            </w:r>
          </w:p>
        </w:tc>
        <w:tc>
          <w:tcPr>
            <w:tcW w:w="3873" w:type="dxa"/>
            <w:shd w:val="clear" w:color="auto" w:fill="F4F1EA"/>
            <w:vAlign w:val="center"/>
          </w:tcPr>
          <w:p>
            <w:pPr>
              <w:pStyle w:val="BECCell"/>
            </w:pPr>
            <w:r>
              <w:t xml:space="preserve">Reduced MTTR; SLA escalation</w:t>
            </w:r>
          </w:p>
        </w:tc>
        <w:tc>
          <w:tcPr>
            <w:tcW w:w="1227" w:type="dxa"/>
            <w:shd w:val="clear" w:color="auto" w:fill="F4F1EA"/>
            <w:vAlign w:val="center"/>
          </w:tcPr>
          <w:p>
            <w:pPr>
              <w:pStyle w:val="BECCell"/>
            </w:pPr>
            <w:r>
              <w:t xml:space="preserve">Medium–High</w:t>
            </w:r>
          </w:p>
        </w:tc>
      </w:tr>
      <w:tr>
        <w:trPr>
          <w:cantSplit/>
        </w:trPr>
        <w:tc>
          <w:tcPr>
            <w:tcW w:w="387" w:type="dxa"/>
            <w:vAlign w:val="center"/>
          </w:tcPr>
          <w:p>
            <w:pPr>
              <w:pStyle w:val="BECCell"/>
            </w:pPr>
            <w:r>
              <w:t xml:space="preserve">I5</w:t>
            </w:r>
          </w:p>
        </w:tc>
        <w:tc>
          <w:tcPr>
            <w:tcW w:w="3873" w:type="dxa"/>
            <w:vAlign w:val="center"/>
          </w:tcPr>
          <w:p>
            <w:pPr>
              <w:pStyle w:val="BECCell"/>
            </w:pPr>
            <w:r>
              <w:t xml:space="preserve">Reporter trust and service transparency</w:t>
            </w:r>
          </w:p>
        </w:tc>
        <w:tc>
          <w:tcPr>
            <w:tcW w:w="3873" w:type="dxa"/>
            <w:vAlign w:val="center"/>
          </w:tcPr>
          <w:p>
            <w:pPr>
              <w:pStyle w:val="BECCell"/>
            </w:pPr>
            <w:r>
              <w:t xml:space="preserve">Event-driven tracker; full notification matrix</w:t>
            </w:r>
          </w:p>
        </w:tc>
        <w:tc>
          <w:tcPr>
            <w:tcW w:w="1227" w:type="dxa"/>
            <w:vAlign w:val="center"/>
          </w:tcPr>
          <w:p>
            <w:pPr>
              <w:pStyle w:val="BECCell"/>
            </w:pPr>
            <w:r>
              <w:t xml:space="preserve">Medium</w:t>
            </w:r>
          </w:p>
        </w:tc>
      </w:tr>
      <w:tr>
        <w:trPr>
          <w:cantSplit/>
        </w:trPr>
        <w:tc>
          <w:tcPr>
            <w:tcW w:w="387" w:type="dxa"/>
            <w:shd w:val="clear" w:color="auto" w:fill="F4F1EA"/>
            <w:vAlign w:val="center"/>
          </w:tcPr>
          <w:p>
            <w:pPr>
              <w:pStyle w:val="BECCell"/>
            </w:pPr>
            <w:r>
              <w:t xml:space="preserve">I6</w:t>
            </w:r>
          </w:p>
        </w:tc>
        <w:tc>
          <w:tcPr>
            <w:tcW w:w="3873" w:type="dxa"/>
            <w:shd w:val="clear" w:color="auto" w:fill="F4F1EA"/>
            <w:vAlign w:val="center"/>
          </w:tcPr>
          <w:p>
            <w:pPr>
              <w:pStyle w:val="BECCell"/>
            </w:pPr>
            <w:r>
              <w:t xml:space="preserve">Data recoverability and business continuity</w:t>
            </w:r>
          </w:p>
        </w:tc>
        <w:tc>
          <w:tcPr>
            <w:tcW w:w="3873" w:type="dxa"/>
            <w:shd w:val="clear" w:color="auto" w:fill="F4F1EA"/>
            <w:vAlign w:val="center"/>
          </w:tcPr>
          <w:p>
            <w:pPr>
              <w:pStyle w:val="BECCell"/>
            </w:pPr>
            <w:r>
              <w:t xml:space="preserve">Automated daily backups with 14-day rotation; restore module</w:t>
            </w:r>
          </w:p>
        </w:tc>
        <w:tc>
          <w:tcPr>
            <w:tcW w:w="1227" w:type="dxa"/>
            <w:shd w:val="clear" w:color="auto" w:fill="F4F1EA"/>
            <w:vAlign w:val="center"/>
          </w:tcPr>
          <w:p>
            <w:pPr>
              <w:pStyle w:val="BECCell"/>
            </w:pPr>
            <w:r>
              <w:t xml:space="preserve">Medium</w:t>
            </w:r>
          </w:p>
        </w:tc>
      </w:tr>
      <w:tr>
        <w:trPr>
          <w:cantSplit/>
        </w:trPr>
        <w:tc>
          <w:tcPr>
            <w:tcW w:w="387" w:type="dxa"/>
            <w:vAlign w:val="center"/>
          </w:tcPr>
          <w:p>
            <w:pPr>
              <w:pStyle w:val="BECCell"/>
            </w:pPr>
            <w:r>
              <w:t xml:space="preserve">I7</w:t>
            </w:r>
          </w:p>
        </w:tc>
        <w:tc>
          <w:tcPr>
            <w:tcW w:w="3873" w:type="dxa"/>
            <w:vAlign w:val="center"/>
          </w:tcPr>
          <w:p>
            <w:pPr>
              <w:pStyle w:val="BECCell"/>
            </w:pPr>
            <w:r>
              <w:t xml:space="preserve">Evidentiary support for accreditation and institutional review</w:t>
            </w:r>
          </w:p>
        </w:tc>
        <w:tc>
          <w:tcPr>
            <w:tcW w:w="3873" w:type="dxa"/>
            <w:vAlign w:val="center"/>
          </w:tcPr>
          <w:p>
            <w:pPr>
              <w:pStyle w:val="BECCell"/>
            </w:pPr>
            <w:r>
              <w:t xml:space="preserve">Branded official exports; complete maintenance history</w:t>
            </w:r>
          </w:p>
        </w:tc>
        <w:tc>
          <w:tcPr>
            <w:tcW w:w="1227" w:type="dxa"/>
            <w:vAlign w:val="center"/>
          </w:tcPr>
          <w:p>
            <w:pPr>
              <w:pStyle w:val="BECCell"/>
            </w:pPr>
            <w:r>
              <w:t xml:space="preserve">Medium</w:t>
            </w:r>
          </w:p>
        </w:tc>
      </w:tr>
      <w:tr>
        <w:trPr>
          <w:cantSplit/>
        </w:trPr>
        <w:tc>
          <w:tcPr>
            <w:tcW w:w="387" w:type="dxa"/>
            <w:shd w:val="clear" w:color="auto" w:fill="F4F1EA"/>
            <w:vAlign w:val="center"/>
          </w:tcPr>
          <w:p>
            <w:pPr>
              <w:pStyle w:val="BECCell"/>
            </w:pPr>
            <w:r>
              <w:t xml:space="preserve">I8</w:t>
            </w:r>
          </w:p>
        </w:tc>
        <w:tc>
          <w:tcPr>
            <w:tcW w:w="3873" w:type="dxa"/>
            <w:shd w:val="clear" w:color="auto" w:fill="F4F1EA"/>
            <w:vAlign w:val="center"/>
          </w:tcPr>
          <w:p>
            <w:pPr>
              <w:pStyle w:val="BECCell"/>
            </w:pPr>
            <w:r>
              <w:t xml:space="preserve">Equitable technician workload distribution</w:t>
            </w:r>
          </w:p>
        </w:tc>
        <w:tc>
          <w:tcPr>
            <w:tcW w:w="3873" w:type="dxa"/>
            <w:shd w:val="clear" w:color="auto" w:fill="F4F1EA"/>
            <w:vAlign w:val="center"/>
          </w:tcPr>
          <w:p>
            <w:pPr>
              <w:pStyle w:val="BECCell"/>
            </w:pPr>
            <w:r>
              <w:t xml:space="preserve">Smart assignment with computed availability</w:t>
            </w:r>
          </w:p>
        </w:tc>
        <w:tc>
          <w:tcPr>
            <w:tcW w:w="1227" w:type="dxa"/>
            <w:shd w:val="clear" w:color="auto" w:fill="F4F1EA"/>
            <w:vAlign w:val="center"/>
          </w:tcPr>
          <w:p>
            <w:pPr>
              <w:pStyle w:val="BECCell"/>
            </w:pPr>
            <w:r>
              <w:t xml:space="preserve">Medium</w:t>
            </w:r>
          </w:p>
        </w:tc>
      </w:tr>
      <w:tr>
        <w:trPr>
          <w:cantSplit/>
        </w:trPr>
        <w:tc>
          <w:tcPr>
            <w:tcW w:w="387" w:type="dxa"/>
            <w:vAlign w:val="center"/>
          </w:tcPr>
          <w:p>
            <w:pPr>
              <w:pStyle w:val="BECCell"/>
            </w:pPr>
            <w:r>
              <w:t xml:space="preserve">I9</w:t>
            </w:r>
          </w:p>
        </w:tc>
        <w:tc>
          <w:tcPr>
            <w:tcW w:w="3873" w:type="dxa"/>
            <w:vAlign w:val="center"/>
          </w:tcPr>
          <w:p>
            <w:pPr>
              <w:pStyle w:val="BECCell"/>
            </w:pPr>
            <w:r>
              <w:t xml:space="preserve">Reduction of interpersonal friction in status escalation</w:t>
            </w:r>
          </w:p>
        </w:tc>
        <w:tc>
          <w:tcPr>
            <w:tcW w:w="3873" w:type="dxa"/>
            <w:vAlign w:val="center"/>
          </w:tcPr>
          <w:p>
            <w:pPr>
              <w:pStyle w:val="BECCell"/>
            </w:pPr>
            <w:r>
              <w:t xml:space="preserve">Rate-limited structured follow-up mechanism</w:t>
            </w:r>
          </w:p>
        </w:tc>
        <w:tc>
          <w:tcPr>
            <w:tcW w:w="1227" w:type="dxa"/>
            <w:vAlign w:val="center"/>
          </w:tcPr>
          <w:p>
            <w:pPr>
              <w:pStyle w:val="BECCell"/>
            </w:pPr>
            <w:r>
              <w:t xml:space="preserve">Low–Medium</w:t>
            </w:r>
          </w:p>
        </w:tc>
      </w:tr>
      <w:tr>
        <w:trPr>
          <w:cantSplit/>
        </w:trPr>
        <w:tc>
          <w:tcPr>
            <w:tcW w:w="387" w:type="dxa"/>
            <w:shd w:val="clear" w:color="auto" w:fill="F4F1EA"/>
            <w:vAlign w:val="center"/>
          </w:tcPr>
          <w:p>
            <w:pPr>
              <w:pStyle w:val="BECCell"/>
            </w:pPr>
            <w:r>
              <w:t xml:space="preserve">I10</w:t>
            </w:r>
          </w:p>
        </w:tc>
        <w:tc>
          <w:tcPr>
            <w:tcW w:w="3873" w:type="dxa"/>
            <w:shd w:val="clear" w:color="auto" w:fill="F4F1EA"/>
            <w:vAlign w:val="center"/>
          </w:tcPr>
          <w:p>
            <w:pPr>
              <w:pStyle w:val="BECCell"/>
            </w:pPr>
            <w:r>
              <w:t xml:space="preserve">Institutional digital-transformation posture</w:t>
            </w:r>
          </w:p>
        </w:tc>
        <w:tc>
          <w:tcPr>
            <w:tcW w:w="3873" w:type="dxa"/>
            <w:shd w:val="clear" w:color="auto" w:fill="F4F1EA"/>
            <w:vAlign w:val="center"/>
          </w:tcPr>
          <w:p>
            <w:pPr>
              <w:pStyle w:val="BECCell"/>
            </w:pPr>
            <w:r>
              <w:t xml:space="preserve">System as a whole</w:t>
            </w:r>
          </w:p>
        </w:tc>
        <w:tc>
          <w:tcPr>
            <w:tcW w:w="1227" w:type="dxa"/>
            <w:shd w:val="clear" w:color="auto" w:fill="F4F1EA"/>
            <w:vAlign w:val="center"/>
          </w:tcPr>
          <w:p>
            <w:pPr>
              <w:pStyle w:val="BECCell"/>
            </w:pPr>
            <w:r>
              <w:t xml:space="preserve">Low (non-financial)</w:t>
            </w:r>
          </w:p>
        </w:tc>
      </w:tr>
    </w:tbl>
    <w:p>
      <w:pPr>
        <w:spacing w:after="0" w:line="120" w:lineRule="exact"/>
      </w:pPr>
    </w:p>
    <w:p>
      <w:pPr>
        <w:pStyle w:val="Normal"/>
      </w:pPr>
      <w:r>
        <w:t xml:space="preserve">Benefit I4 merits particular note. The literature reports a 27% average reduction in equipment downtime under CMMS operation (§4.1). Were the instructional value of that avoided downtime monetized, it would plausibly exceed all five quantified benefit streams combined. It is excluded here solely because a defensible peso value per hour of instructional disruption cannot be established without institutional study.</w:t>
      </w:r>
    </w:p>
    <w:p>
      <w:pPr>
        <w:pStyle w:val="BECRule"/>
      </w:pPr>
    </w:p>
    <w:p>
      <w:pPr>
        <w:pStyle w:val="Heading2"/>
      </w:pPr>
      <w:r>
        <w:t xml:space="preserve">14. RISK ASSESSMENT</w:t>
      </w:r>
    </w:p>
    <w:p>
      <w:pPr>
        <w:pStyle w:val="Normal"/>
      </w:pPr>
      <w:r>
        <w:rPr>
          <w:b/>
        </w:rPr>
        <w:t xml:space="preserve">Table 14.1 — Risk Register</w:t>
      </w:r>
    </w:p>
    <w:tbl>
      <w:tblPr>
        <w:tblStyle w:val="BECTable"/>
        <w:tblW w:w="9360" w:type="dxa"/>
        <w:tblLayout w:type="fixed"/>
        <w:tblCellMar>
          <w:top w:w="60" w:type="dxa"/>
          <w:left w:w="90" w:type="dxa"/>
          <w:bottom w:w="60" w:type="dxa"/>
          <w:right w:w="90" w:type="dxa"/>
        </w:tblCellMar>
      </w:tblPr>
      <w:tblGrid>
        <w:gridCol w:w="291"/>
        <w:gridCol w:w="2910"/>
        <w:gridCol w:w="485"/>
        <w:gridCol w:w="2764"/>
        <w:gridCol w:w="2910"/>
      </w:tblGrid>
      <w:tr>
        <w:trPr>
          <w:tblHeader/>
          <w:cantSplit/>
        </w:trPr>
        <w:tc>
          <w:tcPr>
            <w:tcW w:w="291" w:type="dxa"/>
            <w:shd w:val="clear" w:color="auto" w:fill="7B1D1D"/>
            <w:vAlign w:val="center"/>
          </w:tcPr>
          <w:p>
            <w:pPr>
              <w:pStyle w:val="BECCell"/>
            </w:pPr>
            <w:r>
              <w:rPr>
                <w:b/>
                <w:color w:val="FFFFFF"/>
              </w:rPr>
              <w:t xml:space="preserve">#</w:t>
            </w:r>
          </w:p>
        </w:tc>
        <w:tc>
          <w:tcPr>
            <w:tcW w:w="2910" w:type="dxa"/>
            <w:shd w:val="clear" w:color="auto" w:fill="7B1D1D"/>
            <w:vAlign w:val="center"/>
          </w:tcPr>
          <w:p>
            <w:pPr>
              <w:pStyle w:val="BECCell"/>
            </w:pPr>
            <w:r>
              <w:rPr>
                <w:b/>
                <w:color w:val="FFFFFF"/>
              </w:rPr>
              <w:t xml:space="preserve">Risk</w:t>
            </w:r>
          </w:p>
        </w:tc>
        <w:tc>
          <w:tcPr>
            <w:tcW w:w="485" w:type="dxa"/>
            <w:shd w:val="clear" w:color="auto" w:fill="7B1D1D"/>
            <w:vAlign w:val="center"/>
          </w:tcPr>
          <w:p>
            <w:pPr>
              <w:pStyle w:val="BECCell"/>
            </w:pPr>
            <w:r>
              <w:rPr>
                <w:b/>
                <w:color w:val="FFFFFF"/>
              </w:rPr>
              <w:t xml:space="preserve">Likelihood</w:t>
            </w:r>
          </w:p>
        </w:tc>
        <w:tc>
          <w:tcPr>
            <w:tcW w:w="2764" w:type="dxa"/>
            <w:shd w:val="clear" w:color="auto" w:fill="7B1D1D"/>
            <w:vAlign w:val="center"/>
          </w:tcPr>
          <w:p>
            <w:pPr>
              <w:pStyle w:val="BECCell"/>
            </w:pPr>
            <w:r>
              <w:rPr>
                <w:b/>
                <w:color w:val="FFFFFF"/>
              </w:rPr>
              <w:t xml:space="preserve">Impact on ROI</w:t>
            </w:r>
          </w:p>
        </w:tc>
        <w:tc>
          <w:tcPr>
            <w:tcW w:w="2910" w:type="dxa"/>
            <w:shd w:val="clear" w:color="auto" w:fill="7B1D1D"/>
            <w:vAlign w:val="center"/>
          </w:tcPr>
          <w:p>
            <w:pPr>
              <w:pStyle w:val="BECCell"/>
            </w:pPr>
            <w:r>
              <w:rPr>
                <w:b/>
                <w:color w:val="FFFFFF"/>
              </w:rPr>
              <w:t xml:space="preserve">Mitigation</w:t>
            </w:r>
          </w:p>
        </w:tc>
      </w:tr>
      <w:tr>
        <w:trPr>
          <w:cantSplit/>
        </w:trPr>
        <w:tc>
          <w:tcPr>
            <w:tcW w:w="291" w:type="dxa"/>
            <w:vAlign w:val="center"/>
          </w:tcPr>
          <w:p>
            <w:pPr>
              <w:pStyle w:val="BECCell"/>
            </w:pPr>
            <w:r>
              <w:t xml:space="preserve">K1</w:t>
            </w:r>
          </w:p>
        </w:tc>
        <w:tc>
          <w:tcPr>
            <w:tcW w:w="2910" w:type="dxa"/>
            <w:vAlign w:val="center"/>
          </w:tcPr>
          <w:p>
            <w:pPr>
              <w:pStyle w:val="BECCell"/>
            </w:pPr>
            <w:r>
              <w:rPr>
                <w:b/>
              </w:rPr>
              <w:t xml:space="preserve">Low user adoption</w:t>
            </w:r>
            <w:r>
              <w:t xml:space="preserve"> — reporters continue using informal channels</w:t>
            </w:r>
          </w:p>
        </w:tc>
        <w:tc>
          <w:tcPr>
            <w:tcW w:w="485" w:type="dxa"/>
            <w:vAlign w:val="center"/>
          </w:tcPr>
          <w:p>
            <w:pPr>
              <w:pStyle w:val="BECCell"/>
            </w:pPr>
            <w:r>
              <w:t xml:space="preserve">Medium</w:t>
            </w:r>
          </w:p>
        </w:tc>
        <w:tc>
          <w:tcPr>
            <w:tcW w:w="2764" w:type="dxa"/>
            <w:vAlign w:val="center"/>
          </w:tcPr>
          <w:p>
            <w:pPr>
              <w:pStyle w:val="BECCell"/>
            </w:pPr>
            <w:r>
              <w:t xml:space="preserve">Severe (all benefit streams scale with volume)</w:t>
            </w:r>
          </w:p>
        </w:tc>
        <w:tc>
          <w:tcPr>
            <w:tcW w:w="2910" w:type="dxa"/>
            <w:vAlign w:val="center"/>
          </w:tcPr>
          <w:p>
            <w:pPr>
              <w:pStyle w:val="BECCell"/>
            </w:pPr>
            <w:r>
              <w:t xml:space="preserve">Mandate the system as the sole official channel; institutional communication campaign; retain the low-friction reporter flow</w:t>
            </w:r>
          </w:p>
        </w:tc>
      </w:tr>
      <w:tr>
        <w:trPr>
          <w:cantSplit/>
        </w:trPr>
        <w:tc>
          <w:tcPr>
            <w:tcW w:w="291" w:type="dxa"/>
            <w:shd w:val="clear" w:color="auto" w:fill="F4F1EA"/>
            <w:vAlign w:val="center"/>
          </w:tcPr>
          <w:p>
            <w:pPr>
              <w:pStyle w:val="BECCell"/>
            </w:pPr>
            <w:r>
              <w:t xml:space="preserve">K2</w:t>
            </w:r>
          </w:p>
        </w:tc>
        <w:tc>
          <w:tcPr>
            <w:tcW w:w="2910" w:type="dxa"/>
            <w:shd w:val="clear" w:color="auto" w:fill="F4F1EA"/>
            <w:vAlign w:val="center"/>
          </w:tcPr>
          <w:p>
            <w:pPr>
              <w:pStyle w:val="BECCell"/>
            </w:pPr>
            <w:r>
              <w:rPr>
                <w:b/>
              </w:rPr>
              <w:t xml:space="preserve">Maintainer discontinuity</w:t>
            </w:r>
            <w:r>
              <w:t xml:space="preserve"> — capstone team graduates, leaving no maintainer</w:t>
            </w:r>
          </w:p>
        </w:tc>
        <w:tc>
          <w:tcPr>
            <w:tcW w:w="485" w:type="dxa"/>
            <w:shd w:val="clear" w:color="auto" w:fill="F4F1EA"/>
            <w:vAlign w:val="center"/>
          </w:tcPr>
          <w:p>
            <w:pPr>
              <w:pStyle w:val="BECCell"/>
            </w:pPr>
            <w:r>
              <w:rPr>
                <w:b/>
              </w:rPr>
              <w:t xml:space="preserve">High</w:t>
            </w:r>
          </w:p>
        </w:tc>
        <w:tc>
          <w:tcPr>
            <w:tcW w:w="2764" w:type="dxa"/>
            <w:shd w:val="clear" w:color="auto" w:fill="F4F1EA"/>
            <w:vAlign w:val="center"/>
          </w:tcPr>
          <w:p>
            <w:pPr>
              <w:pStyle w:val="BECCell"/>
            </w:pPr>
            <w:r>
              <w:t xml:space="preserve">Severe</w:t>
            </w:r>
          </w:p>
        </w:tc>
        <w:tc>
          <w:tcPr>
            <w:tcW w:w="2910" w:type="dxa"/>
            <w:shd w:val="clear" w:color="auto" w:fill="F4F1EA"/>
            <w:vAlign w:val="center"/>
          </w:tcPr>
          <w:p>
            <w:pPr>
              <w:pStyle w:val="BECCell"/>
            </w:pPr>
            <w:r>
              <w:t xml:space="preserve">Transfer knowledge before turnover; maintain the documentation set; budget for a retained developer at the R5 rate</w:t>
            </w:r>
          </w:p>
        </w:tc>
      </w:tr>
      <w:tr>
        <w:trPr>
          <w:cantSplit/>
        </w:trPr>
        <w:tc>
          <w:tcPr>
            <w:tcW w:w="291" w:type="dxa"/>
            <w:vAlign w:val="center"/>
          </w:tcPr>
          <w:p>
            <w:pPr>
              <w:pStyle w:val="BECCell"/>
            </w:pPr>
            <w:r>
              <w:t xml:space="preserve">K3</w:t>
            </w:r>
          </w:p>
        </w:tc>
        <w:tc>
          <w:tcPr>
            <w:tcW w:w="2910" w:type="dxa"/>
            <w:vAlign w:val="center"/>
          </w:tcPr>
          <w:p>
            <w:pPr>
              <w:pStyle w:val="BECCell"/>
            </w:pPr>
            <w:r>
              <w:rPr>
                <w:b/>
              </w:rPr>
              <w:t xml:space="preserve">Scalability ceiling</w:t>
            </w:r>
            <w:r>
              <w:t xml:space="preserve"> — report lists paginate client-side; page weight scales with row count (11 MB at 5,010 reports)</w:t>
            </w:r>
          </w:p>
        </w:tc>
        <w:tc>
          <w:tcPr>
            <w:tcW w:w="485" w:type="dxa"/>
            <w:vAlign w:val="center"/>
          </w:tcPr>
          <w:p>
            <w:pPr>
              <w:pStyle w:val="BECCell"/>
            </w:pPr>
            <w:r>
              <w:t xml:space="preserve">Medium</w:t>
            </w:r>
          </w:p>
        </w:tc>
        <w:tc>
          <w:tcPr>
            <w:tcW w:w="2764" w:type="dxa"/>
            <w:vAlign w:val="center"/>
          </w:tcPr>
          <w:p>
            <w:pPr>
              <w:pStyle w:val="BECCell"/>
            </w:pPr>
            <w:r>
              <w:t xml:space="preserve">Moderate (degraded usability, not failure)</w:t>
            </w:r>
          </w:p>
        </w:tc>
        <w:tc>
          <w:tcPr>
            <w:tcW w:w="2910" w:type="dxa"/>
            <w:vAlign w:val="center"/>
          </w:tcPr>
          <w:p>
            <w:pPr>
              <w:pStyle w:val="BECCell"/>
            </w:pPr>
            <w:r>
              <w:t xml:space="preserve">Implement server-side pagination before backlog exceeds ~2,000 open reports</w:t>
            </w:r>
          </w:p>
        </w:tc>
      </w:tr>
      <w:tr>
        <w:trPr>
          <w:cantSplit/>
        </w:trPr>
        <w:tc>
          <w:tcPr>
            <w:tcW w:w="291" w:type="dxa"/>
            <w:shd w:val="clear" w:color="auto" w:fill="F4F1EA"/>
            <w:vAlign w:val="center"/>
          </w:tcPr>
          <w:p>
            <w:pPr>
              <w:pStyle w:val="BECCell"/>
            </w:pPr>
            <w:r>
              <w:t xml:space="preserve">K4</w:t>
            </w:r>
          </w:p>
        </w:tc>
        <w:tc>
          <w:tcPr>
            <w:tcW w:w="2910" w:type="dxa"/>
            <w:shd w:val="clear" w:color="auto" w:fill="F4F1EA"/>
            <w:vAlign w:val="center"/>
          </w:tcPr>
          <w:p>
            <w:pPr>
              <w:pStyle w:val="BECCell"/>
            </w:pPr>
            <w:r>
              <w:rPr>
                <w:b/>
              </w:rPr>
              <w:t xml:space="preserve">Vendor dependency</w:t>
            </w:r>
            <w:r>
              <w:t xml:space="preserve"> — Supabase pricing or policy change</w:t>
            </w:r>
          </w:p>
        </w:tc>
        <w:tc>
          <w:tcPr>
            <w:tcW w:w="485" w:type="dxa"/>
            <w:shd w:val="clear" w:color="auto" w:fill="F4F1EA"/>
            <w:vAlign w:val="center"/>
          </w:tcPr>
          <w:p>
            <w:pPr>
              <w:pStyle w:val="BECCell"/>
            </w:pPr>
            <w:r>
              <w:t xml:space="preserve">Low</w:t>
            </w:r>
          </w:p>
        </w:tc>
        <w:tc>
          <w:tcPr>
            <w:tcW w:w="2764" w:type="dxa"/>
            <w:shd w:val="clear" w:color="auto" w:fill="F4F1EA"/>
            <w:vAlign w:val="center"/>
          </w:tcPr>
          <w:p>
            <w:pPr>
              <w:pStyle w:val="BECCell"/>
            </w:pPr>
            <w:r>
              <w:t xml:space="preserve">Low (R1 is 53.6% of recurring cost but only 21.7% of EAC)</w:t>
            </w:r>
          </w:p>
        </w:tc>
        <w:tc>
          <w:tcPr>
            <w:tcW w:w="2910" w:type="dxa"/>
            <w:shd w:val="clear" w:color="auto" w:fill="F4F1EA"/>
            <w:vAlign w:val="center"/>
          </w:tcPr>
          <w:p>
            <w:pPr>
              <w:pStyle w:val="BECCell"/>
            </w:pPr>
            <w:r>
              <w:t xml:space="preserve">PostgreSQL is portable; migration path to alternative hosts exists</w:t>
            </w:r>
          </w:p>
        </w:tc>
      </w:tr>
      <w:tr>
        <w:trPr>
          <w:cantSplit/>
        </w:trPr>
        <w:tc>
          <w:tcPr>
            <w:tcW w:w="291" w:type="dxa"/>
            <w:vAlign w:val="center"/>
          </w:tcPr>
          <w:p>
            <w:pPr>
              <w:pStyle w:val="BECCell"/>
            </w:pPr>
            <w:r>
              <w:t xml:space="preserve">K5</w:t>
            </w:r>
          </w:p>
        </w:tc>
        <w:tc>
          <w:tcPr>
            <w:tcW w:w="2910" w:type="dxa"/>
            <w:vAlign w:val="center"/>
          </w:tcPr>
          <w:p>
            <w:pPr>
              <w:pStyle w:val="BECCell"/>
            </w:pPr>
            <w:r>
              <w:rPr>
                <w:b/>
              </w:rPr>
              <w:t xml:space="preserve">Email deliverability failure</w:t>
            </w:r>
            <w:r>
              <w:t xml:space="preserve"> — notifications filtered as spam</w:t>
            </w:r>
          </w:p>
        </w:tc>
        <w:tc>
          <w:tcPr>
            <w:tcW w:w="485" w:type="dxa"/>
            <w:vAlign w:val="center"/>
          </w:tcPr>
          <w:p>
            <w:pPr>
              <w:pStyle w:val="BECCell"/>
            </w:pPr>
            <w:r>
              <w:t xml:space="preserve">Medium</w:t>
            </w:r>
          </w:p>
        </w:tc>
        <w:tc>
          <w:tcPr>
            <w:tcW w:w="2764" w:type="dxa"/>
            <w:vAlign w:val="center"/>
          </w:tcPr>
          <w:p>
            <w:pPr>
              <w:pStyle w:val="BECCell"/>
            </w:pPr>
            <w:r>
              <w:t xml:space="preserve">Moderate (undermines B2 and I5)</w:t>
            </w:r>
          </w:p>
        </w:tc>
        <w:tc>
          <w:tcPr>
            <w:tcW w:w="2910" w:type="dxa"/>
            <w:vAlign w:val="center"/>
          </w:tcPr>
          <w:p>
            <w:pPr>
              <w:pStyle w:val="BECCell"/>
            </w:pPr>
            <w:r>
              <w:t xml:space="preserve">Configure SPF/DKIM/DMARC per </w:t>
            </w:r>
            <w:r>
              <w:rPr>
                <w:rFonts w:ascii="Consolas" w:hAnsi="Consolas" w:cs="Consolas"/>
                <w:sz w:val="18"/>
                <w:szCs w:val="18"/>
                <w:shd w:val="clear" w:color="auto" w:fill="F0EDE6"/>
              </w:rPr>
              <w:t xml:space="preserve">EMAIL_DELIVERABILITY.md</w:t>
            </w:r>
            <w:r>
              <w:t xml:space="preserve">; migrate to institutional SMTP</w:t>
            </w:r>
          </w:p>
        </w:tc>
      </w:tr>
      <w:tr>
        <w:trPr>
          <w:cantSplit/>
        </w:trPr>
        <w:tc>
          <w:tcPr>
            <w:tcW w:w="291" w:type="dxa"/>
            <w:shd w:val="clear" w:color="auto" w:fill="F4F1EA"/>
            <w:vAlign w:val="center"/>
          </w:tcPr>
          <w:p>
            <w:pPr>
              <w:pStyle w:val="BECCell"/>
            </w:pPr>
            <w:r>
              <w:t xml:space="preserve">K6</w:t>
            </w:r>
          </w:p>
        </w:tc>
        <w:tc>
          <w:tcPr>
            <w:tcW w:w="2910" w:type="dxa"/>
            <w:shd w:val="clear" w:color="auto" w:fill="F4F1EA"/>
            <w:vAlign w:val="center"/>
          </w:tcPr>
          <w:p>
            <w:pPr>
              <w:pStyle w:val="BECCell"/>
            </w:pPr>
            <w:r>
              <w:rPr>
                <w:b/>
              </w:rPr>
              <w:t xml:space="preserve">Benefit estimates prove optimistic</w:t>
            </w:r>
          </w:p>
        </w:tc>
        <w:tc>
          <w:tcPr>
            <w:tcW w:w="485" w:type="dxa"/>
            <w:shd w:val="clear" w:color="auto" w:fill="F4F1EA"/>
            <w:vAlign w:val="center"/>
          </w:tcPr>
          <w:p>
            <w:pPr>
              <w:pStyle w:val="BECCell"/>
            </w:pPr>
            <w:r>
              <w:t xml:space="preserve">Medium</w:t>
            </w:r>
          </w:p>
        </w:tc>
        <w:tc>
          <w:tcPr>
            <w:tcW w:w="2764" w:type="dxa"/>
            <w:shd w:val="clear" w:color="auto" w:fill="F4F1EA"/>
            <w:vAlign w:val="center"/>
          </w:tcPr>
          <w:p>
            <w:pPr>
              <w:pStyle w:val="BECCell"/>
            </w:pPr>
            <w:r>
              <w:t xml:space="preserve">Bounded — see §10 pessimistic scenario (NPV −₱10,037)</w:t>
            </w:r>
          </w:p>
        </w:tc>
        <w:tc>
          <w:tcPr>
            <w:tcW w:w="2910" w:type="dxa"/>
            <w:shd w:val="clear" w:color="auto" w:fill="F4F1EA"/>
            <w:vAlign w:val="center"/>
          </w:tcPr>
          <w:p>
            <w:pPr>
              <w:pStyle w:val="BECCell"/>
            </w:pPr>
            <w:r>
              <w:t xml:space="preserve">Conduct the post-implementation measurement programme in §17</w:t>
            </w:r>
          </w:p>
        </w:tc>
      </w:tr>
      <w:tr>
        <w:trPr>
          <w:cantSplit/>
        </w:trPr>
        <w:tc>
          <w:tcPr>
            <w:tcW w:w="291" w:type="dxa"/>
            <w:vAlign w:val="center"/>
          </w:tcPr>
          <w:p>
            <w:pPr>
              <w:pStyle w:val="BECCell"/>
            </w:pPr>
            <w:r>
              <w:t xml:space="preserve">K7</w:t>
            </w:r>
          </w:p>
        </w:tc>
        <w:tc>
          <w:tcPr>
            <w:tcW w:w="2910" w:type="dxa"/>
            <w:vAlign w:val="center"/>
          </w:tcPr>
          <w:p>
            <w:pPr>
              <w:pStyle w:val="BECCell"/>
            </w:pPr>
            <w:r>
              <w:rPr>
                <w:b/>
              </w:rPr>
              <w:t xml:space="preserve">Exchange-rate depreciation</w:t>
            </w:r>
            <w:r>
              <w:t xml:space="preserve"> raises USD-denominated costs (R1, R2, R4)</w:t>
            </w:r>
          </w:p>
        </w:tc>
        <w:tc>
          <w:tcPr>
            <w:tcW w:w="485" w:type="dxa"/>
            <w:vAlign w:val="center"/>
          </w:tcPr>
          <w:p>
            <w:pPr>
              <w:pStyle w:val="BECCell"/>
            </w:pPr>
            <w:r>
              <w:t xml:space="preserve">Medium</w:t>
            </w:r>
          </w:p>
        </w:tc>
        <w:tc>
          <w:tcPr>
            <w:tcW w:w="2764" w:type="dxa"/>
            <w:vAlign w:val="center"/>
          </w:tcPr>
          <w:p>
            <w:pPr>
              <w:pStyle w:val="BECCell"/>
            </w:pPr>
            <w:r>
              <w:t xml:space="preserve">Low — a 20% depreciation raises EAC by ₱5,089 (6.1%)</w:t>
            </w:r>
          </w:p>
        </w:tc>
        <w:tc>
          <w:tcPr>
            <w:tcW w:w="2910" w:type="dxa"/>
            <w:vAlign w:val="center"/>
          </w:tcPr>
          <w:p>
            <w:pPr>
              <w:pStyle w:val="BECCell"/>
            </w:pPr>
            <w:r>
              <w:t xml:space="preserve">None required; magnitude is immaterial</w:t>
            </w:r>
          </w:p>
        </w:tc>
      </w:tr>
      <w:tr>
        <w:trPr>
          <w:cantSplit/>
        </w:trPr>
        <w:tc>
          <w:tcPr>
            <w:tcW w:w="291" w:type="dxa"/>
            <w:shd w:val="clear" w:color="auto" w:fill="F4F1EA"/>
            <w:vAlign w:val="center"/>
          </w:tcPr>
          <w:p>
            <w:pPr>
              <w:pStyle w:val="BECCell"/>
            </w:pPr>
            <w:r>
              <w:t xml:space="preserve">K8</w:t>
            </w:r>
          </w:p>
        </w:tc>
        <w:tc>
          <w:tcPr>
            <w:tcW w:w="2910" w:type="dxa"/>
            <w:shd w:val="clear" w:color="auto" w:fill="F4F1EA"/>
            <w:vAlign w:val="center"/>
          </w:tcPr>
          <w:p>
            <w:pPr>
              <w:pStyle w:val="BECCell"/>
            </w:pPr>
            <w:r>
              <w:rPr>
                <w:b/>
              </w:rPr>
              <w:t xml:space="preserve">Security incident or data loss</w:t>
            </w:r>
          </w:p>
        </w:tc>
        <w:tc>
          <w:tcPr>
            <w:tcW w:w="485" w:type="dxa"/>
            <w:shd w:val="clear" w:color="auto" w:fill="F4F1EA"/>
            <w:vAlign w:val="center"/>
          </w:tcPr>
          <w:p>
            <w:pPr>
              <w:pStyle w:val="BECCell"/>
            </w:pPr>
            <w:r>
              <w:t xml:space="preserve">Low</w:t>
            </w:r>
          </w:p>
        </w:tc>
        <w:tc>
          <w:tcPr>
            <w:tcW w:w="2764" w:type="dxa"/>
            <w:shd w:val="clear" w:color="auto" w:fill="F4F1EA"/>
            <w:vAlign w:val="center"/>
          </w:tcPr>
          <w:p>
            <w:pPr>
              <w:pStyle w:val="BECCell"/>
            </w:pPr>
            <w:r>
              <w:t xml:space="preserve">Moderate–Severe</w:t>
            </w:r>
          </w:p>
        </w:tc>
        <w:tc>
          <w:tcPr>
            <w:tcW w:w="2910" w:type="dxa"/>
            <w:shd w:val="clear" w:color="auto" w:fill="F4F1EA"/>
            <w:vAlign w:val="center"/>
          </w:tcPr>
          <w:p>
            <w:pPr>
              <w:pStyle w:val="BECCell"/>
            </w:pPr>
            <w:r>
              <w:t xml:space="preserve">OTP administrator authentication; CSRF protection; rate limiting; automated backups; audit logging</w:t>
            </w:r>
          </w:p>
        </w:tc>
      </w:tr>
    </w:tbl>
    <w:p>
      <w:pPr>
        <w:spacing w:after="0" w:line="120" w:lineRule="exact"/>
      </w:pPr>
    </w:p>
    <w:p>
      <w:pPr>
        <w:pStyle w:val="Normal"/>
      </w:pPr>
      <w:r>
        <w:rPr>
          <w:b/>
        </w:rPr>
        <w:t xml:space="preserve">K2 is the principal risk to sustained realization of the benefits computed in this study.</w:t>
      </w:r>
      <w:r>
        <w:t xml:space="preserve"> All five benefit streams are contingent on the system remaining operational and maintained; the recurring cost line R5 (₱6,800/yr) provides for only 40 hours of maintenance annually and presumes an available maintainer. This is addressed in Recommendation R4 (§17).</w:t>
      </w:r>
    </w:p>
    <w:p>
      <w:pPr>
        <w:pStyle w:val="BECRule"/>
      </w:pPr>
    </w:p>
    <w:p>
      <w:pPr>
        <w:pStyle w:val="Heading2"/>
      </w:pPr>
      <w:r>
        <w:t xml:space="preserve">15. LIMITATIONS OF THE STUDY</w:t>
      </w:r>
    </w:p>
    <w:p>
      <w:pPr>
        <w:pStyle w:val="Normal"/>
      </w:pPr>
      <w:r>
        <w:t xml:space="preserve">The following limitations qualify the findings and should be considered by any reader relying on them.</w:t>
      </w:r>
    </w:p>
    <w:p>
      <w:pPr>
        <w:pStyle w:val="BECList"/>
      </w:pPr>
      <w:r>
        <w:rPr>
          <w:b/>
          <w:color w:val="7B1D1D"/>
        </w:rPr>
        <w:t xml:space="preserve">1.  </w:t>
      </w:r>
      <w:r>
        <w:rPr>
          <w:b/>
        </w:rPr>
        <w:t xml:space="preserve">Ex-ante estimation.</w:t>
      </w:r>
      <w:r>
        <w:t xml:space="preserve"> The analysis is prospective. The process-time assumptions in Table 6.4 are engineering estimates derived from workflow analysis, not from a time-and-motion study of the actual manual baseline. No pre-implementation baseline measurement was conducted.</w:t>
      </w:r>
    </w:p>
    <w:p>
      <w:pPr>
        <w:pStyle w:val="BECList"/>
      </w:pPr>
      <w:r>
        <w:rPr>
          <w:b/>
          <w:color w:val="7B1D1D"/>
        </w:rPr>
        <w:t xml:space="preserve">2.  </w:t>
      </w:r>
      <w:r>
        <w:rPr>
          <w:b/>
        </w:rPr>
        <w:t xml:space="preserve">Unvalidated volume parameter.</w:t>
      </w:r>
      <w:r>
        <w:t xml:space="preserve"> Annual report volume (A2 = 1,200) is estimated rather than observed. Section 11.3 establishes a break-even volume of 917 reports per annum with the maintenance-reduction benefit excluded; the estimate is therefore not extravagantly above the threshold, and validation is material.</w:t>
      </w:r>
    </w:p>
    <w:p>
      <w:pPr>
        <w:pStyle w:val="BECList"/>
      </w:pPr>
      <w:r>
        <w:rPr>
          <w:b/>
          <w:color w:val="7B1D1D"/>
        </w:rPr>
        <w:t xml:space="preserve">3.  </w:t>
      </w:r>
      <w:r>
        <w:rPr>
          <w:b/>
        </w:rPr>
        <w:t xml:space="preserve">Unvalidated expenditure parameter.</w:t>
      </w:r>
      <w:r>
        <w:t xml:space="preserve"> The institutional repair and replacement expenditure (A4 = ₱1,200,000) underpinning B6 — the largest single benefit line — is an estimate from institutional scale, not from PMO financial records.</w:t>
      </w:r>
    </w:p>
    <w:p>
      <w:pPr>
        <w:pStyle w:val="BECList"/>
      </w:pPr>
      <w:r>
        <w:rPr>
          <w:b/>
          <w:color w:val="7B1D1D"/>
        </w:rPr>
        <w:t xml:space="preserve">4.  </w:t>
      </w:r>
      <w:r>
        <w:rPr>
          <w:b/>
        </w:rPr>
        <w:t xml:space="preserve">Contested labor valuation.</w:t>
      </w:r>
      <w:r>
        <w:t xml:space="preserve"> The monetization of student and staff time at shadow-priced rates is a methodological choice on which reasonable analysts differ. Section 11.2 test S9 reports the result under the opposing assumption and finds the conclusion reversed. This is the study's most significant analytical vulnerability and is disclosed rather than minimized.</w:t>
      </w:r>
    </w:p>
    <w:p>
      <w:pPr>
        <w:pStyle w:val="BECList"/>
      </w:pPr>
      <w:r>
        <w:rPr>
          <w:b/>
          <w:color w:val="7B1D1D"/>
        </w:rPr>
        <w:t xml:space="preserve">5.  </w:t>
      </w:r>
      <w:r>
        <w:rPr>
          <w:b/>
        </w:rPr>
        <w:t xml:space="preserve">Literature transferability.</w:t>
      </w:r>
      <w:r>
        <w:t xml:space="preserve"> The CMMS ROI benchmarks in §4.1 derive predominantly from industrial and vendor-authored sources whose reference populations differ materially from an educational institution. The 5% maintenance-reduction rate applied in §8.6 attempts to compensate, but the compensation factor is itself a judgment.</w:t>
      </w:r>
    </w:p>
    <w:p>
      <w:pPr>
        <w:pStyle w:val="BECList"/>
      </w:pPr>
      <w:r>
        <w:rPr>
          <w:b/>
          <w:color w:val="7B1D1D"/>
        </w:rPr>
        <w:t xml:space="preserve">6.  </w:t>
      </w:r>
      <w:r>
        <w:rPr>
          <w:b/>
        </w:rPr>
        <w:t xml:space="preserve">No attribution controls.</w:t>
      </w:r>
      <w:r>
        <w:t xml:space="preserve"> The analysis attributes to the system the entirety of any improvement in the measured outcomes. In practice, concurrent changes in PMO staffing, procedures, or institutional attention would confound attribution in any post-implementation evaluation.</w:t>
      </w:r>
    </w:p>
    <w:p>
      <w:pPr>
        <w:pStyle w:val="BECList"/>
      </w:pPr>
      <w:r>
        <w:rPr>
          <w:b/>
          <w:color w:val="7B1D1D"/>
        </w:rPr>
        <w:t xml:space="preserve">7.  </w:t>
      </w:r>
      <w:r>
        <w:rPr>
          <w:b/>
        </w:rPr>
        <w:t xml:space="preserve">Static benefit assumption.</w:t>
      </w:r>
      <w:r>
        <w:t xml:space="preserve"> Benefits are modeled as constant across Years 1–5. In practice a learning curve would suppress Year-1 benefits and a maturity effect might raise later-year benefits; the net effect on NPV is indeterminate but likely modest.</w:t>
      </w:r>
    </w:p>
    <w:p>
      <w:pPr>
        <w:pStyle w:val="BECList"/>
      </w:pPr>
      <w:r>
        <w:rPr>
          <w:b/>
          <w:color w:val="7B1D1D"/>
        </w:rPr>
        <w:t xml:space="preserve">8.  </w:t>
      </w:r>
      <w:r>
        <w:rPr>
          <w:b/>
        </w:rPr>
        <w:t xml:space="preserve">Single-institution scope.</w:t>
      </w:r>
      <w:r>
        <w:t xml:space="preserve"> Findings are specific to Batangas Eastern Colleges and are not generalizable without re-parameterization.</w:t>
      </w:r>
    </w:p>
    <w:p>
      <w:pPr>
        <w:pStyle w:val="BECRule"/>
      </w:pPr>
    </w:p>
    <w:p>
      <w:pPr>
        <w:pStyle w:val="Heading2"/>
      </w:pPr>
      <w:r>
        <w:t xml:space="preserve">16. CONCLUSIONS</w:t>
      </w:r>
    </w:p>
    <w:p>
      <w:pPr>
        <w:pStyle w:val="Normal"/>
      </w:pPr>
      <w:r>
        <w:t xml:space="preserve">Within the stated assumptions and limitations, the study concludes as follows.</w:t>
      </w:r>
    </w:p>
    <w:p>
      <w:pPr>
        <w:pStyle w:val="Normal"/>
      </w:pPr>
      <w:r>
        <w:rPr>
          <w:b/>
        </w:rPr>
        <w:t xml:space="preserve">16.1</w:t>
      </w:r>
      <w:r>
        <w:t xml:space="preserve"> The BEC Web-Based Defective Equipment Reporting Management System is </w:t>
      </w:r>
      <w:r>
        <w:rPr>
          <w:b/>
        </w:rPr>
        <w:t xml:space="preserve">economically justified</w:t>
      </w:r>
      <w:r>
        <w:t xml:space="preserve"> under base-case assumptions. It returns a five-year Net Present Value of </w:t>
      </w:r>
      <w:r>
        <w:rPr>
          <w:b/>
        </w:rPr>
        <w:t xml:space="preserve">₱313,420</w:t>
      </w:r>
      <w:r>
        <w:t xml:space="preserve"> at the NEDA-prescribed 10% social discount rate, a Benefit–Cost Ratio of </w:t>
      </w:r>
      <w:r>
        <w:rPr>
          <w:b/>
        </w:rPr>
        <w:t xml:space="preserve">1.99</w:t>
      </w:r>
      <w:r>
        <w:t xml:space="preserve">, a five-year Return on Investment of </w:t>
      </w:r>
      <w:r>
        <w:rPr>
          <w:b/>
        </w:rPr>
        <w:t xml:space="preserve">99.4%</w:t>
      </w:r>
      <w:r>
        <w:t xml:space="preserve">, and an Internal Rate of Return of approximately </w:t>
      </w:r>
      <w:r>
        <w:rPr>
          <w:b/>
        </w:rPr>
        <w:t xml:space="preserve">65%</w:t>
      </w:r>
      <w:r>
        <w:t xml:space="preserve"> — the latter exceeding the hurdle rate by 55 percentage points.</w:t>
      </w:r>
    </w:p>
    <w:p>
      <w:pPr>
        <w:pStyle w:val="Normal"/>
      </w:pPr>
      <w:r>
        <w:rPr>
          <w:b/>
        </w:rPr>
        <w:t xml:space="preserve">16.2</w:t>
      </w:r>
      <w:r>
        <w:t xml:space="preserve"> The investment </w:t>
      </w:r>
      <w:r>
        <w:rPr>
          <w:b/>
        </w:rPr>
        <w:t xml:space="preserve">recovers its full shadow-priced cost within 16.9 months</w:t>
      </w:r>
      <w:r>
        <w:t xml:space="preserve"> (19.3 months on a discounted basis). This falls within the 12–18 month payback range documented in the CMMS implementation literature, providing external plausibility support for the estimate.</w:t>
      </w:r>
    </w:p>
    <w:p>
      <w:pPr>
        <w:pStyle w:val="Normal"/>
      </w:pPr>
      <w:r>
        <w:rPr>
          <w:b/>
        </w:rPr>
        <w:t xml:space="preserve">16.3</w:t>
      </w:r>
      <w:r>
        <w:t xml:space="preserve"> The system costs the institution an equivalent </w:t>
      </w:r>
      <w:r>
        <w:rPr>
          <w:b/>
        </w:rPr>
        <w:t xml:space="preserve">₱83,201 per annum</w:t>
      </w:r>
      <w:r>
        <w:t xml:space="preserve">, or </w:t>
      </w:r>
      <w:r>
        <w:rPr>
          <w:b/>
        </w:rPr>
        <w:t xml:space="preserve">₱69.33 per defect report processed</w:t>
      </w:r>
      <w:r>
        <w:t xml:space="preserve"> and </w:t>
      </w:r>
      <w:r>
        <w:rPr>
          <w:b/>
        </w:rPr>
        <w:t xml:space="preserve">₱16.64 per registered campus user per year</w:t>
      </w:r>
      <w:r>
        <w:t xml:space="preserve">.</w:t>
      </w:r>
    </w:p>
    <w:p>
      <w:pPr>
        <w:pStyle w:val="Normal"/>
      </w:pPr>
      <w:r>
        <w:rPr>
          <w:b/>
        </w:rPr>
        <w:t xml:space="preserve">16.4</w:t>
      </w:r>
      <w:r>
        <w:t xml:space="preserve"> The conclusion is </w:t>
      </w:r>
      <w:r>
        <w:rPr>
          <w:b/>
        </w:rPr>
        <w:t xml:space="preserve">robust to substantial parameter error</w:t>
      </w:r>
      <w:r>
        <w:t xml:space="preserve">. It survives a 50% overstatement of benefits, a 100% understatement of costs, a one-third reduction in report volume, discount rates from 6% to 15%, and the complete removal of the largest single benefit line.</w:t>
      </w:r>
    </w:p>
    <w:p>
      <w:pPr>
        <w:pStyle w:val="Normal"/>
      </w:pPr>
      <w:r>
        <w:rPr>
          <w:b/>
        </w:rPr>
        <w:t xml:space="preserve">16.5</w:t>
      </w:r>
      <w:r>
        <w:t xml:space="preserve"> The conclusion is, however, </w:t>
      </w:r>
      <w:r>
        <w:rPr>
          <w:b/>
        </w:rPr>
        <w:t xml:space="preserve">conditional on accepting the monetization of institutional labor time</w:t>
      </w:r>
      <w:r>
        <w:t xml:space="preserve">. Excluding all labor-time benefits reverses the finding (NPV −₱42,459, BCR 0.87). This dependency is the study's principal analytical caveat.</w:t>
      </w:r>
    </w:p>
    <w:p>
      <w:pPr>
        <w:pStyle w:val="Normal"/>
      </w:pPr>
      <w:r>
        <w:rPr>
          <w:b/>
        </w:rPr>
        <w:t xml:space="preserve">16.6</w:t>
      </w:r>
      <w:r>
        <w:t xml:space="preserve"> Under the pessimistic scenario the project is </w:t>
      </w:r>
      <w:r>
        <w:rPr>
          <w:b/>
        </w:rPr>
        <w:t xml:space="preserve">marginally not justified</w:t>
      </w:r>
      <w:r>
        <w:t xml:space="preserve"> (NPV −₱10,037, IRR 7.9%) — but the downside is bounded at approximately 3% of committed resources, against an optimistic-case upside of ₱890,758. The </w:t>
      </w:r>
      <w:r>
        <w:rPr>
          <w:b/>
        </w:rPr>
        <w:t xml:space="preserve">risk–return profile is strongly asymmetric in the institution's favor.</w:t>
      </w:r>
    </w:p>
    <w:p>
      <w:pPr>
        <w:pStyle w:val="Normal"/>
      </w:pPr>
      <w:r>
        <w:rPr>
          <w:b/>
        </w:rPr>
        <w:t xml:space="preserve">16.7</w:t>
      </w:r>
      <w:r>
        <w:t xml:space="preserve"> Against the commercial alternative, the in-house system's five-year total cost of ownership is </w:t>
      </w:r>
      <w:r>
        <w:rPr>
          <w:b/>
        </w:rPr>
        <w:t xml:space="preserve">55.8% lower</w:t>
      </w:r>
      <w:r>
        <w:t xml:space="preserve"> than the least expensive comparable CMMS subscription and </w:t>
      </w:r>
      <w:r>
        <w:rPr>
          <w:b/>
        </w:rPr>
        <w:t xml:space="preserve">82.0% lower</w:t>
      </w:r>
      <w:r>
        <w:t xml:space="preserve"> than a mid-tier platform. The </w:t>
      </w:r>
      <w:r>
        <w:rPr>
          <w:b/>
        </w:rPr>
        <w:t xml:space="preserve">make decision is supported on cost grounds by a wide margin.</w:t>
      </w:r>
    </w:p>
    <w:p>
      <w:pPr>
        <w:pStyle w:val="Normal"/>
      </w:pPr>
      <w:r>
        <w:rPr>
          <w:b/>
        </w:rPr>
        <w:t xml:space="preserve">16.8</w:t>
      </w:r>
      <w:r>
        <w:t xml:space="preserve"> Ten intangible benefits are documented but not monetized, including accountability, identity verification, institutional data assets, and reduction of instructional disruption. </w:t>
      </w:r>
      <w:r>
        <w:rPr>
          <w:b/>
        </w:rPr>
        <w:t xml:space="preserve">The quantified NPV should therefore be interpreted as a lower bound</w:t>
      </w:r>
      <w:r>
        <w:t xml:space="preserve"> on the system's institutional value.</w:t>
      </w:r>
    </w:p>
    <w:p>
      <w:pPr>
        <w:pStyle w:val="BECRule"/>
      </w:pPr>
    </w:p>
    <w:p>
      <w:pPr>
        <w:pStyle w:val="Heading2"/>
      </w:pPr>
      <w:r>
        <w:t xml:space="preserve">17. RECOMMENDATIONS</w:t>
      </w:r>
    </w:p>
    <w:p>
      <w:pPr>
        <w:pStyle w:val="Normal"/>
      </w:pPr>
      <w:r>
        <w:rPr>
          <w:b/>
        </w:rPr>
        <w:t xml:space="preserve">R1 — Validate the two critical parameters within the first operating quarter.</w:t>
      </w:r>
      <w:r>
        <w:t xml:space="preserve"> Obtain the actual annual equipment repair and replacement expenditure from PMO financial records (parameter A4), and record actual report volume from the system's own database (parameter A2). These two inputs jointly determine approximately 60% of quantified benefits. The instrument in Appendix C specifies the required data.</w:t>
      </w:r>
    </w:p>
    <w:p>
      <w:pPr>
        <w:pStyle w:val="Normal"/>
      </w:pPr>
      <w:r>
        <w:rPr>
          <w:b/>
        </w:rPr>
        <w:t xml:space="preserve">R2 — Conduct a post-implementation time-and-motion study at the six-month mark.</w:t>
      </w:r>
      <w:r>
        <w:t xml:space="preserve"> Measure actual reporter and PMO transaction times against the Table 6.4 estimates. The system's </w:t>
      </w:r>
      <w:r>
        <w:rPr>
          <w:rFonts w:ascii="Consolas" w:hAnsi="Consolas" w:cs="Consolas"/>
          <w:sz w:val="18"/>
          <w:szCs w:val="18"/>
          <w:shd w:val="clear" w:color="auto" w:fill="F0EDE6"/>
        </w:rPr>
        <w:t xml:space="preserve">activity_log</w:t>
      </w:r>
      <w:r>
        <w:t xml:space="preserve"> and status-transition timestamps supply the "with system" measurements directly; the manual baseline must be reconstructed from PMO recollection and any surviving registers.</w:t>
      </w:r>
    </w:p>
    <w:p>
      <w:pPr>
        <w:pStyle w:val="Normal"/>
      </w:pPr>
      <w:r>
        <w:rPr>
          <w:b/>
        </w:rPr>
        <w:t xml:space="preserve">R3 — Institutionalize the system as the sole official reporting channel.</w:t>
      </w:r>
      <w:r>
        <w:t xml:space="preserve"> Every quantified benefit stream scales with report volume. Parallel operation of informal channels is the single most effective way to destroy the return computed in this study (risk K1).</w:t>
      </w:r>
    </w:p>
    <w:p>
      <w:pPr>
        <w:pStyle w:val="Normal"/>
      </w:pPr>
      <w:r>
        <w:rPr>
          <w:b/>
        </w:rPr>
        <w:t xml:space="preserve">R4 — Budget explicitly for maintenance continuity.</w:t>
      </w:r>
      <w:r>
        <w:t xml:space="preserve"> Recurring cost line R5 provides ₱6,800 per annum for 40 hours of maintenance labor, but presumes an available maintainer. Risk K2 (maintainer discontinuity following the capstone team's graduation) is assessed as high-likelihood and severe-impact. The institution should either designate an internal IT staff member, retain the developing team on a support arrangement, or budget for external maintenance at the prevailing ₱170/hour rate.</w:t>
      </w:r>
    </w:p>
    <w:p>
      <w:pPr>
        <w:pStyle w:val="Normal"/>
      </w:pPr>
      <w:r>
        <w:rPr>
          <w:b/>
        </w:rPr>
        <w:t xml:space="preserve">R5 — Implement server-side pagination before the report backlog reaches 2,000 records.</w:t>
      </w:r>
      <w:r>
        <w:t xml:space="preserve"> Testing established that rendered page weight scales linearly with row count (1.3 MB at 510 reports; 11 MB at 5,010). At the base-case volume of 1,200 reports per annum this threshold is reached during Year 2. The remediation is a bounded engineering task and is properly charged to line R5.</w:t>
      </w:r>
    </w:p>
    <w:p>
      <w:pPr>
        <w:pStyle w:val="Normal"/>
      </w:pPr>
      <w:r>
        <w:rPr>
          <w:b/>
        </w:rPr>
        <w:t xml:space="preserve">R6 — Retain the Supabase Pro subscription.</w:t>
      </w:r>
      <w:r>
        <w:t xml:space="preserve"> The free tier suspends projects after one week of inactivity and caps storage at 500 MB. Line R1 (₱18,306/yr) represents 22.0% of the equivalent annual cost and is not a defensible economy.</w:t>
      </w:r>
    </w:p>
    <w:p>
      <w:pPr>
        <w:pStyle w:val="Normal"/>
      </w:pPr>
      <w:r>
        <w:rPr>
          <w:b/>
        </w:rPr>
        <w:t xml:space="preserve">R7 — Re-perform this analysis at the twelve-month mark using observed data.</w:t>
      </w:r>
      <w:r>
        <w:t xml:space="preserve"> This document is an ex-ante estimate. Its principal operational value lies in establishing a quantitative baseline; that value is realized only if an ex-post comparison is actually conducted. Appendix C provides the data-collection template.</w:t>
      </w:r>
    </w:p>
    <w:p>
      <w:pPr>
        <w:pStyle w:val="Normal"/>
      </w:pPr>
      <w:r>
        <w:rPr>
          <w:b/>
        </w:rPr>
        <w:t xml:space="preserve">R8 — Report the base-case figures with the S9 caveat attached.</w:t>
      </w:r>
      <w:r>
        <w:t xml:space="preserve"> In presenting this analysis to institutional decision-makers or to a thesis panel, the finding that excluding labor-time benefits reverses the conclusion (§11.2) should be stated proactively. Disclosing the analysis's principal vulnerability is both methodologically proper and, in defense settings, strategically preferable to having it raised by an examiner.</w:t>
      </w:r>
    </w:p>
    <w:p>
      <w:pPr>
        <w:pStyle w:val="BECRule"/>
      </w:pPr>
    </w:p>
    <w:p>
      <w:pPr>
        <w:pStyle w:val="Heading2"/>
      </w:pPr>
      <w:r>
        <w:t xml:space="preserve">18. REFERENCES</w:t>
      </w:r>
    </w:p>
    <w:p>
      <w:pPr>
        <w:pStyle w:val="Normal"/>
      </w:pPr>
      <w:r>
        <w:t xml:space="preserve">Accruent. (2026). </w:t>
      </w:r>
      <w:r>
        <w:rPr>
          <w:i/>
        </w:rPr>
        <w:t xml:space="preserve">4 ways CMMS implementation increases ROI and cuts maintenance costs</w:t>
      </w:r>
      <w:r>
        <w:t xml:space="preserve">. </w:t>
      </w:r>
      <w:hyperlink r:id="rIdL1">
        <w:r>
          <w:rPr>
            <w:u w:val="single"/>
            <w:color w:val="0B5FA5"/>
          </w:rPr>
          <w:t xml:space="preserve">https://www.accruent.com/resources/blog-posts/4-ways-cmms-implementation-increases-roi-cuts-maintenance-costs</w:t>
        </w:r>
      </w:hyperlink>
    </w:p>
    <w:p>
      <w:pPr>
        <w:pStyle w:val="Normal"/>
      </w:pPr>
      <w:r>
        <w:t xml:space="preserve">Anthropic. (2026). </w:t>
      </w:r>
      <w:r>
        <w:rPr>
          <w:i/>
        </w:rPr>
        <w:t xml:space="preserve">Claude API pricing</w:t>
      </w:r>
      <w:r>
        <w:t xml:space="preserve"> [Model pricing schedule: </w:t>
      </w:r>
      <w:r>
        <w:rPr>
          <w:rFonts w:ascii="Consolas" w:hAnsi="Consolas" w:cs="Consolas"/>
          <w:sz w:val="18"/>
          <w:szCs w:val="18"/>
          <w:shd w:val="clear" w:color="auto" w:fill="F0EDE6"/>
        </w:rPr>
        <w:t xml:space="preserve">claude-haiku-4-5</w:t>
      </w:r>
      <w:r>
        <w:t xml:space="preserve">, US1.00/MTok input, US5.00/MTok output]. </w:t>
      </w:r>
      <w:hyperlink r:id="rIdL2">
        <w:r>
          <w:rPr>
            <w:u w:val="single"/>
            <w:color w:val="0B5FA5"/>
          </w:rPr>
          <w:t xml:space="preserve">https://platform.claude.com/docs/en/pricing</w:t>
        </w:r>
      </w:hyperlink>
    </w:p>
    <w:p>
      <w:pPr>
        <w:pStyle w:val="Normal"/>
      </w:pPr>
      <w:r>
        <w:t xml:space="preserve">Chamberlain. (2026). </w:t>
      </w:r>
      <w:r>
        <w:rPr>
          <w:i/>
        </w:rPr>
        <w:t xml:space="preserve">Minimum wage in the Philippines by region (2026)</w:t>
      </w:r>
      <w:r>
        <w:t xml:space="preserve">. </w:t>
      </w:r>
      <w:hyperlink r:id="rIdL3">
        <w:r>
          <w:rPr>
            <w:u w:val="single"/>
            <w:color w:val="0B5FA5"/>
          </w:rPr>
          <w:t xml:space="preserve">https://chamberlain.ph/resources/minimum-wage-philippines-2026/</w:t>
        </w:r>
      </w:hyperlink>
    </w:p>
    <w:p>
      <w:pPr>
        <w:pStyle w:val="Normal"/>
      </w:pPr>
      <w:r>
        <w:t xml:space="preserve">ERI SalaryExpert. (2026). </w:t>
      </w:r>
      <w:r>
        <w:rPr>
          <w:i/>
        </w:rPr>
        <w:t xml:space="preserve">Administrative officer salary in Philippines (2026)</w:t>
      </w:r>
      <w:r>
        <w:t xml:space="preserve">. </w:t>
      </w:r>
      <w:hyperlink r:id="rIdL4">
        <w:r>
          <w:rPr>
            <w:u w:val="single"/>
            <w:color w:val="0B5FA5"/>
          </w:rPr>
          <w:t xml:space="preserve">https://www.salaryexpert.com/salary/job/administrative-officer/philippines</w:t>
        </w:r>
      </w:hyperlink>
    </w:p>
    <w:p>
      <w:pPr>
        <w:pStyle w:val="Normal"/>
      </w:pPr>
      <w:r>
        <w:t xml:space="preserve">eWorkOrders. (2026). </w:t>
      </w:r>
      <w:r>
        <w:rPr>
          <w:i/>
        </w:rPr>
        <w:t xml:space="preserve">CMMS benefits: The quantified business case</w:t>
      </w:r>
      <w:r>
        <w:t xml:space="preserve">. </w:t>
      </w:r>
      <w:hyperlink r:id="rIdL5">
        <w:r>
          <w:rPr>
            <w:u w:val="single"/>
            <w:color w:val="0B5FA5"/>
          </w:rPr>
          <w:t xml:space="preserve">https://eworkorders.com/cmms-software/cmms-benefits/</w:t>
        </w:r>
      </w:hyperlink>
    </w:p>
    <w:p>
      <w:pPr>
        <w:pStyle w:val="Normal"/>
      </w:pPr>
      <w:r>
        <w:t xml:space="preserve">Exchange-Rates.org. (2026). </w:t>
      </w:r>
      <w:r>
        <w:rPr>
          <w:i/>
        </w:rPr>
        <w:t xml:space="preserve">US Dollar (USD) to Philippine Peso (PHP) exchange rate history for 2026</w:t>
      </w:r>
      <w:r>
        <w:t xml:space="preserve"> [August 2026 average: ₱61.02/US$1]. </w:t>
      </w:r>
      <w:hyperlink r:id="rIdL6">
        <w:r>
          <w:rPr>
            <w:u w:val="single"/>
            <w:color w:val="0B5FA5"/>
          </w:rPr>
          <w:t xml:space="preserve">https://www.exchange-rates.org/exchange-rate-history/usd-php-2026</w:t>
        </w:r>
      </w:hyperlink>
    </w:p>
    <w:p>
      <w:pPr>
        <w:pStyle w:val="Normal"/>
      </w:pPr>
      <w:r>
        <w:t xml:space="preserve">Fabrico. (2026). </w:t>
      </w:r>
      <w:r>
        <w:rPr>
          <w:i/>
        </w:rPr>
        <w:t xml:space="preserve">CMMS software pricing guide 2026: How much does it actually cost?</w:t>
      </w:r>
      <w:r>
        <w:t xml:space="preserve"> </w:t>
      </w:r>
      <w:hyperlink r:id="rIdL7">
        <w:r>
          <w:rPr>
            <w:u w:val="single"/>
            <w:color w:val="0B5FA5"/>
          </w:rPr>
          <w:t xml:space="preserve">https://www.fabrico.io/blog/cmms-software-pricing-guide-2026-how-much-does-it-actually-cost/</w:t>
        </w:r>
      </w:hyperlink>
    </w:p>
    <w:p>
      <w:pPr>
        <w:pStyle w:val="Normal"/>
      </w:pPr>
      <w:r>
        <w:t xml:space="preserve">Indeed Philippines. (2026). </w:t>
      </w:r>
      <w:r>
        <w:rPr>
          <w:i/>
        </w:rPr>
        <w:t xml:space="preserve">Junior developer salary in Philippines</w:t>
      </w:r>
      <w:r>
        <w:t xml:space="preserve">. </w:t>
      </w:r>
      <w:hyperlink r:id="rIdL8">
        <w:r>
          <w:rPr>
            <w:u w:val="single"/>
            <w:color w:val="0B5FA5"/>
          </w:rPr>
          <w:t xml:space="preserve">https://ph.indeed.com/career/junior-developer/salaries</w:t>
        </w:r>
      </w:hyperlink>
    </w:p>
    <w:p>
      <w:pPr>
        <w:pStyle w:val="Normal"/>
      </w:pPr>
      <w:r>
        <w:t xml:space="preserve">ITQlick. (2026). </w:t>
      </w:r>
      <w:r>
        <w:rPr>
          <w:i/>
        </w:rPr>
        <w:t xml:space="preserve">Limble CMMS pricing 2026: Hidden costs and total ROI revealed</w:t>
      </w:r>
      <w:r>
        <w:t xml:space="preserve">. </w:t>
      </w:r>
      <w:hyperlink r:id="rIdL9">
        <w:r>
          <w:rPr>
            <w:u w:val="single"/>
            <w:color w:val="0B5FA5"/>
          </w:rPr>
          <w:t xml:space="preserve">https://www.itqlick.com/limble-cmms/pricing</w:t>
        </w:r>
      </w:hyperlink>
    </w:p>
    <w:p>
      <w:pPr>
        <w:pStyle w:val="Normal"/>
      </w:pPr>
      <w:r>
        <w:t xml:space="preserve">Jobstreet Philippines. (2026). </w:t>
      </w:r>
      <w:r>
        <w:rPr>
          <w:i/>
        </w:rPr>
        <w:t xml:space="preserve">Web developer salary in Philippines (July 2026)</w:t>
      </w:r>
      <w:r>
        <w:t xml:space="preserve">. </w:t>
      </w:r>
      <w:hyperlink r:id="rIdL10">
        <w:r>
          <w:rPr>
            <w:u w:val="single"/>
            <w:color w:val="0B5FA5"/>
          </w:rPr>
          <w:t xml:space="preserve">https://ph.jobstreet.com/career-advice/role/web-developer/salary</w:t>
        </w:r>
      </w:hyperlink>
    </w:p>
    <w:p>
      <w:pPr>
        <w:pStyle w:val="Normal"/>
      </w:pPr>
      <w:r>
        <w:t xml:space="preserve">Limble. (2026). </w:t>
      </w:r>
      <w:r>
        <w:rPr>
          <w:i/>
        </w:rPr>
        <w:t xml:space="preserve">CMMS software cost: Updated pricing guide for 2026 evaluation</w:t>
      </w:r>
      <w:r>
        <w:t xml:space="preserve">. </w:t>
      </w:r>
      <w:hyperlink r:id="rIdL11">
        <w:r>
          <w:rPr>
            <w:u w:val="single"/>
            <w:color w:val="0B5FA5"/>
          </w:rPr>
          <w:t xml:space="preserve">https://limble.com/learn/cost</w:t>
        </w:r>
      </w:hyperlink>
    </w:p>
    <w:p>
      <w:pPr>
        <w:pStyle w:val="Normal"/>
      </w:pPr>
      <w:r>
        <w:t xml:space="preserve">LLumin. (2026). </w:t>
      </w:r>
      <w:r>
        <w:rPr>
          <w:i/>
        </w:rPr>
        <w:t xml:space="preserve">How to calculate the ROI of CMMS software (with examples)</w:t>
      </w:r>
      <w:r>
        <w:t xml:space="preserve">. </w:t>
      </w:r>
      <w:hyperlink r:id="rIdL12">
        <w:r>
          <w:rPr>
            <w:u w:val="single"/>
            <w:color w:val="0B5FA5"/>
          </w:rPr>
          <w:t xml:space="preserve">https://llumin.com/blog/how-to-calculate-the-roi-of-cmms-software-with-examples/</w:t>
        </w:r>
      </w:hyperlink>
    </w:p>
    <w:p>
      <w:pPr>
        <w:pStyle w:val="Normal"/>
      </w:pPr>
      <w:r>
        <w:t xml:space="preserve">National Economic and Development Authority. (2016). </w:t>
      </w:r>
      <w:r>
        <w:rPr>
          <w:i/>
        </w:rPr>
        <w:t xml:space="preserve">Revised social discount rate for the evaluation of government projects</w:t>
      </w:r>
      <w:r>
        <w:t xml:space="preserve"> [Investment Coordination Committee policy: social discount rate revised from 15% to 10%]. </w:t>
      </w:r>
      <w:hyperlink r:id="rIdL13">
        <w:r>
          <w:rPr>
            <w:u w:val="single"/>
            <w:color w:val="0B5FA5"/>
          </w:rPr>
          <w:t xml:space="preserve">https://neda.gov.ph/investment-coordination-committee/</w:t>
        </w:r>
      </w:hyperlink>
    </w:p>
    <w:p>
      <w:pPr>
        <w:pStyle w:val="Normal"/>
      </w:pPr>
      <w:r>
        <w:t xml:space="preserve">National Wages and Productivity Commission. (2026). </w:t>
      </w:r>
      <w:r>
        <w:rPr>
          <w:i/>
        </w:rPr>
        <w:t xml:space="preserve">Region IV-A (CALABARZON) wage orders</w:t>
      </w:r>
      <w:r>
        <w:t xml:space="preserve"> [Wage Order No. IVA-22, effective 05 October 2025 and 01 April 2026]. Department of Labor and Employment. </w:t>
      </w:r>
      <w:hyperlink r:id="rIdL14">
        <w:r>
          <w:rPr>
            <w:u w:val="single"/>
            <w:color w:val="0B5FA5"/>
          </w:rPr>
          <w:t xml:space="preserve">https://nwpc.dole.gov.ph/region-iva/</w:t>
        </w:r>
      </w:hyperlink>
    </w:p>
    <w:p>
      <w:pPr>
        <w:pStyle w:val="Normal"/>
      </w:pPr>
      <w:r>
        <w:t xml:space="preserve">Oxmaint. (2026). </w:t>
      </w:r>
      <w:r>
        <w:rPr>
          <w:i/>
        </w:rPr>
        <w:t xml:space="preserve">CMMS ROI calculator: Real numbers and methodology</w:t>
      </w:r>
      <w:r>
        <w:t xml:space="preserve">. </w:t>
      </w:r>
      <w:hyperlink r:id="rIdL15">
        <w:r>
          <w:rPr>
            <w:u w:val="single"/>
            <w:color w:val="0B5FA5"/>
          </w:rPr>
          <w:t xml:space="preserve">https://oxmaint.com/article/cmms-roi-calculator-methodology</w:t>
        </w:r>
      </w:hyperlink>
    </w:p>
    <w:p>
      <w:pPr>
        <w:pStyle w:val="Normal"/>
      </w:pPr>
      <w:r>
        <w:t xml:space="preserve">Philippine Information Agency. (2025). </w:t>
      </w:r>
      <w:r>
        <w:rPr>
          <w:i/>
        </w:rPr>
        <w:t xml:space="preserve">Wage board grants ₱25 to ₱100 daily wage hike in CALABARZON</w:t>
      </w:r>
      <w:r>
        <w:t xml:space="preserve">. </w:t>
      </w:r>
      <w:hyperlink r:id="rIdL16">
        <w:r>
          <w:rPr>
            <w:u w:val="single"/>
            <w:color w:val="0B5FA5"/>
          </w:rPr>
          <w:t xml:space="preserve">https://pia.gov.ph/news/wage-board-grants-p25-to-p100-daily-wage-hike-in-calabarzon/</w:t>
        </w:r>
      </w:hyperlink>
    </w:p>
    <w:p>
      <w:pPr>
        <w:pStyle w:val="Normal"/>
      </w:pPr>
      <w:r>
        <w:t xml:space="preserve">Supabase. (2026). </w:t>
      </w:r>
      <w:r>
        <w:rPr>
          <w:i/>
        </w:rPr>
        <w:t xml:space="preserve">Supabase pricing</w:t>
      </w:r>
      <w:r>
        <w:t xml:space="preserve"> [Pro plan: US$25/month/project]. </w:t>
      </w:r>
      <w:hyperlink r:id="rIdL17">
        <w:r>
          <w:rPr>
            <w:u w:val="single"/>
            <w:color w:val="0B5FA5"/>
          </w:rPr>
          <w:t xml:space="preserve">https://supabase.com/pricing</w:t>
        </w:r>
      </w:hyperlink>
    </w:p>
    <w:p>
      <w:pPr>
        <w:pStyle w:val="Normal"/>
      </w:pPr>
      <w:r>
        <w:t xml:space="preserve">UI Bakery. (2026). </w:t>
      </w:r>
      <w:r>
        <w:rPr>
          <w:i/>
        </w:rPr>
        <w:t xml:space="preserve">Supabase pricing in 2026: Plans, free tier limits and full breakdown</w:t>
      </w:r>
      <w:r>
        <w:t xml:space="preserve">. </w:t>
      </w:r>
      <w:hyperlink r:id="rIdL18">
        <w:r>
          <w:rPr>
            <w:u w:val="single"/>
            <w:color w:val="0B5FA5"/>
          </w:rPr>
          <w:t xml:space="preserve">https://uibakery.io/blog/supabase-pricing</w:t>
        </w:r>
      </w:hyperlink>
    </w:p>
    <w:p>
      <w:pPr>
        <w:pStyle w:val="Normal"/>
      </w:pPr>
      <w:r>
        <w:t xml:space="preserve">WageIndicator Foundation. (2026). </w:t>
      </w:r>
      <w:r>
        <w:rPr>
          <w:i/>
        </w:rPr>
        <w:t xml:space="preserve">Minimum wage revised in IV-A — CALABARZON, Philippines, from 01 April 2026</w:t>
      </w:r>
      <w:r>
        <w:t xml:space="preserve">. </w:t>
      </w:r>
      <w:hyperlink r:id="rIdL19">
        <w:r>
          <w:rPr>
            <w:u w:val="single"/>
            <w:color w:val="0B5FA5"/>
          </w:rPr>
          <w:t xml:space="preserve">https://wageindicator.org/work/minimum-wage/updates/2026/minimum-wage-revised-in-iv-a-calabarzon-philippines-from-01-april-2026-april-02-2026/</w:t>
        </w:r>
      </w:hyperlink>
    </w:p>
    <w:p>
      <w:pPr>
        <w:pStyle w:val="BECRule"/>
      </w:pPr>
    </w:p>
    <w:p>
      <w:pPr>
        <w:pStyle w:val="Heading2"/>
      </w:pPr>
      <w:r>
        <w:t xml:space="preserve">19. APPENDICES</w:t>
      </w:r>
    </w:p>
    <w:p>
      <w:pPr>
        <w:pStyle w:val="Heading3"/>
      </w:pPr>
      <w:r>
        <w:t xml:space="preserve">Appendix A — Formula Reference</w:t>
      </w:r>
    </w:p>
    <w:tbl>
      <w:tblPr>
        <w:tblStyle w:val="BECTable"/>
        <w:tblW w:w="9360" w:type="dxa"/>
        <w:tblLayout w:type="fixed"/>
        <w:tblCellMar>
          <w:top w:w="60" w:type="dxa"/>
          <w:left w:w="90" w:type="dxa"/>
          <w:bottom w:w="60" w:type="dxa"/>
          <w:right w:w="90" w:type="dxa"/>
        </w:tblCellMar>
      </w:tblPr>
      <w:tblGrid>
        <w:gridCol w:w="3256"/>
        <w:gridCol w:w="6104"/>
      </w:tblGrid>
      <w:tr>
        <w:trPr>
          <w:tblHeader/>
          <w:cantSplit/>
        </w:trPr>
        <w:tc>
          <w:tcPr>
            <w:tcW w:w="3256" w:type="dxa"/>
            <w:shd w:val="clear" w:color="auto" w:fill="7B1D1D"/>
            <w:vAlign w:val="center"/>
          </w:tcPr>
          <w:p>
            <w:pPr>
              <w:pStyle w:val="BECCell"/>
            </w:pPr>
            <w:r>
              <w:rPr>
                <w:b/>
                <w:color w:val="FFFFFF"/>
              </w:rPr>
              <w:t xml:space="preserve">Indicator</w:t>
            </w:r>
          </w:p>
        </w:tc>
        <w:tc>
          <w:tcPr>
            <w:tcW w:w="6104" w:type="dxa"/>
            <w:shd w:val="clear" w:color="auto" w:fill="7B1D1D"/>
            <w:vAlign w:val="center"/>
          </w:tcPr>
          <w:p>
            <w:pPr>
              <w:pStyle w:val="BECCell"/>
            </w:pPr>
            <w:r>
              <w:rPr>
                <w:b/>
                <w:color w:val="FFFFFF"/>
              </w:rPr>
              <w:t xml:space="preserve">Formula</w:t>
            </w:r>
          </w:p>
        </w:tc>
      </w:tr>
      <w:tr>
        <w:trPr>
          <w:cantSplit/>
        </w:trPr>
        <w:tc>
          <w:tcPr>
            <w:tcW w:w="3256" w:type="dxa"/>
            <w:vAlign w:val="center"/>
          </w:tcPr>
          <w:p>
            <w:pPr>
              <w:pStyle w:val="BECCell"/>
            </w:pPr>
            <w:r>
              <w:t xml:space="preserve">Present value of a single amount</w:t>
            </w:r>
          </w:p>
        </w:tc>
        <w:tc>
          <w:tcPr>
            <w:tcW w:w="6104" w:type="dxa"/>
            <w:vAlign w:val="center"/>
          </w:tcPr>
          <w:p>
            <w:pPr>
              <w:pStyle w:val="BECCell"/>
            </w:pPr>
            <w:r>
              <w:t xml:space="preserve">PV = FV(1+r)^-t</w:t>
            </w:r>
          </w:p>
        </w:tc>
      </w:tr>
      <w:tr>
        <w:trPr>
          <w:cantSplit/>
        </w:trPr>
        <w:tc>
          <w:tcPr>
            <w:tcW w:w="3256" w:type="dxa"/>
            <w:shd w:val="clear" w:color="auto" w:fill="F4F1EA"/>
            <w:vAlign w:val="center"/>
          </w:tcPr>
          <w:p>
            <w:pPr>
              <w:pStyle w:val="BECCell"/>
            </w:pPr>
            <w:r>
              <w:t xml:space="preserve">Present value annuity factor</w:t>
            </w:r>
          </w:p>
        </w:tc>
        <w:tc>
          <w:tcPr>
            <w:tcW w:w="6104" w:type="dxa"/>
            <w:shd w:val="clear" w:color="auto" w:fill="F4F1EA"/>
            <w:vAlign w:val="center"/>
          </w:tcPr>
          <w:p>
            <w:pPr>
              <w:pStyle w:val="BECCell"/>
            </w:pPr>
            <w:r>
              <w:t xml:space="preserve">A_n,r = (1-(1+r)^-n) / (r); for </w:t>
            </w:r>
            <w:r>
              <w:rPr>
                <w:i/>
              </w:rPr>
              <w:t xml:space="preserve">n</w:t>
            </w:r>
            <w:r>
              <w:t xml:space="preserve">=5, </w:t>
            </w:r>
            <w:r>
              <w:rPr>
                <w:i/>
              </w:rPr>
              <w:t xml:space="preserve">r</w:t>
            </w:r>
            <w:r>
              <w:t xml:space="preserve">=10%: </w:t>
            </w:r>
            <w:r>
              <w:rPr>
                <w:b/>
              </w:rPr>
              <w:t xml:space="preserve">3.790787</w:t>
            </w:r>
          </w:p>
        </w:tc>
      </w:tr>
      <w:tr>
        <w:trPr>
          <w:cantSplit/>
        </w:trPr>
        <w:tc>
          <w:tcPr>
            <w:tcW w:w="3256" w:type="dxa"/>
            <w:vAlign w:val="center"/>
          </w:tcPr>
          <w:p>
            <w:pPr>
              <w:pStyle w:val="BECCell"/>
            </w:pPr>
            <w:r>
              <w:t xml:space="preserve">Net Present Value</w:t>
            </w:r>
          </w:p>
        </w:tc>
        <w:tc>
          <w:tcPr>
            <w:tcW w:w="6104" w:type="dxa"/>
            <w:vAlign w:val="center"/>
          </w:tcPr>
          <w:p>
            <w:pPr>
              <w:pStyle w:val="BECCell"/>
            </w:pPr>
            <w:r>
              <w:t xml:space="preserve">NPV = Σ[t=0→n](B_t - C_t)(1+r)^-t</w:t>
            </w:r>
          </w:p>
        </w:tc>
      </w:tr>
      <w:tr>
        <w:trPr>
          <w:cantSplit/>
        </w:trPr>
        <w:tc>
          <w:tcPr>
            <w:tcW w:w="3256" w:type="dxa"/>
            <w:shd w:val="clear" w:color="auto" w:fill="F4F1EA"/>
            <w:vAlign w:val="center"/>
          </w:tcPr>
          <w:p>
            <w:pPr>
              <w:pStyle w:val="BECCell"/>
            </w:pPr>
            <w:r>
              <w:t xml:space="preserve">Benefit–Cost Ratio</w:t>
            </w:r>
          </w:p>
        </w:tc>
        <w:tc>
          <w:tcPr>
            <w:tcW w:w="6104" w:type="dxa"/>
            <w:shd w:val="clear" w:color="auto" w:fill="F4F1EA"/>
            <w:vAlign w:val="center"/>
          </w:tcPr>
          <w:p>
            <w:pPr>
              <w:pStyle w:val="BECCell"/>
            </w:pPr>
            <w:r>
              <w:t xml:space="preserve">BCR = PV(B) ÷ PV(C)</w:t>
            </w:r>
          </w:p>
        </w:tc>
      </w:tr>
      <w:tr>
        <w:trPr>
          <w:cantSplit/>
        </w:trPr>
        <w:tc>
          <w:tcPr>
            <w:tcW w:w="3256" w:type="dxa"/>
            <w:vAlign w:val="center"/>
          </w:tcPr>
          <w:p>
            <w:pPr>
              <w:pStyle w:val="BECCell"/>
            </w:pPr>
            <w:r>
              <w:t xml:space="preserve">Return on Investment</w:t>
            </w:r>
          </w:p>
        </w:tc>
        <w:tc>
          <w:tcPr>
            <w:tcW w:w="6104" w:type="dxa"/>
            <w:vAlign w:val="center"/>
          </w:tcPr>
          <w:p>
            <w:pPr>
              <w:pStyle w:val="BECCell"/>
            </w:pPr>
            <w:r>
              <w:t xml:space="preserve">ROI = NPV ÷ PV(C) × 100%</w:t>
            </w:r>
          </w:p>
        </w:tc>
      </w:tr>
      <w:tr>
        <w:trPr>
          <w:cantSplit/>
        </w:trPr>
        <w:tc>
          <w:tcPr>
            <w:tcW w:w="3256" w:type="dxa"/>
            <w:shd w:val="clear" w:color="auto" w:fill="F4F1EA"/>
            <w:vAlign w:val="center"/>
          </w:tcPr>
          <w:p>
            <w:pPr>
              <w:pStyle w:val="BECCell"/>
            </w:pPr>
            <w:r>
              <w:t xml:space="preserve">Internal Rate of Return</w:t>
            </w:r>
          </w:p>
        </w:tc>
        <w:tc>
          <w:tcPr>
            <w:tcW w:w="6104" w:type="dxa"/>
            <w:shd w:val="clear" w:color="auto" w:fill="F4F1EA"/>
            <w:vAlign w:val="center"/>
          </w:tcPr>
          <w:p>
            <w:pPr>
              <w:pStyle w:val="BECCell"/>
            </w:pPr>
            <w:r>
              <w:rPr>
                <w:i/>
              </w:rPr>
              <w:t xml:space="preserve">r\</w:t>
            </w:r>
            <w:r>
              <w:t xml:space="preserve">* such that NPV(r^*) = 0</w:t>
            </w:r>
          </w:p>
        </w:tc>
      </w:tr>
      <w:tr>
        <w:trPr>
          <w:cantSplit/>
        </w:trPr>
        <w:tc>
          <w:tcPr>
            <w:tcW w:w="3256" w:type="dxa"/>
            <w:vAlign w:val="center"/>
          </w:tcPr>
          <w:p>
            <w:pPr>
              <w:pStyle w:val="BECCell"/>
            </w:pPr>
            <w:r>
              <w:t xml:space="preserve">Simple payback period</w:t>
            </w:r>
          </w:p>
        </w:tc>
        <w:tc>
          <w:tcPr>
            <w:tcW w:w="6104" w:type="dxa"/>
            <w:vAlign w:val="center"/>
          </w:tcPr>
          <w:p>
            <w:pPr>
              <w:pStyle w:val="BECCell"/>
            </w:pPr>
            <w:r>
              <w:t xml:space="preserve">PP = I_0 ÷ F, where F = annual net cash flow</w:t>
            </w:r>
          </w:p>
        </w:tc>
      </w:tr>
      <w:tr>
        <w:trPr>
          <w:cantSplit/>
        </w:trPr>
        <w:tc>
          <w:tcPr>
            <w:tcW w:w="3256" w:type="dxa"/>
            <w:shd w:val="clear" w:color="auto" w:fill="F4F1EA"/>
            <w:vAlign w:val="center"/>
          </w:tcPr>
          <w:p>
            <w:pPr>
              <w:pStyle w:val="BECCell"/>
            </w:pPr>
            <w:r>
              <w:t xml:space="preserve">Discounted payback</w:t>
            </w:r>
          </w:p>
        </w:tc>
        <w:tc>
          <w:tcPr>
            <w:tcW w:w="6104" w:type="dxa"/>
            <w:shd w:val="clear" w:color="auto" w:fill="F4F1EA"/>
            <w:vAlign w:val="center"/>
          </w:tcPr>
          <w:p>
            <w:pPr>
              <w:pStyle w:val="BECCell"/>
            </w:pPr>
            <w:r>
              <w:t xml:space="preserve">PP_d = y + (| CumPV_y |) / (PV_y+1)</w:t>
            </w:r>
          </w:p>
        </w:tc>
      </w:tr>
      <w:tr>
        <w:trPr>
          <w:cantSplit/>
        </w:trPr>
        <w:tc>
          <w:tcPr>
            <w:tcW w:w="3256" w:type="dxa"/>
            <w:vAlign w:val="center"/>
          </w:tcPr>
          <w:p>
            <w:pPr>
              <w:pStyle w:val="BECCell"/>
            </w:pPr>
            <w:r>
              <w:t xml:space="preserve">Equivalent Annual Cost</w:t>
            </w:r>
          </w:p>
        </w:tc>
        <w:tc>
          <w:tcPr>
            <w:tcW w:w="6104" w:type="dxa"/>
            <w:vAlign w:val="center"/>
          </w:tcPr>
          <w:p>
            <w:pPr>
              <w:pStyle w:val="BECCell"/>
            </w:pPr>
            <w:r>
              <w:t xml:space="preserve">EAC = PV(C) ÷ A_n,r</w:t>
            </w:r>
          </w:p>
        </w:tc>
      </w:tr>
      <w:tr>
        <w:trPr>
          <w:cantSplit/>
        </w:trPr>
        <w:tc>
          <w:tcPr>
            <w:tcW w:w="3256" w:type="dxa"/>
            <w:shd w:val="clear" w:color="auto" w:fill="F4F1EA"/>
            <w:vAlign w:val="center"/>
          </w:tcPr>
          <w:p>
            <w:pPr>
              <w:pStyle w:val="BECCell"/>
            </w:pPr>
            <w:r>
              <w:t xml:space="preserve">Labor benefit (generic)</w:t>
            </w:r>
          </w:p>
        </w:tc>
        <w:tc>
          <w:tcPr>
            <w:tcW w:w="6104" w:type="dxa"/>
            <w:shd w:val="clear" w:color="auto" w:fill="F4F1EA"/>
            <w:vAlign w:val="center"/>
          </w:tcPr>
          <w:p>
            <w:pPr>
              <w:pStyle w:val="BECCell"/>
            </w:pPr>
            <w:r>
              <w:t xml:space="preserve">B = V × (m) / (60) × w, where </w:t>
            </w:r>
            <w:r>
              <w:rPr>
                <w:i/>
              </w:rPr>
              <w:t xml:space="preserve">V</w:t>
            </w:r>
            <w:r>
              <w:t xml:space="preserve"> = volume, </w:t>
            </w:r>
            <w:r>
              <w:rPr>
                <w:i/>
              </w:rPr>
              <w:t xml:space="preserve">m</w:t>
            </w:r>
            <w:r>
              <w:t xml:space="preserve"> = minutes saved, </w:t>
            </w:r>
            <w:r>
              <w:rPr>
                <w:i/>
              </w:rPr>
              <w:t xml:space="preserve">w</w:t>
            </w:r>
            <w:r>
              <w:t xml:space="preserve"> = hourly rate</w:t>
            </w:r>
          </w:p>
        </w:tc>
      </w:tr>
    </w:tbl>
    <w:p>
      <w:pPr>
        <w:spacing w:after="0" w:line="120" w:lineRule="exact"/>
      </w:pPr>
    </w:p>
    <w:p>
      <w:pPr>
        <w:pStyle w:val="Heading3"/>
      </w:pPr>
      <w:r>
        <w:t xml:space="preserve">Appendix B — Consolidated Parameter Register</w:t>
      </w:r>
    </w:p>
    <w:tbl>
      <w:tblPr>
        <w:tblStyle w:val="BECTable"/>
        <w:tblW w:w="9360" w:type="dxa"/>
        <w:tblLayout w:type="fixed"/>
        <w:tblCellMar>
          <w:top w:w="60" w:type="dxa"/>
          <w:left w:w="90" w:type="dxa"/>
          <w:bottom w:w="60" w:type="dxa"/>
          <w:right w:w="90" w:type="dxa"/>
        </w:tblCellMar>
      </w:tblPr>
      <w:tblGrid>
        <w:gridCol w:w="545"/>
        <w:gridCol w:w="3362"/>
        <w:gridCol w:w="909"/>
        <w:gridCol w:w="2817"/>
        <w:gridCol w:w="1727"/>
      </w:tblGrid>
      <w:tr>
        <w:trPr>
          <w:tblHeader/>
          <w:cantSplit/>
        </w:trPr>
        <w:tc>
          <w:tcPr>
            <w:tcW w:w="545" w:type="dxa"/>
            <w:shd w:val="clear" w:color="auto" w:fill="7B1D1D"/>
            <w:vAlign w:val="center"/>
          </w:tcPr>
          <w:p>
            <w:pPr>
              <w:pStyle w:val="BECCell"/>
            </w:pPr>
            <w:r>
              <w:rPr>
                <w:b/>
                <w:color w:val="FFFFFF"/>
              </w:rPr>
              <w:t xml:space="preserve">Code</w:t>
            </w:r>
          </w:p>
        </w:tc>
        <w:tc>
          <w:tcPr>
            <w:tcW w:w="3362" w:type="dxa"/>
            <w:shd w:val="clear" w:color="auto" w:fill="7B1D1D"/>
            <w:vAlign w:val="center"/>
          </w:tcPr>
          <w:p>
            <w:pPr>
              <w:pStyle w:val="BECCell"/>
            </w:pPr>
            <w:r>
              <w:rPr>
                <w:b/>
                <w:color w:val="FFFFFF"/>
              </w:rPr>
              <w:t xml:space="preserve">Parameter</w:t>
            </w:r>
          </w:p>
        </w:tc>
        <w:tc>
          <w:tcPr>
            <w:tcW w:w="909" w:type="dxa"/>
            <w:shd w:val="clear" w:color="auto" w:fill="7B1D1D"/>
            <w:vAlign w:val="center"/>
          </w:tcPr>
          <w:p>
            <w:pPr>
              <w:pStyle w:val="BECCell"/>
              <w:jc w:val="right"/>
            </w:pPr>
            <w:r>
              <w:rPr>
                <w:b/>
                <w:color w:val="FFFFFF"/>
              </w:rPr>
              <w:t xml:space="preserve">Base value</w:t>
            </w:r>
          </w:p>
        </w:tc>
        <w:tc>
          <w:tcPr>
            <w:tcW w:w="2817" w:type="dxa"/>
            <w:shd w:val="clear" w:color="auto" w:fill="7B1D1D"/>
            <w:vAlign w:val="center"/>
          </w:tcPr>
          <w:p>
            <w:pPr>
              <w:pStyle w:val="BECCell"/>
            </w:pPr>
            <w:r>
              <w:rPr>
                <w:b/>
                <w:color w:val="FFFFFF"/>
              </w:rPr>
              <w:t xml:space="preserve">Source</w:t>
            </w:r>
          </w:p>
        </w:tc>
        <w:tc>
          <w:tcPr>
            <w:tcW w:w="1727" w:type="dxa"/>
            <w:shd w:val="clear" w:color="auto" w:fill="7B1D1D"/>
            <w:vAlign w:val="center"/>
          </w:tcPr>
          <w:p>
            <w:pPr>
              <w:pStyle w:val="BECCell"/>
            </w:pPr>
            <w:r>
              <w:rPr>
                <w:b/>
                <w:color w:val="FFFFFF"/>
              </w:rPr>
              <w:t xml:space="preserve">Validation status</w:t>
            </w:r>
          </w:p>
        </w:tc>
      </w:tr>
      <w:tr>
        <w:trPr>
          <w:cantSplit/>
        </w:trPr>
        <w:tc>
          <w:tcPr>
            <w:tcW w:w="545" w:type="dxa"/>
            <w:vAlign w:val="center"/>
          </w:tcPr>
          <w:p>
            <w:pPr>
              <w:pStyle w:val="BECCell"/>
            </w:pPr>
            <w:r>
              <w:t xml:space="preserve">A1</w:t>
            </w:r>
          </w:p>
        </w:tc>
        <w:tc>
          <w:tcPr>
            <w:tcW w:w="3362" w:type="dxa"/>
            <w:vAlign w:val="center"/>
          </w:tcPr>
          <w:p>
            <w:pPr>
              <w:pStyle w:val="BECCell"/>
            </w:pPr>
            <w:r>
              <w:t xml:space="preserve">Campus population</w:t>
            </w:r>
          </w:p>
        </w:tc>
        <w:tc>
          <w:tcPr>
            <w:tcW w:w="909" w:type="dxa"/>
            <w:vAlign w:val="center"/>
          </w:tcPr>
          <w:p>
            <w:pPr>
              <w:pStyle w:val="BECCell"/>
              <w:jc w:val="right"/>
            </w:pPr>
            <w:r>
              <w:t xml:space="preserve">5,000</w:t>
            </w:r>
          </w:p>
        </w:tc>
        <w:tc>
          <w:tcPr>
            <w:tcW w:w="2817" w:type="dxa"/>
            <w:vAlign w:val="center"/>
          </w:tcPr>
          <w:p>
            <w:pPr>
              <w:pStyle w:val="BECCell"/>
            </w:pPr>
            <w:r>
              <w:t xml:space="preserve">Institutional</w:t>
            </w:r>
          </w:p>
        </w:tc>
        <w:tc>
          <w:tcPr>
            <w:tcW w:w="1727" w:type="dxa"/>
            <w:vAlign w:val="center"/>
          </w:tcPr>
          <w:p>
            <w:pPr>
              <w:pStyle w:val="BECCell"/>
            </w:pPr>
            <w:r>
              <w:t xml:space="preserve">Estimated</w:t>
            </w:r>
          </w:p>
        </w:tc>
      </w:tr>
      <w:tr>
        <w:trPr>
          <w:cantSplit/>
        </w:trPr>
        <w:tc>
          <w:tcPr>
            <w:tcW w:w="545" w:type="dxa"/>
            <w:shd w:val="clear" w:color="auto" w:fill="F4F1EA"/>
            <w:vAlign w:val="center"/>
          </w:tcPr>
          <w:p>
            <w:pPr>
              <w:pStyle w:val="BECCell"/>
            </w:pPr>
            <w:r>
              <w:t xml:space="preserve">A2</w:t>
            </w:r>
          </w:p>
        </w:tc>
        <w:tc>
          <w:tcPr>
            <w:tcW w:w="3362" w:type="dxa"/>
            <w:shd w:val="clear" w:color="auto" w:fill="F4F1EA"/>
            <w:vAlign w:val="center"/>
          </w:tcPr>
          <w:p>
            <w:pPr>
              <w:pStyle w:val="BECCell"/>
            </w:pPr>
            <w:r>
              <w:t xml:space="preserve">Annual report volume</w:t>
            </w:r>
          </w:p>
        </w:tc>
        <w:tc>
          <w:tcPr>
            <w:tcW w:w="909" w:type="dxa"/>
            <w:shd w:val="clear" w:color="auto" w:fill="F4F1EA"/>
            <w:vAlign w:val="center"/>
          </w:tcPr>
          <w:p>
            <w:pPr>
              <w:pStyle w:val="BECCell"/>
              <w:jc w:val="right"/>
            </w:pPr>
            <w:r>
              <w:t xml:space="preserve">1,200</w:t>
            </w:r>
          </w:p>
        </w:tc>
        <w:tc>
          <w:tcPr>
            <w:tcW w:w="2817" w:type="dxa"/>
            <w:shd w:val="clear" w:color="auto" w:fill="F4F1EA"/>
            <w:vAlign w:val="center"/>
          </w:tcPr>
          <w:p>
            <w:pPr>
              <w:pStyle w:val="BECCell"/>
            </w:pPr>
            <w:r>
              <w:t xml:space="preserve">Estimated</w:t>
            </w:r>
          </w:p>
        </w:tc>
        <w:tc>
          <w:tcPr>
            <w:tcW w:w="1727" w:type="dxa"/>
            <w:shd w:val="clear" w:color="auto" w:fill="F4F1EA"/>
            <w:vAlign w:val="center"/>
          </w:tcPr>
          <w:p>
            <w:pPr>
              <w:pStyle w:val="BECCell"/>
            </w:pPr>
            <w:r>
              <w:rPr>
                <w:b/>
              </w:rPr>
              <w:t xml:space="preserve">Requires validation</w:t>
            </w:r>
          </w:p>
        </w:tc>
      </w:tr>
      <w:tr>
        <w:trPr>
          <w:cantSplit/>
        </w:trPr>
        <w:tc>
          <w:tcPr>
            <w:tcW w:w="545" w:type="dxa"/>
            <w:vAlign w:val="center"/>
          </w:tcPr>
          <w:p>
            <w:pPr>
              <w:pStyle w:val="BECCell"/>
            </w:pPr>
            <w:r>
              <w:t xml:space="preserve">A3</w:t>
            </w:r>
          </w:p>
        </w:tc>
        <w:tc>
          <w:tcPr>
            <w:tcW w:w="3362" w:type="dxa"/>
            <w:vAlign w:val="center"/>
          </w:tcPr>
          <w:p>
            <w:pPr>
              <w:pStyle w:val="BECCell"/>
            </w:pPr>
            <w:r>
              <w:t xml:space="preserve">PMO complement</w:t>
            </w:r>
          </w:p>
        </w:tc>
        <w:tc>
          <w:tcPr>
            <w:tcW w:w="909" w:type="dxa"/>
            <w:vAlign w:val="center"/>
          </w:tcPr>
          <w:p>
            <w:pPr>
              <w:pStyle w:val="BECCell"/>
              <w:jc w:val="right"/>
            </w:pPr>
            <w:r>
              <w:t xml:space="preserve">5 persons</w:t>
            </w:r>
          </w:p>
        </w:tc>
        <w:tc>
          <w:tcPr>
            <w:tcW w:w="2817" w:type="dxa"/>
            <w:vAlign w:val="center"/>
          </w:tcPr>
          <w:p>
            <w:pPr>
              <w:pStyle w:val="BECCell"/>
            </w:pPr>
            <w:r>
              <w:t xml:space="preserve">Institutional</w:t>
            </w:r>
          </w:p>
        </w:tc>
        <w:tc>
          <w:tcPr>
            <w:tcW w:w="1727" w:type="dxa"/>
            <w:vAlign w:val="center"/>
          </w:tcPr>
          <w:p>
            <w:pPr>
              <w:pStyle w:val="BECCell"/>
            </w:pPr>
            <w:r>
              <w:t xml:space="preserve">Estimated</w:t>
            </w:r>
          </w:p>
        </w:tc>
      </w:tr>
      <w:tr>
        <w:trPr>
          <w:cantSplit/>
        </w:trPr>
        <w:tc>
          <w:tcPr>
            <w:tcW w:w="545" w:type="dxa"/>
            <w:shd w:val="clear" w:color="auto" w:fill="F4F1EA"/>
            <w:vAlign w:val="center"/>
          </w:tcPr>
          <w:p>
            <w:pPr>
              <w:pStyle w:val="BECCell"/>
            </w:pPr>
            <w:r>
              <w:t xml:space="preserve">A4</w:t>
            </w:r>
          </w:p>
        </w:tc>
        <w:tc>
          <w:tcPr>
            <w:tcW w:w="3362" w:type="dxa"/>
            <w:shd w:val="clear" w:color="auto" w:fill="F4F1EA"/>
            <w:vAlign w:val="center"/>
          </w:tcPr>
          <w:p>
            <w:pPr>
              <w:pStyle w:val="BECCell"/>
            </w:pPr>
            <w:r>
              <w:t xml:space="preserve">Annual repair/replacement expenditure</w:t>
            </w:r>
          </w:p>
        </w:tc>
        <w:tc>
          <w:tcPr>
            <w:tcW w:w="909" w:type="dxa"/>
            <w:shd w:val="clear" w:color="auto" w:fill="F4F1EA"/>
            <w:vAlign w:val="center"/>
          </w:tcPr>
          <w:p>
            <w:pPr>
              <w:pStyle w:val="BECCell"/>
              <w:jc w:val="right"/>
            </w:pPr>
            <w:r>
              <w:t xml:space="preserve">₱1,200,000</w:t>
            </w:r>
          </w:p>
        </w:tc>
        <w:tc>
          <w:tcPr>
            <w:tcW w:w="2817" w:type="dxa"/>
            <w:shd w:val="clear" w:color="auto" w:fill="F4F1EA"/>
            <w:vAlign w:val="center"/>
          </w:tcPr>
          <w:p>
            <w:pPr>
              <w:pStyle w:val="BECCell"/>
            </w:pPr>
            <w:r>
              <w:t xml:space="preserve">Estimated</w:t>
            </w:r>
          </w:p>
        </w:tc>
        <w:tc>
          <w:tcPr>
            <w:tcW w:w="1727" w:type="dxa"/>
            <w:shd w:val="clear" w:color="auto" w:fill="F4F1EA"/>
            <w:vAlign w:val="center"/>
          </w:tcPr>
          <w:p>
            <w:pPr>
              <w:pStyle w:val="BECCell"/>
            </w:pPr>
            <w:r>
              <w:rPr>
                <w:b/>
              </w:rPr>
              <w:t xml:space="preserve">Requires validation</w:t>
            </w:r>
          </w:p>
        </w:tc>
      </w:tr>
      <w:tr>
        <w:trPr>
          <w:cantSplit/>
        </w:trPr>
        <w:tc>
          <w:tcPr>
            <w:tcW w:w="545" w:type="dxa"/>
            <w:vAlign w:val="center"/>
          </w:tcPr>
          <w:p>
            <w:pPr>
              <w:pStyle w:val="BECCell"/>
            </w:pPr>
            <w:r>
              <w:t xml:space="preserve">A5</w:t>
            </w:r>
          </w:p>
        </w:tc>
        <w:tc>
          <w:tcPr>
            <w:tcW w:w="3362" w:type="dxa"/>
            <w:vAlign w:val="center"/>
          </w:tcPr>
          <w:p>
            <w:pPr>
              <w:pStyle w:val="BECCell"/>
            </w:pPr>
            <w:r>
              <w:t xml:space="preserve">Evaluation horizon</w:t>
            </w:r>
          </w:p>
        </w:tc>
        <w:tc>
          <w:tcPr>
            <w:tcW w:w="909" w:type="dxa"/>
            <w:vAlign w:val="center"/>
          </w:tcPr>
          <w:p>
            <w:pPr>
              <w:pStyle w:val="BECCell"/>
              <w:jc w:val="right"/>
            </w:pPr>
            <w:r>
              <w:t xml:space="preserve">5 years</w:t>
            </w:r>
          </w:p>
        </w:tc>
        <w:tc>
          <w:tcPr>
            <w:tcW w:w="2817" w:type="dxa"/>
            <w:vAlign w:val="center"/>
          </w:tcPr>
          <w:p>
            <w:pPr>
              <w:pStyle w:val="BECCell"/>
            </w:pPr>
            <w:r>
              <w:t xml:space="preserve">Convention</w:t>
            </w:r>
          </w:p>
        </w:tc>
        <w:tc>
          <w:tcPr>
            <w:tcW w:w="1727" w:type="dxa"/>
            <w:vAlign w:val="center"/>
          </w:tcPr>
          <w:p>
            <w:pPr>
              <w:pStyle w:val="BECCell"/>
            </w:pPr>
            <w:r>
              <w:t xml:space="preserve">Fixed</w:t>
            </w:r>
          </w:p>
        </w:tc>
      </w:tr>
      <w:tr>
        <w:trPr>
          <w:cantSplit/>
        </w:trPr>
        <w:tc>
          <w:tcPr>
            <w:tcW w:w="545" w:type="dxa"/>
            <w:shd w:val="clear" w:color="auto" w:fill="F4F1EA"/>
            <w:vAlign w:val="center"/>
          </w:tcPr>
          <w:p>
            <w:pPr>
              <w:pStyle w:val="BECCell"/>
            </w:pPr>
            <w:r>
              <w:t xml:space="preserve">L1</w:t>
            </w:r>
          </w:p>
        </w:tc>
        <w:tc>
          <w:tcPr>
            <w:tcW w:w="3362" w:type="dxa"/>
            <w:shd w:val="clear" w:color="auto" w:fill="F4F1EA"/>
            <w:vAlign w:val="center"/>
          </w:tcPr>
          <w:p>
            <w:pPr>
              <w:pStyle w:val="BECCell"/>
            </w:pPr>
            <w:r>
              <w:t xml:space="preserve">Reporter hourly rate</w:t>
            </w:r>
          </w:p>
        </w:tc>
        <w:tc>
          <w:tcPr>
            <w:tcW w:w="909" w:type="dxa"/>
            <w:shd w:val="clear" w:color="auto" w:fill="F4F1EA"/>
            <w:vAlign w:val="center"/>
          </w:tcPr>
          <w:p>
            <w:pPr>
              <w:pStyle w:val="BECCell"/>
              <w:jc w:val="right"/>
            </w:pPr>
            <w:r>
              <w:t xml:space="preserve">₱100</w:t>
            </w:r>
          </w:p>
        </w:tc>
        <w:tc>
          <w:tcPr>
            <w:tcW w:w="2817" w:type="dxa"/>
            <w:shd w:val="clear" w:color="auto" w:fill="F4F1EA"/>
            <w:vAlign w:val="center"/>
          </w:tcPr>
          <w:p>
            <w:pPr>
              <w:pStyle w:val="BECCell"/>
            </w:pPr>
            <w:r>
              <w:t xml:space="preserve">NWPC shadow price</w:t>
            </w:r>
          </w:p>
        </w:tc>
        <w:tc>
          <w:tcPr>
            <w:tcW w:w="1727" w:type="dxa"/>
            <w:shd w:val="clear" w:color="auto" w:fill="F4F1EA"/>
            <w:vAlign w:val="center"/>
          </w:tcPr>
          <w:p>
            <w:pPr>
              <w:pStyle w:val="BECCell"/>
            </w:pPr>
            <w:r>
              <w:t xml:space="preserve">Judgment</w:t>
            </w:r>
          </w:p>
        </w:tc>
      </w:tr>
      <w:tr>
        <w:trPr>
          <w:cantSplit/>
        </w:trPr>
        <w:tc>
          <w:tcPr>
            <w:tcW w:w="545" w:type="dxa"/>
            <w:vAlign w:val="center"/>
          </w:tcPr>
          <w:p>
            <w:pPr>
              <w:pStyle w:val="BECCell"/>
            </w:pPr>
            <w:r>
              <w:t xml:space="preserve">L2</w:t>
            </w:r>
          </w:p>
        </w:tc>
        <w:tc>
          <w:tcPr>
            <w:tcW w:w="3362" w:type="dxa"/>
            <w:vAlign w:val="center"/>
          </w:tcPr>
          <w:p>
            <w:pPr>
              <w:pStyle w:val="BECCell"/>
            </w:pPr>
            <w:r>
              <w:t xml:space="preserve">PMO staff hourly rate</w:t>
            </w:r>
          </w:p>
        </w:tc>
        <w:tc>
          <w:tcPr>
            <w:tcW w:w="909" w:type="dxa"/>
            <w:vAlign w:val="center"/>
          </w:tcPr>
          <w:p>
            <w:pPr>
              <w:pStyle w:val="BECCell"/>
              <w:jc w:val="right"/>
            </w:pPr>
            <w:r>
              <w:t xml:space="preserve">₱115</w:t>
            </w:r>
          </w:p>
        </w:tc>
        <w:tc>
          <w:tcPr>
            <w:tcW w:w="2817" w:type="dxa"/>
            <w:vAlign w:val="center"/>
          </w:tcPr>
          <w:p>
            <w:pPr>
              <w:pStyle w:val="BECCell"/>
            </w:pPr>
            <w:r>
              <w:t xml:space="preserve">ERI SalaryExpert</w:t>
            </w:r>
          </w:p>
        </w:tc>
        <w:tc>
          <w:tcPr>
            <w:tcW w:w="1727" w:type="dxa"/>
            <w:vAlign w:val="center"/>
          </w:tcPr>
          <w:p>
            <w:pPr>
              <w:pStyle w:val="BECCell"/>
            </w:pPr>
            <w:r>
              <w:t xml:space="preserve">Benchmarked</w:t>
            </w:r>
          </w:p>
        </w:tc>
      </w:tr>
      <w:tr>
        <w:trPr>
          <w:cantSplit/>
        </w:trPr>
        <w:tc>
          <w:tcPr>
            <w:tcW w:w="545" w:type="dxa"/>
            <w:shd w:val="clear" w:color="auto" w:fill="F4F1EA"/>
            <w:vAlign w:val="center"/>
          </w:tcPr>
          <w:p>
            <w:pPr>
              <w:pStyle w:val="BECCell"/>
            </w:pPr>
            <w:r>
              <w:t xml:space="preserve">L3</w:t>
            </w:r>
          </w:p>
        </w:tc>
        <w:tc>
          <w:tcPr>
            <w:tcW w:w="3362" w:type="dxa"/>
            <w:shd w:val="clear" w:color="auto" w:fill="F4F1EA"/>
            <w:vAlign w:val="center"/>
          </w:tcPr>
          <w:p>
            <w:pPr>
              <w:pStyle w:val="BECCell"/>
            </w:pPr>
            <w:r>
              <w:t xml:space="preserve">Technician hourly rate</w:t>
            </w:r>
          </w:p>
        </w:tc>
        <w:tc>
          <w:tcPr>
            <w:tcW w:w="909" w:type="dxa"/>
            <w:shd w:val="clear" w:color="auto" w:fill="F4F1EA"/>
            <w:vAlign w:val="center"/>
          </w:tcPr>
          <w:p>
            <w:pPr>
              <w:pStyle w:val="BECCell"/>
              <w:jc w:val="right"/>
            </w:pPr>
            <w:r>
              <w:t xml:space="preserve">₱90</w:t>
            </w:r>
          </w:p>
        </w:tc>
        <w:tc>
          <w:tcPr>
            <w:tcW w:w="2817" w:type="dxa"/>
            <w:shd w:val="clear" w:color="auto" w:fill="F4F1EA"/>
            <w:vAlign w:val="center"/>
          </w:tcPr>
          <w:p>
            <w:pPr>
              <w:pStyle w:val="BECCell"/>
            </w:pPr>
            <w:r>
              <w:t xml:space="preserve">NWPC + benefits</w:t>
            </w:r>
          </w:p>
        </w:tc>
        <w:tc>
          <w:tcPr>
            <w:tcW w:w="1727" w:type="dxa"/>
            <w:shd w:val="clear" w:color="auto" w:fill="F4F1EA"/>
            <w:vAlign w:val="center"/>
          </w:tcPr>
          <w:p>
            <w:pPr>
              <w:pStyle w:val="BECCell"/>
            </w:pPr>
            <w:r>
              <w:t xml:space="preserve">Benchmarked</w:t>
            </w:r>
          </w:p>
        </w:tc>
      </w:tr>
      <w:tr>
        <w:trPr>
          <w:cantSplit/>
        </w:trPr>
        <w:tc>
          <w:tcPr>
            <w:tcW w:w="545" w:type="dxa"/>
            <w:vAlign w:val="center"/>
          </w:tcPr>
          <w:p>
            <w:pPr>
              <w:pStyle w:val="BECCell"/>
            </w:pPr>
            <w:r>
              <w:t xml:space="preserve">L4</w:t>
            </w:r>
          </w:p>
        </w:tc>
        <w:tc>
          <w:tcPr>
            <w:tcW w:w="3362" w:type="dxa"/>
            <w:vAlign w:val="center"/>
          </w:tcPr>
          <w:p>
            <w:pPr>
              <w:pStyle w:val="BECCell"/>
            </w:pPr>
            <w:r>
              <w:t xml:space="preserve">Developer hourly rate</w:t>
            </w:r>
          </w:p>
        </w:tc>
        <w:tc>
          <w:tcPr>
            <w:tcW w:w="909" w:type="dxa"/>
            <w:vAlign w:val="center"/>
          </w:tcPr>
          <w:p>
            <w:pPr>
              <w:pStyle w:val="BECCell"/>
              <w:jc w:val="right"/>
            </w:pPr>
            <w:r>
              <w:t xml:space="preserve">₱170</w:t>
            </w:r>
          </w:p>
        </w:tc>
        <w:tc>
          <w:tcPr>
            <w:tcW w:w="2817" w:type="dxa"/>
            <w:vAlign w:val="center"/>
          </w:tcPr>
          <w:p>
            <w:pPr>
              <w:pStyle w:val="BECCell"/>
            </w:pPr>
            <w:r>
              <w:t xml:space="preserve">Indeed / Jobstreet</w:t>
            </w:r>
          </w:p>
        </w:tc>
        <w:tc>
          <w:tcPr>
            <w:tcW w:w="1727" w:type="dxa"/>
            <w:vAlign w:val="center"/>
          </w:tcPr>
          <w:p>
            <w:pPr>
              <w:pStyle w:val="BECCell"/>
            </w:pPr>
            <w:r>
              <w:t xml:space="preserve">Benchmarked</w:t>
            </w:r>
          </w:p>
        </w:tc>
      </w:tr>
      <w:tr>
        <w:trPr>
          <w:cantSplit/>
        </w:trPr>
        <w:tc>
          <w:tcPr>
            <w:tcW w:w="545" w:type="dxa"/>
            <w:shd w:val="clear" w:color="auto" w:fill="F4F1EA"/>
            <w:vAlign w:val="center"/>
          </w:tcPr>
          <w:p>
            <w:pPr>
              <w:pStyle w:val="BECCell"/>
            </w:pPr>
            <w:r>
              <w:t xml:space="preserve">T1</w:t>
            </w:r>
          </w:p>
        </w:tc>
        <w:tc>
          <w:tcPr>
            <w:tcW w:w="3362" w:type="dxa"/>
            <w:shd w:val="clear" w:color="auto" w:fill="F4F1EA"/>
            <w:vAlign w:val="center"/>
          </w:tcPr>
          <w:p>
            <w:pPr>
              <w:pStyle w:val="BECCell"/>
            </w:pPr>
            <w:r>
              <w:t xml:space="preserve">Supabase Pro</w:t>
            </w:r>
          </w:p>
        </w:tc>
        <w:tc>
          <w:tcPr>
            <w:tcW w:w="909" w:type="dxa"/>
            <w:shd w:val="clear" w:color="auto" w:fill="F4F1EA"/>
            <w:vAlign w:val="center"/>
          </w:tcPr>
          <w:p>
            <w:pPr>
              <w:pStyle w:val="BECCell"/>
              <w:jc w:val="right"/>
            </w:pPr>
            <w:r>
              <w:t xml:space="preserve">US$300/yr</w:t>
            </w:r>
          </w:p>
        </w:tc>
        <w:tc>
          <w:tcPr>
            <w:tcW w:w="2817" w:type="dxa"/>
            <w:shd w:val="clear" w:color="auto" w:fill="F4F1EA"/>
            <w:vAlign w:val="center"/>
          </w:tcPr>
          <w:p>
            <w:pPr>
              <w:pStyle w:val="BECCell"/>
            </w:pPr>
            <w:r>
              <w:t xml:space="preserve">Vendor published</w:t>
            </w:r>
          </w:p>
        </w:tc>
        <w:tc>
          <w:tcPr>
            <w:tcW w:w="1727" w:type="dxa"/>
            <w:shd w:val="clear" w:color="auto" w:fill="F4F1EA"/>
            <w:vAlign w:val="center"/>
          </w:tcPr>
          <w:p>
            <w:pPr>
              <w:pStyle w:val="BECCell"/>
            </w:pPr>
            <w:r>
              <w:t xml:space="preserve">Verified</w:t>
            </w:r>
          </w:p>
        </w:tc>
      </w:tr>
      <w:tr>
        <w:trPr>
          <w:cantSplit/>
        </w:trPr>
        <w:tc>
          <w:tcPr>
            <w:tcW w:w="545" w:type="dxa"/>
            <w:vAlign w:val="center"/>
          </w:tcPr>
          <w:p>
            <w:pPr>
              <w:pStyle w:val="BECCell"/>
            </w:pPr>
            <w:r>
              <w:t xml:space="preserve">T2</w:t>
            </w:r>
          </w:p>
        </w:tc>
        <w:tc>
          <w:tcPr>
            <w:tcW w:w="3362" w:type="dxa"/>
            <w:vAlign w:val="center"/>
          </w:tcPr>
          <w:p>
            <w:pPr>
              <w:pStyle w:val="BECCell"/>
            </w:pPr>
            <w:r>
              <w:t xml:space="preserve">VPS hosting</w:t>
            </w:r>
          </w:p>
        </w:tc>
        <w:tc>
          <w:tcPr>
            <w:tcW w:w="909" w:type="dxa"/>
            <w:vAlign w:val="center"/>
          </w:tcPr>
          <w:p>
            <w:pPr>
              <w:pStyle w:val="BECCell"/>
              <w:jc w:val="right"/>
            </w:pPr>
            <w:r>
              <w:t xml:space="preserve">US$72/yr</w:t>
            </w:r>
          </w:p>
        </w:tc>
        <w:tc>
          <w:tcPr>
            <w:tcW w:w="2817" w:type="dxa"/>
            <w:vAlign w:val="center"/>
          </w:tcPr>
          <w:p>
            <w:pPr>
              <w:pStyle w:val="BECCell"/>
            </w:pPr>
            <w:r>
              <w:t xml:space="preserve">Market rate</w:t>
            </w:r>
          </w:p>
        </w:tc>
        <w:tc>
          <w:tcPr>
            <w:tcW w:w="1727" w:type="dxa"/>
            <w:vAlign w:val="center"/>
          </w:tcPr>
          <w:p>
            <w:pPr>
              <w:pStyle w:val="BECCell"/>
            </w:pPr>
            <w:r>
              <w:t xml:space="preserve">Estimated</w:t>
            </w:r>
          </w:p>
        </w:tc>
      </w:tr>
      <w:tr>
        <w:trPr>
          <w:cantSplit/>
        </w:trPr>
        <w:tc>
          <w:tcPr>
            <w:tcW w:w="545" w:type="dxa"/>
            <w:shd w:val="clear" w:color="auto" w:fill="F4F1EA"/>
            <w:vAlign w:val="center"/>
          </w:tcPr>
          <w:p>
            <w:pPr>
              <w:pStyle w:val="BECCell"/>
            </w:pPr>
            <w:r>
              <w:t xml:space="preserve">T3</w:t>
            </w:r>
          </w:p>
        </w:tc>
        <w:tc>
          <w:tcPr>
            <w:tcW w:w="3362" w:type="dxa"/>
            <w:shd w:val="clear" w:color="auto" w:fill="F4F1EA"/>
            <w:vAlign w:val="center"/>
          </w:tcPr>
          <w:p>
            <w:pPr>
              <w:pStyle w:val="BECCell"/>
            </w:pPr>
            <w:r>
              <w:t xml:space="preserve">Domain</w:t>
            </w:r>
          </w:p>
        </w:tc>
        <w:tc>
          <w:tcPr>
            <w:tcW w:w="909" w:type="dxa"/>
            <w:shd w:val="clear" w:color="auto" w:fill="F4F1EA"/>
            <w:vAlign w:val="center"/>
          </w:tcPr>
          <w:p>
            <w:pPr>
              <w:pStyle w:val="BECCell"/>
              <w:jc w:val="right"/>
            </w:pPr>
            <w:r>
              <w:t xml:space="preserve">₱900/yr</w:t>
            </w:r>
          </w:p>
        </w:tc>
        <w:tc>
          <w:tcPr>
            <w:tcW w:w="2817" w:type="dxa"/>
            <w:shd w:val="clear" w:color="auto" w:fill="F4F1EA"/>
            <w:vAlign w:val="center"/>
          </w:tcPr>
          <w:p>
            <w:pPr>
              <w:pStyle w:val="BECCell"/>
            </w:pPr>
            <w:r>
              <w:t xml:space="preserve">Market rate</w:t>
            </w:r>
          </w:p>
        </w:tc>
        <w:tc>
          <w:tcPr>
            <w:tcW w:w="1727" w:type="dxa"/>
            <w:shd w:val="clear" w:color="auto" w:fill="F4F1EA"/>
            <w:vAlign w:val="center"/>
          </w:tcPr>
          <w:p>
            <w:pPr>
              <w:pStyle w:val="BECCell"/>
            </w:pPr>
            <w:r>
              <w:t xml:space="preserve">Estimated</w:t>
            </w:r>
          </w:p>
        </w:tc>
      </w:tr>
      <w:tr>
        <w:trPr>
          <w:cantSplit/>
        </w:trPr>
        <w:tc>
          <w:tcPr>
            <w:tcW w:w="545" w:type="dxa"/>
            <w:vAlign w:val="center"/>
          </w:tcPr>
          <w:p>
            <w:pPr>
              <w:pStyle w:val="BECCell"/>
            </w:pPr>
            <w:r>
              <w:t xml:space="preserve">T4–T5</w:t>
            </w:r>
          </w:p>
        </w:tc>
        <w:tc>
          <w:tcPr>
            <w:tcW w:w="3362" w:type="dxa"/>
            <w:vAlign w:val="center"/>
          </w:tcPr>
          <w:p>
            <w:pPr>
              <w:pStyle w:val="BECCell"/>
            </w:pPr>
            <w:r>
              <w:t xml:space="preserve">Claude API (Haiku 4.5)</w:t>
            </w:r>
          </w:p>
        </w:tc>
        <w:tc>
          <w:tcPr>
            <w:tcW w:w="909" w:type="dxa"/>
            <w:vAlign w:val="center"/>
          </w:tcPr>
          <w:p>
            <w:pPr>
              <w:pStyle w:val="BECCell"/>
              <w:jc w:val="right"/>
            </w:pPr>
            <w:r>
              <w:t xml:space="preserve">US$45/yr</w:t>
            </w:r>
          </w:p>
        </w:tc>
        <w:tc>
          <w:tcPr>
            <w:tcW w:w="2817" w:type="dxa"/>
            <w:vAlign w:val="center"/>
          </w:tcPr>
          <w:p>
            <w:pPr>
              <w:pStyle w:val="BECCell"/>
            </w:pPr>
            <w:r>
              <w:t xml:space="preserve">Vendor pricing × usage estimate</w:t>
            </w:r>
          </w:p>
        </w:tc>
        <w:tc>
          <w:tcPr>
            <w:tcW w:w="1727" w:type="dxa"/>
            <w:vAlign w:val="center"/>
          </w:tcPr>
          <w:p>
            <w:pPr>
              <w:pStyle w:val="BECCell"/>
            </w:pPr>
            <w:r>
              <w:t xml:space="preserve">Estimated</w:t>
            </w:r>
          </w:p>
        </w:tc>
      </w:tr>
      <w:tr>
        <w:trPr>
          <w:cantSplit/>
        </w:trPr>
        <w:tc>
          <w:tcPr>
            <w:tcW w:w="545" w:type="dxa"/>
            <w:shd w:val="clear" w:color="auto" w:fill="F4F1EA"/>
            <w:vAlign w:val="center"/>
          </w:tcPr>
          <w:p>
            <w:pPr>
              <w:pStyle w:val="BECCell"/>
            </w:pPr>
            <w:r>
              <w:t xml:space="preserve">T6</w:t>
            </w:r>
          </w:p>
        </w:tc>
        <w:tc>
          <w:tcPr>
            <w:tcW w:w="3362" w:type="dxa"/>
            <w:shd w:val="clear" w:color="auto" w:fill="F4F1EA"/>
            <w:vAlign w:val="center"/>
          </w:tcPr>
          <w:p>
            <w:pPr>
              <w:pStyle w:val="BECCell"/>
            </w:pPr>
            <w:r>
              <w:t xml:space="preserve">USD–PHP rate</w:t>
            </w:r>
          </w:p>
        </w:tc>
        <w:tc>
          <w:tcPr>
            <w:tcW w:w="909" w:type="dxa"/>
            <w:shd w:val="clear" w:color="auto" w:fill="F4F1EA"/>
            <w:vAlign w:val="center"/>
          </w:tcPr>
          <w:p>
            <w:pPr>
              <w:pStyle w:val="BECCell"/>
              <w:jc w:val="right"/>
            </w:pPr>
            <w:r>
              <w:t xml:space="preserve">₱61.02</w:t>
            </w:r>
          </w:p>
        </w:tc>
        <w:tc>
          <w:tcPr>
            <w:tcW w:w="2817" w:type="dxa"/>
            <w:shd w:val="clear" w:color="auto" w:fill="F4F1EA"/>
            <w:vAlign w:val="center"/>
          </w:tcPr>
          <w:p>
            <w:pPr>
              <w:pStyle w:val="BECCell"/>
            </w:pPr>
            <w:r>
              <w:t xml:space="preserve">Exchange-Rates.org</w:t>
            </w:r>
          </w:p>
        </w:tc>
        <w:tc>
          <w:tcPr>
            <w:tcW w:w="1727" w:type="dxa"/>
            <w:shd w:val="clear" w:color="auto" w:fill="F4F1EA"/>
            <w:vAlign w:val="center"/>
          </w:tcPr>
          <w:p>
            <w:pPr>
              <w:pStyle w:val="BECCell"/>
            </w:pPr>
            <w:r>
              <w:t xml:space="preserve">Verified</w:t>
            </w:r>
          </w:p>
        </w:tc>
      </w:tr>
      <w:tr>
        <w:trPr>
          <w:cantSplit/>
        </w:trPr>
        <w:tc>
          <w:tcPr>
            <w:tcW w:w="545" w:type="dxa"/>
            <w:vAlign w:val="center"/>
          </w:tcPr>
          <w:p>
            <w:pPr>
              <w:pStyle w:val="BECCell"/>
            </w:pPr>
            <w:r>
              <w:t xml:space="preserve">P1</w:t>
            </w:r>
          </w:p>
        </w:tc>
        <w:tc>
          <w:tcPr>
            <w:tcW w:w="3362" w:type="dxa"/>
            <w:vAlign w:val="center"/>
          </w:tcPr>
          <w:p>
            <w:pPr>
              <w:pStyle w:val="BECCell"/>
            </w:pPr>
            <w:r>
              <w:t xml:space="preserve">Reporter minutes saved/report</w:t>
            </w:r>
          </w:p>
        </w:tc>
        <w:tc>
          <w:tcPr>
            <w:tcW w:w="909" w:type="dxa"/>
            <w:vAlign w:val="center"/>
          </w:tcPr>
          <w:p>
            <w:pPr>
              <w:pStyle w:val="BECCell"/>
              <w:jc w:val="right"/>
            </w:pPr>
            <w:r>
              <w:t xml:space="preserve">20</w:t>
            </w:r>
          </w:p>
        </w:tc>
        <w:tc>
          <w:tcPr>
            <w:tcW w:w="2817" w:type="dxa"/>
            <w:vAlign w:val="center"/>
          </w:tcPr>
          <w:p>
            <w:pPr>
              <w:pStyle w:val="BECCell"/>
            </w:pPr>
            <w:r>
              <w:t xml:space="preserve">Engineering estimate</w:t>
            </w:r>
          </w:p>
        </w:tc>
        <w:tc>
          <w:tcPr>
            <w:tcW w:w="1727" w:type="dxa"/>
            <w:vAlign w:val="center"/>
          </w:tcPr>
          <w:p>
            <w:pPr>
              <w:pStyle w:val="BECCell"/>
            </w:pPr>
            <w:r>
              <w:rPr>
                <w:b/>
              </w:rPr>
              <w:t xml:space="preserve">Requires validation</w:t>
            </w:r>
          </w:p>
        </w:tc>
      </w:tr>
      <w:tr>
        <w:trPr>
          <w:cantSplit/>
        </w:trPr>
        <w:tc>
          <w:tcPr>
            <w:tcW w:w="545" w:type="dxa"/>
            <w:shd w:val="clear" w:color="auto" w:fill="F4F1EA"/>
            <w:vAlign w:val="center"/>
          </w:tcPr>
          <w:p>
            <w:pPr>
              <w:pStyle w:val="BECCell"/>
            </w:pPr>
            <w:r>
              <w:t xml:space="preserve">P2</w:t>
            </w:r>
          </w:p>
        </w:tc>
        <w:tc>
          <w:tcPr>
            <w:tcW w:w="3362" w:type="dxa"/>
            <w:shd w:val="clear" w:color="auto" w:fill="F4F1EA"/>
            <w:vAlign w:val="center"/>
          </w:tcPr>
          <w:p>
            <w:pPr>
              <w:pStyle w:val="BECCell"/>
            </w:pPr>
            <w:r>
              <w:t xml:space="preserve">PMO minutes saved/report</w:t>
            </w:r>
          </w:p>
        </w:tc>
        <w:tc>
          <w:tcPr>
            <w:tcW w:w="909" w:type="dxa"/>
            <w:shd w:val="clear" w:color="auto" w:fill="F4F1EA"/>
            <w:vAlign w:val="center"/>
          </w:tcPr>
          <w:p>
            <w:pPr>
              <w:pStyle w:val="BECCell"/>
              <w:jc w:val="right"/>
            </w:pPr>
            <w:r>
              <w:t xml:space="preserve">15</w:t>
            </w:r>
          </w:p>
        </w:tc>
        <w:tc>
          <w:tcPr>
            <w:tcW w:w="2817" w:type="dxa"/>
            <w:shd w:val="clear" w:color="auto" w:fill="F4F1EA"/>
            <w:vAlign w:val="center"/>
          </w:tcPr>
          <w:p>
            <w:pPr>
              <w:pStyle w:val="BECCell"/>
            </w:pPr>
            <w:r>
              <w:t xml:space="preserve">Engineering estimate</w:t>
            </w:r>
          </w:p>
        </w:tc>
        <w:tc>
          <w:tcPr>
            <w:tcW w:w="1727" w:type="dxa"/>
            <w:shd w:val="clear" w:color="auto" w:fill="F4F1EA"/>
            <w:vAlign w:val="center"/>
          </w:tcPr>
          <w:p>
            <w:pPr>
              <w:pStyle w:val="BECCell"/>
            </w:pPr>
            <w:r>
              <w:rPr>
                <w:b/>
              </w:rPr>
              <w:t xml:space="preserve">Requires validation</w:t>
            </w:r>
          </w:p>
        </w:tc>
      </w:tr>
      <w:tr>
        <w:trPr>
          <w:cantSplit/>
        </w:trPr>
        <w:tc>
          <w:tcPr>
            <w:tcW w:w="545" w:type="dxa"/>
            <w:vAlign w:val="center"/>
          </w:tcPr>
          <w:p>
            <w:pPr>
              <w:pStyle w:val="BECCell"/>
            </w:pPr>
            <w:r>
              <w:t xml:space="preserve">P3</w:t>
            </w:r>
          </w:p>
        </w:tc>
        <w:tc>
          <w:tcPr>
            <w:tcW w:w="3362" w:type="dxa"/>
            <w:vAlign w:val="center"/>
          </w:tcPr>
          <w:p>
            <w:pPr>
              <w:pStyle w:val="BECCell"/>
            </w:pPr>
            <w:r>
              <w:t xml:space="preserve">Report-compilation hours saved/month</w:t>
            </w:r>
          </w:p>
        </w:tc>
        <w:tc>
          <w:tcPr>
            <w:tcW w:w="909" w:type="dxa"/>
            <w:vAlign w:val="center"/>
          </w:tcPr>
          <w:p>
            <w:pPr>
              <w:pStyle w:val="BECCell"/>
              <w:jc w:val="right"/>
            </w:pPr>
            <w:r>
              <w:t xml:space="preserve">7</w:t>
            </w:r>
          </w:p>
        </w:tc>
        <w:tc>
          <w:tcPr>
            <w:tcW w:w="2817" w:type="dxa"/>
            <w:vAlign w:val="center"/>
          </w:tcPr>
          <w:p>
            <w:pPr>
              <w:pStyle w:val="BECCell"/>
            </w:pPr>
            <w:r>
              <w:t xml:space="preserve">Engineering estimate</w:t>
            </w:r>
          </w:p>
        </w:tc>
        <w:tc>
          <w:tcPr>
            <w:tcW w:w="1727" w:type="dxa"/>
            <w:vAlign w:val="center"/>
          </w:tcPr>
          <w:p>
            <w:pPr>
              <w:pStyle w:val="BECCell"/>
            </w:pPr>
            <w:r>
              <w:t xml:space="preserve">Estimated</w:t>
            </w:r>
          </w:p>
        </w:tc>
      </w:tr>
      <w:tr>
        <w:trPr>
          <w:cantSplit/>
        </w:trPr>
        <w:tc>
          <w:tcPr>
            <w:tcW w:w="545" w:type="dxa"/>
            <w:shd w:val="clear" w:color="auto" w:fill="F4F1EA"/>
            <w:vAlign w:val="center"/>
          </w:tcPr>
          <w:p>
            <w:pPr>
              <w:pStyle w:val="BECCell"/>
            </w:pPr>
            <w:r>
              <w:t xml:space="preserve">P4</w:t>
            </w:r>
          </w:p>
        </w:tc>
        <w:tc>
          <w:tcPr>
            <w:tcW w:w="3362" w:type="dxa"/>
            <w:shd w:val="clear" w:color="auto" w:fill="F4F1EA"/>
            <w:vAlign w:val="center"/>
          </w:tcPr>
          <w:p>
            <w:pPr>
              <w:pStyle w:val="BECCell"/>
            </w:pPr>
            <w:r>
              <w:t xml:space="preserve">Repeat-visit avoidance rate</w:t>
            </w:r>
          </w:p>
        </w:tc>
        <w:tc>
          <w:tcPr>
            <w:tcW w:w="909" w:type="dxa"/>
            <w:shd w:val="clear" w:color="auto" w:fill="F4F1EA"/>
            <w:vAlign w:val="center"/>
          </w:tcPr>
          <w:p>
            <w:pPr>
              <w:pStyle w:val="BECCell"/>
              <w:jc w:val="right"/>
            </w:pPr>
            <w:r>
              <w:t xml:space="preserve">12%</w:t>
            </w:r>
          </w:p>
        </w:tc>
        <w:tc>
          <w:tcPr>
            <w:tcW w:w="2817" w:type="dxa"/>
            <w:shd w:val="clear" w:color="auto" w:fill="F4F1EA"/>
            <w:vAlign w:val="center"/>
          </w:tcPr>
          <w:p>
            <w:pPr>
              <w:pStyle w:val="BECCell"/>
            </w:pPr>
            <w:r>
              <w:t xml:space="preserve">Engineering estimate</w:t>
            </w:r>
          </w:p>
        </w:tc>
        <w:tc>
          <w:tcPr>
            <w:tcW w:w="1727" w:type="dxa"/>
            <w:shd w:val="clear" w:color="auto" w:fill="F4F1EA"/>
            <w:vAlign w:val="center"/>
          </w:tcPr>
          <w:p>
            <w:pPr>
              <w:pStyle w:val="BECCell"/>
            </w:pPr>
            <w:r>
              <w:t xml:space="preserve">Estimated</w:t>
            </w:r>
          </w:p>
        </w:tc>
      </w:tr>
      <w:tr>
        <w:trPr>
          <w:cantSplit/>
        </w:trPr>
        <w:tc>
          <w:tcPr>
            <w:tcW w:w="545" w:type="dxa"/>
            <w:vAlign w:val="center"/>
          </w:tcPr>
          <w:p>
            <w:pPr>
              <w:pStyle w:val="BECCell"/>
            </w:pPr>
            <w:r>
              <w:t xml:space="preserve">P5</w:t>
            </w:r>
          </w:p>
        </w:tc>
        <w:tc>
          <w:tcPr>
            <w:tcW w:w="3362" w:type="dxa"/>
            <w:vAlign w:val="center"/>
          </w:tcPr>
          <w:p>
            <w:pPr>
              <w:pStyle w:val="BECCell"/>
            </w:pPr>
            <w:r>
              <w:t xml:space="preserve">Maintenance expenditure reduction</w:t>
            </w:r>
          </w:p>
        </w:tc>
        <w:tc>
          <w:tcPr>
            <w:tcW w:w="909" w:type="dxa"/>
            <w:vAlign w:val="center"/>
          </w:tcPr>
          <w:p>
            <w:pPr>
              <w:pStyle w:val="BECCell"/>
              <w:jc w:val="right"/>
            </w:pPr>
            <w:r>
              <w:t xml:space="preserve">5%</w:t>
            </w:r>
          </w:p>
        </w:tc>
        <w:tc>
          <w:tcPr>
            <w:tcW w:w="2817" w:type="dxa"/>
            <w:vAlign w:val="center"/>
          </w:tcPr>
          <w:p>
            <w:pPr>
              <w:pStyle w:val="BECCell"/>
            </w:pPr>
            <w:r>
              <w:t xml:space="preserve">Literature (haircut applied)</w:t>
            </w:r>
          </w:p>
        </w:tc>
        <w:tc>
          <w:tcPr>
            <w:tcW w:w="1727" w:type="dxa"/>
            <w:vAlign w:val="center"/>
          </w:tcPr>
          <w:p>
            <w:pPr>
              <w:pStyle w:val="BECCell"/>
            </w:pPr>
            <w:r>
              <w:rPr>
                <w:b/>
              </w:rPr>
              <w:t xml:space="preserve">Requires validation</w:t>
            </w:r>
          </w:p>
        </w:tc>
      </w:tr>
      <w:tr>
        <w:trPr>
          <w:cantSplit/>
        </w:trPr>
        <w:tc>
          <w:tcPr>
            <w:tcW w:w="545" w:type="dxa"/>
            <w:shd w:val="clear" w:color="auto" w:fill="F4F1EA"/>
            <w:vAlign w:val="center"/>
          </w:tcPr>
          <w:p>
            <w:pPr>
              <w:pStyle w:val="BECCell"/>
            </w:pPr>
            <w:r>
              <w:t xml:space="preserve">D1</w:t>
            </w:r>
          </w:p>
        </w:tc>
        <w:tc>
          <w:tcPr>
            <w:tcW w:w="3362" w:type="dxa"/>
            <w:shd w:val="clear" w:color="auto" w:fill="F4F1EA"/>
            <w:vAlign w:val="center"/>
          </w:tcPr>
          <w:p>
            <w:pPr>
              <w:pStyle w:val="BECCell"/>
            </w:pPr>
            <w:r>
              <w:t xml:space="preserve">Discount rate</w:t>
            </w:r>
          </w:p>
        </w:tc>
        <w:tc>
          <w:tcPr>
            <w:tcW w:w="909" w:type="dxa"/>
            <w:shd w:val="clear" w:color="auto" w:fill="F4F1EA"/>
            <w:vAlign w:val="center"/>
          </w:tcPr>
          <w:p>
            <w:pPr>
              <w:pStyle w:val="BECCell"/>
              <w:jc w:val="right"/>
            </w:pPr>
            <w:r>
              <w:t xml:space="preserve">10%</w:t>
            </w:r>
          </w:p>
        </w:tc>
        <w:tc>
          <w:tcPr>
            <w:tcW w:w="2817" w:type="dxa"/>
            <w:shd w:val="clear" w:color="auto" w:fill="F4F1EA"/>
            <w:vAlign w:val="center"/>
          </w:tcPr>
          <w:p>
            <w:pPr>
              <w:pStyle w:val="BECCell"/>
            </w:pPr>
            <w:r>
              <w:t xml:space="preserve">NEDA-ICC</w:t>
            </w:r>
          </w:p>
        </w:tc>
        <w:tc>
          <w:tcPr>
            <w:tcW w:w="1727" w:type="dxa"/>
            <w:shd w:val="clear" w:color="auto" w:fill="F4F1EA"/>
            <w:vAlign w:val="center"/>
          </w:tcPr>
          <w:p>
            <w:pPr>
              <w:pStyle w:val="BECCell"/>
            </w:pPr>
            <w:r>
              <w:t xml:space="preserve">Verified</w:t>
            </w:r>
          </w:p>
        </w:tc>
      </w:tr>
    </w:tbl>
    <w:p>
      <w:pPr>
        <w:spacing w:after="0" w:line="120" w:lineRule="exact"/>
      </w:pPr>
    </w:p>
    <w:p>
      <w:pPr>
        <w:pStyle w:val="Heading3"/>
      </w:pPr>
      <w:r>
        <w:t xml:space="preserve">Appendix C — Post-Implementation Data Collection Instrument</w:t>
      </w:r>
    </w:p>
    <w:p>
      <w:pPr>
        <w:pStyle w:val="Normal"/>
      </w:pPr>
      <w:r>
        <w:t xml:space="preserve">To be completed at the six- and twelve-month marks and substituted into §6 to produce the ex-post analysis contemplated by Recommendation R7.</w:t>
      </w:r>
    </w:p>
    <w:p>
      <w:pPr>
        <w:pStyle w:val="Normal"/>
      </w:pPr>
      <w:r>
        <w:rPr>
          <w:b/>
        </w:rPr>
        <w:t xml:space="preserve">C.1 — System-derived data</w:t>
      </w:r>
      <w:r>
        <w:t xml:space="preserve"> (obtainable directly by query; no manual collection required)</w:t>
      </w:r>
    </w:p>
    <w:tbl>
      <w:tblPr>
        <w:tblStyle w:val="BECTable"/>
        <w:tblW w:w="9360" w:type="dxa"/>
        <w:tblLayout w:type="fixed"/>
        <w:tblCellMar>
          <w:top w:w="60" w:type="dxa"/>
          <w:left w:w="90" w:type="dxa"/>
          <w:bottom w:w="60" w:type="dxa"/>
          <w:right w:w="90" w:type="dxa"/>
        </w:tblCellMar>
      </w:tblPr>
      <w:tblGrid>
        <w:gridCol w:w="556"/>
        <w:gridCol w:w="3707"/>
        <w:gridCol w:w="3800"/>
        <w:gridCol w:w="1297"/>
      </w:tblGrid>
      <w:tr>
        <w:trPr>
          <w:tblHeader/>
          <w:cantSplit/>
        </w:trPr>
        <w:tc>
          <w:tcPr>
            <w:tcW w:w="556" w:type="dxa"/>
            <w:shd w:val="clear" w:color="auto" w:fill="7B1D1D"/>
            <w:vAlign w:val="center"/>
          </w:tcPr>
          <w:p>
            <w:pPr>
              <w:pStyle w:val="BECCell"/>
            </w:pPr>
            <w:r>
              <w:rPr>
                <w:b/>
                <w:color w:val="FFFFFF"/>
              </w:rPr>
              <w:t xml:space="preserve">#</w:t>
            </w:r>
          </w:p>
        </w:tc>
        <w:tc>
          <w:tcPr>
            <w:tcW w:w="3707" w:type="dxa"/>
            <w:shd w:val="clear" w:color="auto" w:fill="7B1D1D"/>
            <w:vAlign w:val="center"/>
          </w:tcPr>
          <w:p>
            <w:pPr>
              <w:pStyle w:val="BECCell"/>
            </w:pPr>
            <w:r>
              <w:rPr>
                <w:b/>
                <w:color w:val="FFFFFF"/>
              </w:rPr>
              <w:t xml:space="preserve">Metric</w:t>
            </w:r>
          </w:p>
        </w:tc>
        <w:tc>
          <w:tcPr>
            <w:tcW w:w="3800" w:type="dxa"/>
            <w:shd w:val="clear" w:color="auto" w:fill="7B1D1D"/>
            <w:vAlign w:val="center"/>
          </w:tcPr>
          <w:p>
            <w:pPr>
              <w:pStyle w:val="BECCell"/>
            </w:pPr>
            <w:r>
              <w:rPr>
                <w:b/>
                <w:color w:val="FFFFFF"/>
              </w:rPr>
              <w:t xml:space="preserve">Source</w:t>
            </w:r>
          </w:p>
        </w:tc>
        <w:tc>
          <w:tcPr>
            <w:tcW w:w="1297" w:type="dxa"/>
            <w:shd w:val="clear" w:color="auto" w:fill="7B1D1D"/>
            <w:vAlign w:val="center"/>
          </w:tcPr>
          <w:p>
            <w:pPr>
              <w:pStyle w:val="BECCell"/>
            </w:pPr>
            <w:r>
              <w:rPr>
                <w:b/>
                <w:color w:val="FFFFFF"/>
              </w:rPr>
              <w:t xml:space="preserve">Value observed</w:t>
            </w:r>
          </w:p>
        </w:tc>
      </w:tr>
      <w:tr>
        <w:trPr>
          <w:cantSplit/>
        </w:trPr>
        <w:tc>
          <w:tcPr>
            <w:tcW w:w="556" w:type="dxa"/>
            <w:vAlign w:val="center"/>
          </w:tcPr>
          <w:p>
            <w:pPr>
              <w:pStyle w:val="BECCell"/>
            </w:pPr>
            <w:r>
              <w:t xml:space="preserve">1</w:t>
            </w:r>
          </w:p>
        </w:tc>
        <w:tc>
          <w:tcPr>
            <w:tcW w:w="3707" w:type="dxa"/>
            <w:vAlign w:val="center"/>
          </w:tcPr>
          <w:p>
            <w:pPr>
              <w:pStyle w:val="BECCell"/>
            </w:pPr>
            <w:r>
              <w:t xml:space="preserve">Total reports submitted in period</w:t>
            </w:r>
          </w:p>
        </w:tc>
        <w:tc>
          <w:tcPr>
            <w:tcW w:w="3800" w:type="dxa"/>
            <w:vAlign w:val="center"/>
          </w:tcPr>
          <w:p>
            <w:pPr>
              <w:pStyle w:val="BECCell"/>
            </w:pPr>
            <w:r>
              <w:rPr>
                <w:rFonts w:ascii="Consolas" w:hAnsi="Consolas" w:cs="Consolas"/>
                <w:sz w:val="18"/>
                <w:szCs w:val="18"/>
                <w:shd w:val="clear" w:color="auto" w:fill="F0EDE6"/>
              </w:rPr>
              <w:t xml:space="preserve">defect_reports</w:t>
            </w:r>
            <w:r>
              <w:t xml:space="preserve"> row count by date range</w:t>
            </w:r>
          </w:p>
        </w:tc>
        <w:tc>
          <w:tcPr>
            <w:tcW w:w="1297" w:type="dxa"/>
            <w:vAlign w:val="center"/>
          </w:tcPr>
          <w:p>
            <w:pPr>
              <w:pStyle w:val="BECCell"/>
            </w:pPr>
            <w:r>
              <w:rPr>
                <w:b/>
              </w:rPr>
              <w:t xml:space="preserve">_</w:t>
            </w:r>
            <w:r>
              <w:rPr>
                <w:i/>
              </w:rPr>
              <w:t xml:space="preserve">_</w:t>
            </w:r>
          </w:p>
        </w:tc>
      </w:tr>
      <w:tr>
        <w:trPr>
          <w:cantSplit/>
        </w:trPr>
        <w:tc>
          <w:tcPr>
            <w:tcW w:w="556" w:type="dxa"/>
            <w:shd w:val="clear" w:color="auto" w:fill="F4F1EA"/>
            <w:vAlign w:val="center"/>
          </w:tcPr>
          <w:p>
            <w:pPr>
              <w:pStyle w:val="BECCell"/>
            </w:pPr>
            <w:r>
              <w:t xml:space="preserve">2</w:t>
            </w:r>
          </w:p>
        </w:tc>
        <w:tc>
          <w:tcPr>
            <w:tcW w:w="3707" w:type="dxa"/>
            <w:shd w:val="clear" w:color="auto" w:fill="F4F1EA"/>
            <w:vAlign w:val="center"/>
          </w:tcPr>
          <w:p>
            <w:pPr>
              <w:pStyle w:val="BECCell"/>
            </w:pPr>
            <w:r>
              <w:t xml:space="preserve">Reports by status at period end</w:t>
            </w:r>
          </w:p>
        </w:tc>
        <w:tc>
          <w:tcPr>
            <w:tcW w:w="3800" w:type="dxa"/>
            <w:shd w:val="clear" w:color="auto" w:fill="F4F1EA"/>
            <w:vAlign w:val="center"/>
          </w:tcPr>
          <w:p>
            <w:pPr>
              <w:pStyle w:val="BECCell"/>
            </w:pPr>
            <w:r>
              <w:rPr>
                <w:rFonts w:ascii="Consolas" w:hAnsi="Consolas" w:cs="Consolas"/>
                <w:sz w:val="18"/>
                <w:szCs w:val="18"/>
                <w:shd w:val="clear" w:color="auto" w:fill="F0EDE6"/>
              </w:rPr>
              <w:t xml:space="preserve">defect_reports</w:t>
            </w:r>
            <w:r>
              <w:t xml:space="preserve"> grouped by status</w:t>
            </w:r>
          </w:p>
        </w:tc>
        <w:tc>
          <w:tcPr>
            <w:tcW w:w="1297" w:type="dxa"/>
            <w:shd w:val="clear" w:color="auto" w:fill="F4F1EA"/>
            <w:vAlign w:val="center"/>
          </w:tcPr>
          <w:p>
            <w:pPr>
              <w:pStyle w:val="BECCell"/>
            </w:pPr>
            <w:r>
              <w:rPr>
                <w:b/>
              </w:rPr>
              <w:t xml:space="preserve">_</w:t>
            </w:r>
            <w:r>
              <w:rPr>
                <w:i/>
              </w:rPr>
              <w:t xml:space="preserve">_</w:t>
            </w:r>
          </w:p>
        </w:tc>
      </w:tr>
      <w:tr>
        <w:trPr>
          <w:cantSplit/>
        </w:trPr>
        <w:tc>
          <w:tcPr>
            <w:tcW w:w="556" w:type="dxa"/>
            <w:vAlign w:val="center"/>
          </w:tcPr>
          <w:p>
            <w:pPr>
              <w:pStyle w:val="BECCell"/>
            </w:pPr>
            <w:r>
              <w:t xml:space="preserve">3</w:t>
            </w:r>
          </w:p>
        </w:tc>
        <w:tc>
          <w:tcPr>
            <w:tcW w:w="3707" w:type="dxa"/>
            <w:vAlign w:val="center"/>
          </w:tcPr>
          <w:p>
            <w:pPr>
              <w:pStyle w:val="BECCell"/>
            </w:pPr>
            <w:r>
              <w:t xml:space="preserve">Mean time from submission to PMO receipt</w:t>
            </w:r>
          </w:p>
        </w:tc>
        <w:tc>
          <w:tcPr>
            <w:tcW w:w="3800" w:type="dxa"/>
            <w:vAlign w:val="center"/>
          </w:tcPr>
          <w:p>
            <w:pPr>
              <w:pStyle w:val="BECCell"/>
            </w:pPr>
            <w:r>
              <w:rPr>
                <w:rFonts w:ascii="Consolas" w:hAnsi="Consolas" w:cs="Consolas"/>
                <w:sz w:val="18"/>
                <w:szCs w:val="18"/>
                <w:shd w:val="clear" w:color="auto" w:fill="F0EDE6"/>
              </w:rPr>
              <w:t xml:space="preserve">received_by_pmo_at</w:t>
            </w:r>
            <w:r>
              <w:t xml:space="preserve"> − submission timestamp</w:t>
            </w:r>
          </w:p>
        </w:tc>
        <w:tc>
          <w:tcPr>
            <w:tcW w:w="1297" w:type="dxa"/>
            <w:vAlign w:val="center"/>
          </w:tcPr>
          <w:p>
            <w:pPr>
              <w:pStyle w:val="BECCell"/>
            </w:pPr>
            <w:r>
              <w:rPr>
                <w:b/>
              </w:rPr>
              <w:t xml:space="preserve">_</w:t>
            </w:r>
            <w:r>
              <w:rPr>
                <w:i/>
              </w:rPr>
              <w:t xml:space="preserve">_</w:t>
            </w:r>
          </w:p>
        </w:tc>
      </w:tr>
      <w:tr>
        <w:trPr>
          <w:cantSplit/>
        </w:trPr>
        <w:tc>
          <w:tcPr>
            <w:tcW w:w="556" w:type="dxa"/>
            <w:shd w:val="clear" w:color="auto" w:fill="F4F1EA"/>
            <w:vAlign w:val="center"/>
          </w:tcPr>
          <w:p>
            <w:pPr>
              <w:pStyle w:val="BECCell"/>
            </w:pPr>
            <w:r>
              <w:t xml:space="preserve">4</w:t>
            </w:r>
          </w:p>
        </w:tc>
        <w:tc>
          <w:tcPr>
            <w:tcW w:w="3707" w:type="dxa"/>
            <w:shd w:val="clear" w:color="auto" w:fill="F4F1EA"/>
            <w:vAlign w:val="center"/>
          </w:tcPr>
          <w:p>
            <w:pPr>
              <w:pStyle w:val="BECCell"/>
            </w:pPr>
            <w:r>
              <w:t xml:space="preserve">Mean time to resolution (MTTR)</w:t>
            </w:r>
          </w:p>
        </w:tc>
        <w:tc>
          <w:tcPr>
            <w:tcW w:w="3800" w:type="dxa"/>
            <w:shd w:val="clear" w:color="auto" w:fill="F4F1EA"/>
            <w:vAlign w:val="center"/>
          </w:tcPr>
          <w:p>
            <w:pPr>
              <w:pStyle w:val="BECCell"/>
            </w:pPr>
            <w:r>
              <w:t xml:space="preserve">Closure timestamp − submission timestamp</w:t>
            </w:r>
          </w:p>
        </w:tc>
        <w:tc>
          <w:tcPr>
            <w:tcW w:w="1297" w:type="dxa"/>
            <w:shd w:val="clear" w:color="auto" w:fill="F4F1EA"/>
            <w:vAlign w:val="center"/>
          </w:tcPr>
          <w:p>
            <w:pPr>
              <w:pStyle w:val="BECCell"/>
            </w:pPr>
            <w:r>
              <w:rPr>
                <w:b/>
              </w:rPr>
              <w:t xml:space="preserve">_</w:t>
            </w:r>
            <w:r>
              <w:rPr>
                <w:i/>
              </w:rPr>
              <w:t xml:space="preserve">_</w:t>
            </w:r>
          </w:p>
        </w:tc>
      </w:tr>
      <w:tr>
        <w:trPr>
          <w:cantSplit/>
        </w:trPr>
        <w:tc>
          <w:tcPr>
            <w:tcW w:w="556" w:type="dxa"/>
            <w:vAlign w:val="center"/>
          </w:tcPr>
          <w:p>
            <w:pPr>
              <w:pStyle w:val="BECCell"/>
            </w:pPr>
            <w:r>
              <w:t xml:space="preserve">5</w:t>
            </w:r>
          </w:p>
        </w:tc>
        <w:tc>
          <w:tcPr>
            <w:tcW w:w="3707" w:type="dxa"/>
            <w:vAlign w:val="center"/>
          </w:tcPr>
          <w:p>
            <w:pPr>
              <w:pStyle w:val="BECCell"/>
            </w:pPr>
            <w:r>
              <w:t xml:space="preserve">Distinct reporters served</w:t>
            </w:r>
          </w:p>
        </w:tc>
        <w:tc>
          <w:tcPr>
            <w:tcW w:w="3800" w:type="dxa"/>
            <w:vAlign w:val="center"/>
          </w:tcPr>
          <w:p>
            <w:pPr>
              <w:pStyle w:val="BECCell"/>
            </w:pPr>
            <w:r>
              <w:rPr>
                <w:rFonts w:ascii="Consolas" w:hAnsi="Consolas" w:cs="Consolas"/>
                <w:sz w:val="18"/>
                <w:szCs w:val="18"/>
                <w:shd w:val="clear" w:color="auto" w:fill="F0EDE6"/>
              </w:rPr>
              <w:t xml:space="preserve">defect_reports</w:t>
            </w:r>
            <w:r>
              <w:t xml:space="preserve"> distinct </w:t>
            </w:r>
            <w:r>
              <w:rPr>
                <w:rFonts w:ascii="Consolas" w:hAnsi="Consolas" w:cs="Consolas"/>
                <w:sz w:val="18"/>
                <w:szCs w:val="18"/>
                <w:shd w:val="clear" w:color="auto" w:fill="F0EDE6"/>
              </w:rPr>
              <w:t xml:space="preserve">reporter_email</w:t>
            </w:r>
          </w:p>
        </w:tc>
        <w:tc>
          <w:tcPr>
            <w:tcW w:w="1297" w:type="dxa"/>
            <w:vAlign w:val="center"/>
          </w:tcPr>
          <w:p>
            <w:pPr>
              <w:pStyle w:val="BECCell"/>
            </w:pPr>
            <w:r>
              <w:rPr>
                <w:b/>
              </w:rPr>
              <w:t xml:space="preserve">_</w:t>
            </w:r>
            <w:r>
              <w:rPr>
                <w:i/>
              </w:rPr>
              <w:t xml:space="preserve">_</w:t>
            </w:r>
          </w:p>
        </w:tc>
      </w:tr>
      <w:tr>
        <w:trPr>
          <w:cantSplit/>
        </w:trPr>
        <w:tc>
          <w:tcPr>
            <w:tcW w:w="556" w:type="dxa"/>
            <w:shd w:val="clear" w:color="auto" w:fill="F4F1EA"/>
            <w:vAlign w:val="center"/>
          </w:tcPr>
          <w:p>
            <w:pPr>
              <w:pStyle w:val="BECCell"/>
            </w:pPr>
            <w:r>
              <w:t xml:space="preserve">6</w:t>
            </w:r>
          </w:p>
        </w:tc>
        <w:tc>
          <w:tcPr>
            <w:tcW w:w="3707" w:type="dxa"/>
            <w:shd w:val="clear" w:color="auto" w:fill="F4F1EA"/>
            <w:vAlign w:val="center"/>
          </w:tcPr>
          <w:p>
            <w:pPr>
              <w:pStyle w:val="BECCell"/>
            </w:pPr>
            <w:r>
              <w:t xml:space="preserve">Follow-up ("bump") events recorded</w:t>
            </w:r>
          </w:p>
        </w:tc>
        <w:tc>
          <w:tcPr>
            <w:tcW w:w="3800" w:type="dxa"/>
            <w:shd w:val="clear" w:color="auto" w:fill="F4F1EA"/>
            <w:vAlign w:val="center"/>
          </w:tcPr>
          <w:p>
            <w:pPr>
              <w:pStyle w:val="BECCell"/>
            </w:pPr>
            <w:r>
              <w:rPr>
                <w:rFonts w:ascii="Consolas" w:hAnsi="Consolas" w:cs="Consolas"/>
                <w:sz w:val="18"/>
                <w:szCs w:val="18"/>
                <w:shd w:val="clear" w:color="auto" w:fill="F0EDE6"/>
              </w:rPr>
              <w:t xml:space="preserve">follow_up_count</w:t>
            </w:r>
            <w:r>
              <w:t xml:space="preserve"> aggregate</w:t>
            </w:r>
          </w:p>
        </w:tc>
        <w:tc>
          <w:tcPr>
            <w:tcW w:w="1297" w:type="dxa"/>
            <w:shd w:val="clear" w:color="auto" w:fill="F4F1EA"/>
            <w:vAlign w:val="center"/>
          </w:tcPr>
          <w:p>
            <w:pPr>
              <w:pStyle w:val="BECCell"/>
            </w:pPr>
            <w:r>
              <w:rPr>
                <w:b/>
              </w:rPr>
              <w:t xml:space="preserve">_</w:t>
            </w:r>
            <w:r>
              <w:rPr>
                <w:i/>
              </w:rPr>
              <w:t xml:space="preserve">_</w:t>
            </w:r>
          </w:p>
        </w:tc>
      </w:tr>
      <w:tr>
        <w:trPr>
          <w:cantSplit/>
        </w:trPr>
        <w:tc>
          <w:tcPr>
            <w:tcW w:w="556" w:type="dxa"/>
            <w:vAlign w:val="center"/>
          </w:tcPr>
          <w:p>
            <w:pPr>
              <w:pStyle w:val="BECCell"/>
            </w:pPr>
            <w:r>
              <w:t xml:space="preserve">7</w:t>
            </w:r>
          </w:p>
        </w:tc>
        <w:tc>
          <w:tcPr>
            <w:tcW w:w="3707" w:type="dxa"/>
            <w:vAlign w:val="center"/>
          </w:tcPr>
          <w:p>
            <w:pPr>
              <w:pStyle w:val="BECCell"/>
            </w:pPr>
            <w:r>
              <w:t xml:space="preserve">Reporter satisfaction confirmations</w:t>
            </w:r>
          </w:p>
        </w:tc>
        <w:tc>
          <w:tcPr>
            <w:tcW w:w="3800" w:type="dxa"/>
            <w:vAlign w:val="center"/>
          </w:tcPr>
          <w:p>
            <w:pPr>
              <w:pStyle w:val="BECCell"/>
            </w:pPr>
            <w:r>
              <w:t xml:space="preserve">Satisfaction field aggregate</w:t>
            </w:r>
          </w:p>
        </w:tc>
        <w:tc>
          <w:tcPr>
            <w:tcW w:w="1297" w:type="dxa"/>
            <w:vAlign w:val="center"/>
          </w:tcPr>
          <w:p>
            <w:pPr>
              <w:pStyle w:val="BECCell"/>
            </w:pPr>
            <w:r>
              <w:rPr>
                <w:b/>
              </w:rPr>
              <w:t xml:space="preserve">_</w:t>
            </w:r>
            <w:r>
              <w:rPr>
                <w:i/>
              </w:rPr>
              <w:t xml:space="preserve">_</w:t>
            </w:r>
          </w:p>
        </w:tc>
      </w:tr>
      <w:tr>
        <w:trPr>
          <w:cantSplit/>
        </w:trPr>
        <w:tc>
          <w:tcPr>
            <w:tcW w:w="556" w:type="dxa"/>
            <w:shd w:val="clear" w:color="auto" w:fill="F4F1EA"/>
            <w:vAlign w:val="center"/>
          </w:tcPr>
          <w:p>
            <w:pPr>
              <w:pStyle w:val="BECCell"/>
            </w:pPr>
            <w:r>
              <w:t xml:space="preserve">8</w:t>
            </w:r>
          </w:p>
        </w:tc>
        <w:tc>
          <w:tcPr>
            <w:tcW w:w="3707" w:type="dxa"/>
            <w:shd w:val="clear" w:color="auto" w:fill="F4F1EA"/>
            <w:vAlign w:val="center"/>
          </w:tcPr>
          <w:p>
            <w:pPr>
              <w:pStyle w:val="BECCell"/>
            </w:pPr>
            <w:r>
              <w:t xml:space="preserve">Notification emails dispatched</w:t>
            </w:r>
          </w:p>
        </w:tc>
        <w:tc>
          <w:tcPr>
            <w:tcW w:w="3800" w:type="dxa"/>
            <w:shd w:val="clear" w:color="auto" w:fill="F4F1EA"/>
            <w:vAlign w:val="center"/>
          </w:tcPr>
          <w:p>
            <w:pPr>
              <w:pStyle w:val="BECCell"/>
            </w:pPr>
            <w:r>
              <w:t xml:space="preserve">Mail log / </w:t>
            </w:r>
            <w:r>
              <w:rPr>
                <w:rFonts w:ascii="Consolas" w:hAnsi="Consolas" w:cs="Consolas"/>
                <w:sz w:val="18"/>
                <w:szCs w:val="18"/>
                <w:shd w:val="clear" w:color="auto" w:fill="F0EDE6"/>
              </w:rPr>
              <w:t xml:space="preserve">notifications</w:t>
            </w:r>
            <w:r>
              <w:t xml:space="preserve"> count</w:t>
            </w:r>
          </w:p>
        </w:tc>
        <w:tc>
          <w:tcPr>
            <w:tcW w:w="1297" w:type="dxa"/>
            <w:shd w:val="clear" w:color="auto" w:fill="F4F1EA"/>
            <w:vAlign w:val="center"/>
          </w:tcPr>
          <w:p>
            <w:pPr>
              <w:pStyle w:val="BECCell"/>
            </w:pPr>
            <w:r>
              <w:rPr>
                <w:b/>
              </w:rPr>
              <w:t xml:space="preserve">_</w:t>
            </w:r>
            <w:r>
              <w:rPr>
                <w:i/>
              </w:rPr>
              <w:t xml:space="preserve">_</w:t>
            </w:r>
          </w:p>
        </w:tc>
      </w:tr>
    </w:tbl>
    <w:p>
      <w:pPr>
        <w:spacing w:after="0" w:line="120" w:lineRule="exact"/>
      </w:pPr>
    </w:p>
    <w:p>
      <w:pPr>
        <w:pStyle w:val="Normal"/>
      </w:pPr>
      <w:r>
        <w:rPr>
          <w:b/>
        </w:rPr>
        <w:t xml:space="preserve">C.2 — Institutionally-sourced data</w:t>
      </w:r>
      <w:r>
        <w:t xml:space="preserve"> (requires PMO and Finance cooperation)</w:t>
      </w:r>
    </w:p>
    <w:tbl>
      <w:tblPr>
        <w:tblStyle w:val="BECTable"/>
        <w:tblW w:w="9360" w:type="dxa"/>
        <w:tblLayout w:type="fixed"/>
        <w:tblCellMar>
          <w:top w:w="60" w:type="dxa"/>
          <w:left w:w="90" w:type="dxa"/>
          <w:bottom w:w="60" w:type="dxa"/>
          <w:right w:w="90" w:type="dxa"/>
        </w:tblCellMar>
      </w:tblPr>
      <w:tblGrid>
        <w:gridCol w:w="579"/>
        <w:gridCol w:w="4342"/>
        <w:gridCol w:w="3088"/>
        <w:gridCol w:w="1351"/>
      </w:tblGrid>
      <w:tr>
        <w:trPr>
          <w:tblHeader/>
          <w:cantSplit/>
        </w:trPr>
        <w:tc>
          <w:tcPr>
            <w:tcW w:w="579" w:type="dxa"/>
            <w:shd w:val="clear" w:color="auto" w:fill="7B1D1D"/>
            <w:vAlign w:val="center"/>
          </w:tcPr>
          <w:p>
            <w:pPr>
              <w:pStyle w:val="BECCell"/>
            </w:pPr>
            <w:r>
              <w:rPr>
                <w:b/>
                <w:color w:val="FFFFFF"/>
              </w:rPr>
              <w:t xml:space="preserve">#</w:t>
            </w:r>
          </w:p>
        </w:tc>
        <w:tc>
          <w:tcPr>
            <w:tcW w:w="4342" w:type="dxa"/>
            <w:shd w:val="clear" w:color="auto" w:fill="7B1D1D"/>
            <w:vAlign w:val="center"/>
          </w:tcPr>
          <w:p>
            <w:pPr>
              <w:pStyle w:val="BECCell"/>
            </w:pPr>
            <w:r>
              <w:rPr>
                <w:b/>
                <w:color w:val="FFFFFF"/>
              </w:rPr>
              <w:t xml:space="preserve">Metric</w:t>
            </w:r>
          </w:p>
        </w:tc>
        <w:tc>
          <w:tcPr>
            <w:tcW w:w="3088" w:type="dxa"/>
            <w:shd w:val="clear" w:color="auto" w:fill="7B1D1D"/>
            <w:vAlign w:val="center"/>
          </w:tcPr>
          <w:p>
            <w:pPr>
              <w:pStyle w:val="BECCell"/>
            </w:pPr>
            <w:r>
              <w:rPr>
                <w:b/>
                <w:color w:val="FFFFFF"/>
              </w:rPr>
              <w:t xml:space="preserve">Source</w:t>
            </w:r>
          </w:p>
        </w:tc>
        <w:tc>
          <w:tcPr>
            <w:tcW w:w="1351" w:type="dxa"/>
            <w:shd w:val="clear" w:color="auto" w:fill="7B1D1D"/>
            <w:vAlign w:val="center"/>
          </w:tcPr>
          <w:p>
            <w:pPr>
              <w:pStyle w:val="BECCell"/>
            </w:pPr>
            <w:r>
              <w:rPr>
                <w:b/>
                <w:color w:val="FFFFFF"/>
              </w:rPr>
              <w:t xml:space="preserve">Value observed</w:t>
            </w:r>
          </w:p>
        </w:tc>
      </w:tr>
      <w:tr>
        <w:trPr>
          <w:cantSplit/>
        </w:trPr>
        <w:tc>
          <w:tcPr>
            <w:tcW w:w="579" w:type="dxa"/>
            <w:vAlign w:val="center"/>
          </w:tcPr>
          <w:p>
            <w:pPr>
              <w:pStyle w:val="BECCell"/>
            </w:pPr>
            <w:r>
              <w:t xml:space="preserve">9</w:t>
            </w:r>
          </w:p>
        </w:tc>
        <w:tc>
          <w:tcPr>
            <w:tcW w:w="4342" w:type="dxa"/>
            <w:vAlign w:val="center"/>
          </w:tcPr>
          <w:p>
            <w:pPr>
              <w:pStyle w:val="BECCell"/>
            </w:pPr>
            <w:r>
              <w:t xml:space="preserve">Annual equipment repair expenditure</w:t>
            </w:r>
          </w:p>
        </w:tc>
        <w:tc>
          <w:tcPr>
            <w:tcW w:w="3088" w:type="dxa"/>
            <w:vAlign w:val="center"/>
          </w:tcPr>
          <w:p>
            <w:pPr>
              <w:pStyle w:val="BECCell"/>
            </w:pPr>
            <w:r>
              <w:t xml:space="preserve">PMO/Finance disbursement records</w:t>
            </w:r>
          </w:p>
        </w:tc>
        <w:tc>
          <w:tcPr>
            <w:tcW w:w="1351" w:type="dxa"/>
            <w:vAlign w:val="center"/>
          </w:tcPr>
          <w:p>
            <w:pPr>
              <w:pStyle w:val="BECCell"/>
            </w:pPr>
            <w:r>
              <w:rPr>
                <w:b/>
              </w:rPr>
              <w:t xml:space="preserve">_</w:t>
            </w:r>
            <w:r>
              <w:rPr>
                <w:i/>
              </w:rPr>
              <w:t xml:space="preserve">_</w:t>
            </w:r>
          </w:p>
        </w:tc>
      </w:tr>
      <w:tr>
        <w:trPr>
          <w:cantSplit/>
        </w:trPr>
        <w:tc>
          <w:tcPr>
            <w:tcW w:w="579" w:type="dxa"/>
            <w:shd w:val="clear" w:color="auto" w:fill="F4F1EA"/>
            <w:vAlign w:val="center"/>
          </w:tcPr>
          <w:p>
            <w:pPr>
              <w:pStyle w:val="BECCell"/>
            </w:pPr>
            <w:r>
              <w:t xml:space="preserve">10</w:t>
            </w:r>
          </w:p>
        </w:tc>
        <w:tc>
          <w:tcPr>
            <w:tcW w:w="4342" w:type="dxa"/>
            <w:shd w:val="clear" w:color="auto" w:fill="F4F1EA"/>
            <w:vAlign w:val="center"/>
          </w:tcPr>
          <w:p>
            <w:pPr>
              <w:pStyle w:val="BECCell"/>
            </w:pPr>
            <w:r>
              <w:t xml:space="preserve">Annual equipment replacement expenditure</w:t>
            </w:r>
          </w:p>
        </w:tc>
        <w:tc>
          <w:tcPr>
            <w:tcW w:w="3088" w:type="dxa"/>
            <w:shd w:val="clear" w:color="auto" w:fill="F4F1EA"/>
            <w:vAlign w:val="center"/>
          </w:tcPr>
          <w:p>
            <w:pPr>
              <w:pStyle w:val="BECCell"/>
            </w:pPr>
            <w:r>
              <w:t xml:space="preserve">Asset register additions</w:t>
            </w:r>
          </w:p>
        </w:tc>
        <w:tc>
          <w:tcPr>
            <w:tcW w:w="1351" w:type="dxa"/>
            <w:shd w:val="clear" w:color="auto" w:fill="F4F1EA"/>
            <w:vAlign w:val="center"/>
          </w:tcPr>
          <w:p>
            <w:pPr>
              <w:pStyle w:val="BECCell"/>
            </w:pPr>
            <w:r>
              <w:rPr>
                <w:b/>
              </w:rPr>
              <w:t xml:space="preserve">_</w:t>
            </w:r>
            <w:r>
              <w:rPr>
                <w:i/>
              </w:rPr>
              <w:t xml:space="preserve">_</w:t>
            </w:r>
          </w:p>
        </w:tc>
      </w:tr>
      <w:tr>
        <w:trPr>
          <w:cantSplit/>
        </w:trPr>
        <w:tc>
          <w:tcPr>
            <w:tcW w:w="579" w:type="dxa"/>
            <w:vAlign w:val="center"/>
          </w:tcPr>
          <w:p>
            <w:pPr>
              <w:pStyle w:val="BECCell"/>
            </w:pPr>
            <w:r>
              <w:t xml:space="preserve">11</w:t>
            </w:r>
          </w:p>
        </w:tc>
        <w:tc>
          <w:tcPr>
            <w:tcW w:w="4342" w:type="dxa"/>
            <w:vAlign w:val="center"/>
          </w:tcPr>
          <w:p>
            <w:pPr>
              <w:pStyle w:val="BECCell"/>
            </w:pPr>
            <w:r>
              <w:t xml:space="preserve">Actual PMO staff complement and salary grades</w:t>
            </w:r>
          </w:p>
        </w:tc>
        <w:tc>
          <w:tcPr>
            <w:tcW w:w="3088" w:type="dxa"/>
            <w:vAlign w:val="center"/>
          </w:tcPr>
          <w:p>
            <w:pPr>
              <w:pStyle w:val="BECCell"/>
            </w:pPr>
            <w:r>
              <w:t xml:space="preserve">HR records</w:t>
            </w:r>
          </w:p>
        </w:tc>
        <w:tc>
          <w:tcPr>
            <w:tcW w:w="1351" w:type="dxa"/>
            <w:vAlign w:val="center"/>
          </w:tcPr>
          <w:p>
            <w:pPr>
              <w:pStyle w:val="BECCell"/>
            </w:pPr>
            <w:r>
              <w:rPr>
                <w:b/>
              </w:rPr>
              <w:t xml:space="preserve">_</w:t>
            </w:r>
            <w:r>
              <w:rPr>
                <w:i/>
              </w:rPr>
              <w:t xml:space="preserve">_</w:t>
            </w:r>
          </w:p>
        </w:tc>
      </w:tr>
      <w:tr>
        <w:trPr>
          <w:cantSplit/>
        </w:trPr>
        <w:tc>
          <w:tcPr>
            <w:tcW w:w="579" w:type="dxa"/>
            <w:shd w:val="clear" w:color="auto" w:fill="F4F1EA"/>
            <w:vAlign w:val="center"/>
          </w:tcPr>
          <w:p>
            <w:pPr>
              <w:pStyle w:val="BECCell"/>
            </w:pPr>
            <w:r>
              <w:t xml:space="preserve">12</w:t>
            </w:r>
          </w:p>
        </w:tc>
        <w:tc>
          <w:tcPr>
            <w:tcW w:w="4342" w:type="dxa"/>
            <w:shd w:val="clear" w:color="auto" w:fill="F4F1EA"/>
            <w:vAlign w:val="center"/>
          </w:tcPr>
          <w:p>
            <w:pPr>
              <w:pStyle w:val="BECCell"/>
            </w:pPr>
            <w:r>
              <w:t xml:space="preserve">Actual technician complement and rates</w:t>
            </w:r>
          </w:p>
        </w:tc>
        <w:tc>
          <w:tcPr>
            <w:tcW w:w="3088" w:type="dxa"/>
            <w:shd w:val="clear" w:color="auto" w:fill="F4F1EA"/>
            <w:vAlign w:val="center"/>
          </w:tcPr>
          <w:p>
            <w:pPr>
              <w:pStyle w:val="BECCell"/>
            </w:pPr>
            <w:r>
              <w:t xml:space="preserve">HR records</w:t>
            </w:r>
          </w:p>
        </w:tc>
        <w:tc>
          <w:tcPr>
            <w:tcW w:w="1351" w:type="dxa"/>
            <w:shd w:val="clear" w:color="auto" w:fill="F4F1EA"/>
            <w:vAlign w:val="center"/>
          </w:tcPr>
          <w:p>
            <w:pPr>
              <w:pStyle w:val="BECCell"/>
            </w:pPr>
            <w:r>
              <w:rPr>
                <w:b/>
              </w:rPr>
              <w:t xml:space="preserve">_</w:t>
            </w:r>
            <w:r>
              <w:rPr>
                <w:i/>
              </w:rPr>
              <w:t xml:space="preserve">_</w:t>
            </w:r>
          </w:p>
        </w:tc>
      </w:tr>
      <w:tr>
        <w:trPr>
          <w:cantSplit/>
        </w:trPr>
        <w:tc>
          <w:tcPr>
            <w:tcW w:w="579" w:type="dxa"/>
            <w:vAlign w:val="center"/>
          </w:tcPr>
          <w:p>
            <w:pPr>
              <w:pStyle w:val="BECCell"/>
            </w:pPr>
            <w:r>
              <w:t xml:space="preserve">13</w:t>
            </w:r>
          </w:p>
        </w:tc>
        <w:tc>
          <w:tcPr>
            <w:tcW w:w="4342" w:type="dxa"/>
            <w:vAlign w:val="center"/>
          </w:tcPr>
          <w:p>
            <w:pPr>
              <w:pStyle w:val="BECCell"/>
            </w:pPr>
            <w:r>
              <w:t xml:space="preserve">Prior-year printing and forms expenditure</w:t>
            </w:r>
          </w:p>
        </w:tc>
        <w:tc>
          <w:tcPr>
            <w:tcW w:w="3088" w:type="dxa"/>
            <w:vAlign w:val="center"/>
          </w:tcPr>
          <w:p>
            <w:pPr>
              <w:pStyle w:val="BECCell"/>
            </w:pPr>
            <w:r>
              <w:t xml:space="preserve">Purchase records</w:t>
            </w:r>
          </w:p>
        </w:tc>
        <w:tc>
          <w:tcPr>
            <w:tcW w:w="1351" w:type="dxa"/>
            <w:vAlign w:val="center"/>
          </w:tcPr>
          <w:p>
            <w:pPr>
              <w:pStyle w:val="BECCell"/>
            </w:pPr>
            <w:r>
              <w:rPr>
                <w:b/>
              </w:rPr>
              <w:t xml:space="preserve">_</w:t>
            </w:r>
            <w:r>
              <w:rPr>
                <w:i/>
              </w:rPr>
              <w:t xml:space="preserve">_</w:t>
            </w:r>
          </w:p>
        </w:tc>
      </w:tr>
    </w:tbl>
    <w:p>
      <w:pPr>
        <w:spacing w:after="0" w:line="120" w:lineRule="exact"/>
      </w:pPr>
    </w:p>
    <w:p>
      <w:pPr>
        <w:pStyle w:val="Normal"/>
      </w:pPr>
      <w:r>
        <w:rPr>
          <w:b/>
        </w:rPr>
        <w:t xml:space="preserve">C.3 — Primary observation</w:t>
      </w:r>
      <w:r>
        <w:t xml:space="preserve"> (requires time-and-motion study)</w:t>
      </w:r>
    </w:p>
    <w:tbl>
      <w:tblPr>
        <w:tblStyle w:val="BECTable"/>
        <w:tblW w:w="9360" w:type="dxa"/>
        <w:tblLayout w:type="fixed"/>
        <w:tblCellMar>
          <w:top w:w="60" w:type="dxa"/>
          <w:left w:w="90" w:type="dxa"/>
          <w:bottom w:w="60" w:type="dxa"/>
          <w:right w:w="90" w:type="dxa"/>
        </w:tblCellMar>
      </w:tblPr>
      <w:tblGrid>
        <w:gridCol w:w="579"/>
        <w:gridCol w:w="4632"/>
        <w:gridCol w:w="2798"/>
        <w:gridCol w:w="1351"/>
      </w:tblGrid>
      <w:tr>
        <w:trPr>
          <w:tblHeader/>
          <w:cantSplit/>
        </w:trPr>
        <w:tc>
          <w:tcPr>
            <w:tcW w:w="579" w:type="dxa"/>
            <w:shd w:val="clear" w:color="auto" w:fill="7B1D1D"/>
            <w:vAlign w:val="center"/>
          </w:tcPr>
          <w:p>
            <w:pPr>
              <w:pStyle w:val="BECCell"/>
            </w:pPr>
            <w:r>
              <w:rPr>
                <w:b/>
                <w:color w:val="FFFFFF"/>
              </w:rPr>
              <w:t xml:space="preserve">#</w:t>
            </w:r>
          </w:p>
        </w:tc>
        <w:tc>
          <w:tcPr>
            <w:tcW w:w="4632" w:type="dxa"/>
            <w:shd w:val="clear" w:color="auto" w:fill="7B1D1D"/>
            <w:vAlign w:val="center"/>
          </w:tcPr>
          <w:p>
            <w:pPr>
              <w:pStyle w:val="BECCell"/>
            </w:pPr>
            <w:r>
              <w:rPr>
                <w:b/>
                <w:color w:val="FFFFFF"/>
              </w:rPr>
              <w:t xml:space="preserve">Metric</w:t>
            </w:r>
          </w:p>
        </w:tc>
        <w:tc>
          <w:tcPr>
            <w:tcW w:w="2798" w:type="dxa"/>
            <w:shd w:val="clear" w:color="auto" w:fill="7B1D1D"/>
            <w:vAlign w:val="center"/>
          </w:tcPr>
          <w:p>
            <w:pPr>
              <w:pStyle w:val="BECCell"/>
            </w:pPr>
            <w:r>
              <w:rPr>
                <w:b/>
                <w:color w:val="FFFFFF"/>
              </w:rPr>
              <w:t xml:space="preserve">Method</w:t>
            </w:r>
          </w:p>
        </w:tc>
        <w:tc>
          <w:tcPr>
            <w:tcW w:w="1351" w:type="dxa"/>
            <w:shd w:val="clear" w:color="auto" w:fill="7B1D1D"/>
            <w:vAlign w:val="center"/>
          </w:tcPr>
          <w:p>
            <w:pPr>
              <w:pStyle w:val="BECCell"/>
            </w:pPr>
            <w:r>
              <w:rPr>
                <w:b/>
                <w:color w:val="FFFFFF"/>
              </w:rPr>
              <w:t xml:space="preserve">Value observed</w:t>
            </w:r>
          </w:p>
        </w:tc>
      </w:tr>
      <w:tr>
        <w:trPr>
          <w:cantSplit/>
        </w:trPr>
        <w:tc>
          <w:tcPr>
            <w:tcW w:w="579" w:type="dxa"/>
            <w:vAlign w:val="center"/>
          </w:tcPr>
          <w:p>
            <w:pPr>
              <w:pStyle w:val="BECCell"/>
            </w:pPr>
            <w:r>
              <w:t xml:space="preserve">14</w:t>
            </w:r>
          </w:p>
        </w:tc>
        <w:tc>
          <w:tcPr>
            <w:tcW w:w="4632" w:type="dxa"/>
            <w:vAlign w:val="center"/>
          </w:tcPr>
          <w:p>
            <w:pPr>
              <w:pStyle w:val="BECCell"/>
            </w:pPr>
            <w:r>
              <w:t xml:space="preserve">Observed reporter submission time</w:t>
            </w:r>
          </w:p>
        </w:tc>
        <w:tc>
          <w:tcPr>
            <w:tcW w:w="2798" w:type="dxa"/>
            <w:vAlign w:val="center"/>
          </w:tcPr>
          <w:p>
            <w:pPr>
              <w:pStyle w:val="BECCell"/>
            </w:pPr>
            <w:r>
              <w:t xml:space="preserve">Direct timing, n ≥ 30</w:t>
            </w:r>
          </w:p>
        </w:tc>
        <w:tc>
          <w:tcPr>
            <w:tcW w:w="1351" w:type="dxa"/>
            <w:vAlign w:val="center"/>
          </w:tcPr>
          <w:p>
            <w:pPr>
              <w:pStyle w:val="BECCell"/>
            </w:pPr>
            <w:r>
              <w:rPr>
                <w:b/>
              </w:rPr>
              <w:t xml:space="preserve">_</w:t>
            </w:r>
            <w:r>
              <w:rPr>
                <w:i/>
              </w:rPr>
              <w:t xml:space="preserve">_</w:t>
            </w:r>
          </w:p>
        </w:tc>
      </w:tr>
      <w:tr>
        <w:trPr>
          <w:cantSplit/>
        </w:trPr>
        <w:tc>
          <w:tcPr>
            <w:tcW w:w="579" w:type="dxa"/>
            <w:shd w:val="clear" w:color="auto" w:fill="F4F1EA"/>
            <w:vAlign w:val="center"/>
          </w:tcPr>
          <w:p>
            <w:pPr>
              <w:pStyle w:val="BECCell"/>
            </w:pPr>
            <w:r>
              <w:t xml:space="preserve">15</w:t>
            </w:r>
          </w:p>
        </w:tc>
        <w:tc>
          <w:tcPr>
            <w:tcW w:w="4632" w:type="dxa"/>
            <w:shd w:val="clear" w:color="auto" w:fill="F4F1EA"/>
            <w:vAlign w:val="center"/>
          </w:tcPr>
          <w:p>
            <w:pPr>
              <w:pStyle w:val="BECCell"/>
            </w:pPr>
            <w:r>
              <w:t xml:space="preserve">Observed PMO per-report handling time</w:t>
            </w:r>
          </w:p>
        </w:tc>
        <w:tc>
          <w:tcPr>
            <w:tcW w:w="2798" w:type="dxa"/>
            <w:shd w:val="clear" w:color="auto" w:fill="F4F1EA"/>
            <w:vAlign w:val="center"/>
          </w:tcPr>
          <w:p>
            <w:pPr>
              <w:pStyle w:val="BECCell"/>
            </w:pPr>
            <w:r>
              <w:t xml:space="preserve">Direct timing, n ≥ 30</w:t>
            </w:r>
          </w:p>
        </w:tc>
        <w:tc>
          <w:tcPr>
            <w:tcW w:w="1351" w:type="dxa"/>
            <w:shd w:val="clear" w:color="auto" w:fill="F4F1EA"/>
            <w:vAlign w:val="center"/>
          </w:tcPr>
          <w:p>
            <w:pPr>
              <w:pStyle w:val="BECCell"/>
            </w:pPr>
            <w:r>
              <w:rPr>
                <w:b/>
              </w:rPr>
              <w:t xml:space="preserve">_</w:t>
            </w:r>
            <w:r>
              <w:rPr>
                <w:i/>
              </w:rPr>
              <w:t xml:space="preserve">_</w:t>
            </w:r>
          </w:p>
        </w:tc>
      </w:tr>
      <w:tr>
        <w:trPr>
          <w:cantSplit/>
        </w:trPr>
        <w:tc>
          <w:tcPr>
            <w:tcW w:w="579" w:type="dxa"/>
            <w:vAlign w:val="center"/>
          </w:tcPr>
          <w:p>
            <w:pPr>
              <w:pStyle w:val="BECCell"/>
            </w:pPr>
            <w:r>
              <w:t xml:space="preserve">16</w:t>
            </w:r>
          </w:p>
        </w:tc>
        <w:tc>
          <w:tcPr>
            <w:tcW w:w="4632" w:type="dxa"/>
            <w:vAlign w:val="center"/>
          </w:tcPr>
          <w:p>
            <w:pPr>
              <w:pStyle w:val="BECCell"/>
            </w:pPr>
            <w:r>
              <w:t xml:space="preserve">Observed monthly report compilation time</w:t>
            </w:r>
          </w:p>
        </w:tc>
        <w:tc>
          <w:tcPr>
            <w:tcW w:w="2798" w:type="dxa"/>
            <w:vAlign w:val="center"/>
          </w:tcPr>
          <w:p>
            <w:pPr>
              <w:pStyle w:val="BECCell"/>
            </w:pPr>
            <w:r>
              <w:t xml:space="preserve">PMO self-report / observation</w:t>
            </w:r>
          </w:p>
        </w:tc>
        <w:tc>
          <w:tcPr>
            <w:tcW w:w="1351" w:type="dxa"/>
            <w:vAlign w:val="center"/>
          </w:tcPr>
          <w:p>
            <w:pPr>
              <w:pStyle w:val="BECCell"/>
            </w:pPr>
            <w:r>
              <w:rPr>
                <w:b/>
              </w:rPr>
              <w:t xml:space="preserve">_</w:t>
            </w:r>
            <w:r>
              <w:rPr>
                <w:i/>
              </w:rPr>
              <w:t xml:space="preserve">_</w:t>
            </w:r>
          </w:p>
        </w:tc>
      </w:tr>
      <w:tr>
        <w:trPr>
          <w:cantSplit/>
        </w:trPr>
        <w:tc>
          <w:tcPr>
            <w:tcW w:w="579" w:type="dxa"/>
            <w:shd w:val="clear" w:color="auto" w:fill="F4F1EA"/>
            <w:vAlign w:val="center"/>
          </w:tcPr>
          <w:p>
            <w:pPr>
              <w:pStyle w:val="BECCell"/>
            </w:pPr>
            <w:r>
              <w:t xml:space="preserve">17</w:t>
            </w:r>
          </w:p>
        </w:tc>
        <w:tc>
          <w:tcPr>
            <w:tcW w:w="4632" w:type="dxa"/>
            <w:shd w:val="clear" w:color="auto" w:fill="F4F1EA"/>
            <w:vAlign w:val="center"/>
          </w:tcPr>
          <w:p>
            <w:pPr>
              <w:pStyle w:val="BECCell"/>
            </w:pPr>
            <w:r>
              <w:t xml:space="preserve">Repeat site visits as % of jobs</w:t>
            </w:r>
          </w:p>
        </w:tc>
        <w:tc>
          <w:tcPr>
            <w:tcW w:w="2798" w:type="dxa"/>
            <w:shd w:val="clear" w:color="auto" w:fill="F4F1EA"/>
            <w:vAlign w:val="center"/>
          </w:tcPr>
          <w:p>
            <w:pPr>
              <w:pStyle w:val="BECCell"/>
            </w:pPr>
            <w:r>
              <w:t xml:space="preserve">Technician log review</w:t>
            </w:r>
          </w:p>
        </w:tc>
        <w:tc>
          <w:tcPr>
            <w:tcW w:w="1351" w:type="dxa"/>
            <w:shd w:val="clear" w:color="auto" w:fill="F4F1EA"/>
            <w:vAlign w:val="center"/>
          </w:tcPr>
          <w:p>
            <w:pPr>
              <w:pStyle w:val="BECCell"/>
            </w:pPr>
            <w:r>
              <w:rPr>
                <w:b/>
              </w:rPr>
              <w:t xml:space="preserve">_</w:t>
            </w:r>
            <w:r>
              <w:rPr>
                <w:i/>
              </w:rPr>
              <w:t xml:space="preserve">_</w:t>
            </w:r>
          </w:p>
        </w:tc>
      </w:tr>
      <w:tr>
        <w:trPr>
          <w:cantSplit/>
        </w:trPr>
        <w:tc>
          <w:tcPr>
            <w:tcW w:w="579" w:type="dxa"/>
            <w:vAlign w:val="center"/>
          </w:tcPr>
          <w:p>
            <w:pPr>
              <w:pStyle w:val="BECCell"/>
            </w:pPr>
            <w:r>
              <w:t xml:space="preserve">18</w:t>
            </w:r>
          </w:p>
        </w:tc>
        <w:tc>
          <w:tcPr>
            <w:tcW w:w="4632" w:type="dxa"/>
            <w:vAlign w:val="center"/>
          </w:tcPr>
          <w:p>
            <w:pPr>
              <w:pStyle w:val="BECCell"/>
            </w:pPr>
            <w:r>
              <w:t xml:space="preserve">Status inquiries received per month (non-system)</w:t>
            </w:r>
          </w:p>
        </w:tc>
        <w:tc>
          <w:tcPr>
            <w:tcW w:w="2798" w:type="dxa"/>
            <w:vAlign w:val="center"/>
          </w:tcPr>
          <w:p>
            <w:pPr>
              <w:pStyle w:val="BECCell"/>
            </w:pPr>
            <w:r>
              <w:t xml:space="preserve">PMO tally sheet, 1 month</w:t>
            </w:r>
          </w:p>
        </w:tc>
        <w:tc>
          <w:tcPr>
            <w:tcW w:w="1351" w:type="dxa"/>
            <w:vAlign w:val="center"/>
          </w:tcPr>
          <w:p>
            <w:pPr>
              <w:pStyle w:val="BECCell"/>
            </w:pPr>
            <w:r>
              <w:rPr>
                <w:b/>
              </w:rPr>
              <w:t xml:space="preserve">_</w:t>
            </w:r>
            <w:r>
              <w:rPr>
                <w:i/>
              </w:rPr>
              <w:t xml:space="preserve">_</w:t>
            </w:r>
          </w:p>
        </w:tc>
      </w:tr>
    </w:tbl>
    <w:p>
      <w:pPr>
        <w:spacing w:after="0" w:line="120" w:lineRule="exact"/>
      </w:pPr>
    </w:p>
    <w:p>
      <w:pPr>
        <w:pStyle w:val="Heading3"/>
      </w:pPr>
      <w:r>
        <w:t xml:space="preserve">Appendix D — Reconciliation of Rounding</w:t>
      </w:r>
    </w:p>
    <w:p>
      <w:pPr>
        <w:pStyle w:val="Normal"/>
      </w:pPr>
      <w:r>
        <w:t xml:space="preserve">All monetary figures are computed to the peso and presented without decimals. The present-value annuity factor is carried at six decimal places (3.790787) throughout. Discrepancies of ±₱2 between independently computed figures and their component sums are attributable to rounding and are not material to any conclusion.</w:t>
      </w:r>
    </w:p>
    <w:p>
      <w:pPr>
        <w:pStyle w:val="BECRule"/>
      </w:pPr>
    </w:p>
    <w:p>
      <w:pPr>
        <w:pStyle w:val="Normal"/>
      </w:pPr>
      <w:r>
        <w:rPr>
          <w:i/>
        </w:rPr>
        <w:t xml:space="preserve">Prepared as an economic evaluation component of the capstone study "BEC Web-Based Defective Equipment Reporting Management System," Batangas Eastern Colleges — Property Management Office. All cost and benefit estimates are ex-ante projections subject to the limitations stated in §15.</w:t>
      </w:r>
    </w:p>
    <w:sectPr>
      <w:pgSz w:w="12240" w:h="15840"/>
      <w:pgMar w:top="1440" w:right="1440" w:bottom="1440" w:left="1440" w:header="720" w:footer="720" w:gutter="0"/>
      <w:docGrid w:linePitch="360"/>
    </w:sectPr>
  </w:body>
</w:document>
</file>

<file path=word/styles.xml><?xml version="1.0" encoding="utf-8"?>
<w:styles xmlns:w="http://schemas.openxmlformats.org/wordprocessingml/2006/main">
  <w:docDefaults>
    <w:rPrDefault>
      <w:rPr>
        <w:rFonts w:ascii="Times New Roman" w:hAnsi="Times New Roman" w:eastAsia="Times New Roman" w:cs="Times New Roman"/>
        <w:color w:val="1A1A1A"/>
        <w:sz w:val="22"/>
        <w:szCs w:val="22"/>
      </w:rPr>
    </w:rPrDefault>
    <w:pPrDefault>
      <w:pPr>
        <w:spacing w:after="140" w:line="276" w:lineRule="auto"/>
      </w:pPr>
    </w:pPrDefault>
  </w:docDefaults>
  <w:style w:type="paragraph" w:styleId="Normal" w:default="1">
    <w:name w:val="Normal"/>
    <w:qFormat/>
    <w:pPr>
      <w:jc w:val="both"/>
    </w:pPr>
  </w:style>
  <w:style w:type="paragraph" w:styleId="BECTitle">
    <w:name w:val="Title"/>
    <w:basedOn w:val="Normal"/>
    <w:qFormat/>
    <w:pPr>
      <w:jc w:val="center"/>
      <w:spacing w:before="1200" w:after="120"/>
    </w:pPr>
    <w:rPr>
      <w:rFonts w:ascii="Cambria" w:hAnsi="Cambria"/>
      <w:b/>
      <w:color w:val="7B1D1D"/>
      <w:sz w:val="52"/>
      <w:szCs w:val="52"/>
    </w:rPr>
  </w:style>
  <w:style w:type="paragraph" w:styleId="BECSubtitle">
    <w:name w:val="Subtitle"/>
    <w:basedOn w:val="Normal"/>
    <w:qFormat/>
    <w:pPr>
      <w:jc w:val="center"/>
      <w:spacing w:before="0" w:after="480"/>
      <w:pBdr>
        <w:bottom w:val="single" w:sz="12" w:space="8" w:color="C9960C"/>
      </w:pBdr>
    </w:pPr>
    <w:rPr>
      <w:rFonts w:ascii="Cambria" w:hAnsi="Cambria"/>
      <w:color w:val="5A5A5A"/>
      <w:sz w:val="26"/>
      <w:szCs w:val="26"/>
      <w:i/>
    </w:rPr>
  </w:style>
  <w:style w:type="paragraph" w:styleId="Heading1">
    <w:name w:val="heading 1"/>
    <w:basedOn w:val="Normal"/>
    <w:qFormat/>
    <w:pPr>
      <w:keepNext/>
      <w:jc w:val="left"/>
      <w:spacing w:before="360" w:after="160"/>
      <w:pBdr>
        <w:bottom w:val="single" w:sz="8" w:space="6" w:color="C9960C"/>
      </w:pBdr>
      <w:outlineLvl w:val="0"/>
    </w:pPr>
    <w:rPr>
      <w:rFonts w:ascii="Cambria" w:hAnsi="Cambria"/>
      <w:b/>
      <w:color w:val="7B1D1D"/>
      <w:sz w:val="34"/>
      <w:szCs w:val="34"/>
    </w:rPr>
  </w:style>
  <w:style w:type="paragraph" w:styleId="Heading2">
    <w:name w:val="heading 2"/>
    <w:basedOn w:val="Normal"/>
    <w:qFormat/>
    <w:pPr>
      <w:keepNext/>
      <w:jc w:val="left"/>
      <w:spacing w:before="320" w:after="140"/>
      <w:pBdr>
        <w:bottom w:val="single" w:sz="6" w:space="5" w:color="D8D2C6"/>
      </w:pBdr>
      <w:outlineLvl w:val="1"/>
    </w:pPr>
    <w:rPr>
      <w:rFonts w:ascii="Cambria" w:hAnsi="Cambria"/>
      <w:b/>
      <w:color w:val="7B1D1D"/>
      <w:sz w:val="28"/>
      <w:szCs w:val="28"/>
    </w:rPr>
  </w:style>
  <w:style w:type="paragraph" w:styleId="Heading3">
    <w:name w:val="heading 3"/>
    <w:basedOn w:val="Normal"/>
    <w:qFormat/>
    <w:pPr>
      <w:keepNext/>
      <w:jc w:val="left"/>
      <w:spacing w:before="240" w:after="100"/>
      <w:outlineLvl w:val="2"/>
    </w:pPr>
    <w:rPr>
      <w:rFonts w:ascii="Cambria" w:hAnsi="Cambria"/>
      <w:b/>
      <w:color w:val="4A1111"/>
      <w:sz w:val="24"/>
      <w:szCs w:val="24"/>
    </w:rPr>
  </w:style>
  <w:style w:type="paragraph" w:styleId="Heading4">
    <w:name w:val="heading 4"/>
    <w:basedOn w:val="Normal"/>
    <w:qFormat/>
    <w:pPr>
      <w:keepNext/>
      <w:jc w:val="left"/>
      <w:spacing w:before="200" w:after="80"/>
      <w:outlineLvl w:val="3"/>
    </w:pPr>
    <w:rPr>
      <w:rFonts w:ascii="Cambria" w:hAnsi="Cambria"/>
      <w:b/>
      <w:i/>
      <w:color w:val="5A5A5A"/>
      <w:sz w:val="22"/>
      <w:szCs w:val="22"/>
    </w:rPr>
  </w:style>
  <w:style w:type="paragraph" w:styleId="BECMath">
    <w:name w:val="Formula"/>
    <w:basedOn w:val="Normal"/>
    <w:qFormat/>
    <w:pPr>
      <w:jc w:val="center"/>
      <w:spacing w:before="160" w:after="160"/>
      <w:keepLines/>
    </w:pPr>
    <w:rPr>
      <w:rFonts w:ascii="Cambria Math" w:hAnsi="Cambria Math"/>
      <w:color w:val="7B1D1D"/>
    </w:rPr>
  </w:style>
  <w:style w:type="paragraph" w:styleId="BECList">
    <w:name w:val="List Paragraph"/>
    <w:basedOn w:val="Normal"/>
    <w:qFormat/>
    <w:pPr>
      <w:ind w:left="482" w:hanging="284"/>
      <w:jc w:val="left"/>
      <w:spacing w:after="80"/>
    </w:pPr>
  </w:style>
  <w:style w:type="paragraph" w:styleId="BECQuote">
    <w:name w:val="Quote"/>
    <w:basedOn w:val="Normal"/>
    <w:qFormat/>
    <w:pPr>
      <w:ind w:left="454" w:right="284"/>
      <w:spacing w:before="140" w:after="140"/>
      <w:pBdr>
        <w:left w:val="single" w:sz="18" w:space="10" w:color="C9960C"/>
      </w:pBdr>
    </w:pPr>
    <w:rPr>
      <w:i/>
      <w:color w:val="5A5A5A"/>
    </w:rPr>
  </w:style>
  <w:style w:type="paragraph" w:styleId="BECCode">
    <w:name w:val="Code"/>
    <w:basedOn w:val="Normal"/>
    <w:qFormat/>
    <w:pPr>
      <w:jc w:val="left"/>
      <w:spacing w:after="0" w:line="240" w:lineRule="auto"/>
      <w:ind w:left="284"/>
    </w:pPr>
    <w:rPr>
      <w:rFonts w:ascii="Consolas" w:hAnsi="Consolas"/>
      <w:sz w:val="18"/>
      <w:szCs w:val="18"/>
    </w:rPr>
  </w:style>
  <w:style w:type="paragraph" w:styleId="BECCell">
    <w:name w:val="Table Text"/>
    <w:basedOn w:val="Normal"/>
    <w:qFormat/>
    <w:pPr>
      <w:jc w:val="left"/>
      <w:spacing w:before="20" w:after="20" w:line="240" w:lineRule="auto"/>
    </w:pPr>
    <w:rPr>
      <w:sz w:val="19"/>
      <w:szCs w:val="19"/>
    </w:rPr>
  </w:style>
  <w:style w:type="paragraph" w:styleId="BECRule">
    <w:name w:val="Rule"/>
    <w:basedOn w:val="Normal"/>
    <w:qFormat/>
    <w:pPr>
      <w:spacing w:before="120" w:after="120"/>
      <w:pBdr>
        <w:bottom w:val="single" w:sz="6" w:space="1" w:color="D8D2C6"/>
      </w:pBdr>
    </w:pPr>
  </w:style>
  <w:style w:type="table" w:styleId="BECTable">
    <w:name w:val="BEC Table"/>
    <w:tblPr>
      <w:tblBorders>
        <w:top w:val="single" w:sz="4" w:color="D8D2C6"/>
        <w:left w:val="single" w:sz="4" w:color="D8D2C6"/>
        <w:bottom w:val="single" w:sz="4" w:color="D8D2C6"/>
        <w:right w:val="single" w:sz="4" w:color="D8D2C6"/>
        <w:insideH w:val="single" w:sz="4" w:color="D8D2C6"/>
        <w:insideV w:val="single" w:sz="4" w:color="D8D2C6"/>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L1" Type="http://schemas.openxmlformats.org/officeDocument/2006/relationships/hyperlink" Target="https://www.accruent.com/resources/blog-posts/4-ways-cmms-implementation-increases-roi-cuts-maintenance-costs" TargetMode="External"/><Relationship Id="rIdL2" Type="http://schemas.openxmlformats.org/officeDocument/2006/relationships/hyperlink" Target="https://platform.claude.com/docs/en/pricing" TargetMode="External"/><Relationship Id="rIdL3" Type="http://schemas.openxmlformats.org/officeDocument/2006/relationships/hyperlink" Target="https://chamberlain.ph/resources/minimum-wage-philippines-2026/" TargetMode="External"/><Relationship Id="rIdL4" Type="http://schemas.openxmlformats.org/officeDocument/2006/relationships/hyperlink" Target="https://www.salaryexpert.com/salary/job/administrative-officer/philippines" TargetMode="External"/><Relationship Id="rIdL5" Type="http://schemas.openxmlformats.org/officeDocument/2006/relationships/hyperlink" Target="https://eworkorders.com/cmms-software/cmms-benefits/" TargetMode="External"/><Relationship Id="rIdL6" Type="http://schemas.openxmlformats.org/officeDocument/2006/relationships/hyperlink" Target="https://www.exchange-rates.org/exchange-rate-history/usd-php-2026" TargetMode="External"/><Relationship Id="rIdL7" Type="http://schemas.openxmlformats.org/officeDocument/2006/relationships/hyperlink" Target="https://www.fabrico.io/blog/cmms-software-pricing-guide-2026-how-much-does-it-actually-cost/" TargetMode="External"/><Relationship Id="rIdL8" Type="http://schemas.openxmlformats.org/officeDocument/2006/relationships/hyperlink" Target="https://ph.indeed.com/career/junior-developer/salaries" TargetMode="External"/><Relationship Id="rIdL9" Type="http://schemas.openxmlformats.org/officeDocument/2006/relationships/hyperlink" Target="https://www.itqlick.com/limble-cmms/pricing" TargetMode="External"/><Relationship Id="rIdL10" Type="http://schemas.openxmlformats.org/officeDocument/2006/relationships/hyperlink" Target="https://ph.jobstreet.com/career-advice/role/web-developer/salary" TargetMode="External"/><Relationship Id="rIdL11" Type="http://schemas.openxmlformats.org/officeDocument/2006/relationships/hyperlink" Target="https://limble.com/learn/cost" TargetMode="External"/><Relationship Id="rIdL12" Type="http://schemas.openxmlformats.org/officeDocument/2006/relationships/hyperlink" Target="https://llumin.com/blog/how-to-calculate-the-roi-of-cmms-software-with-examples/" TargetMode="External"/><Relationship Id="rIdL13" Type="http://schemas.openxmlformats.org/officeDocument/2006/relationships/hyperlink" Target="https://neda.gov.ph/investment-coordination-committee/" TargetMode="External"/><Relationship Id="rIdL14" Type="http://schemas.openxmlformats.org/officeDocument/2006/relationships/hyperlink" Target="https://nwpc.dole.gov.ph/region-iva/" TargetMode="External"/><Relationship Id="rIdL15" Type="http://schemas.openxmlformats.org/officeDocument/2006/relationships/hyperlink" Target="https://oxmaint.com/article/cmms-roi-calculator-methodology" TargetMode="External"/><Relationship Id="rIdL16" Type="http://schemas.openxmlformats.org/officeDocument/2006/relationships/hyperlink" Target="https://pia.gov.ph/news/wage-board-grants-p25-to-p100-daily-wage-hike-in-calabarzon/" TargetMode="External"/><Relationship Id="rIdL17" Type="http://schemas.openxmlformats.org/officeDocument/2006/relationships/hyperlink" Target="https://supabase.com/pricing" TargetMode="External"/><Relationship Id="rIdL18" Type="http://schemas.openxmlformats.org/officeDocument/2006/relationships/hyperlink" Target="https://uibakery.io/blog/supabase-pricing" TargetMode="External"/><Relationship Id="rIdL19" Type="http://schemas.openxmlformats.org/officeDocument/2006/relationships/hyperlink" Target="https://wageindicator.org/work/minimum-wage/updates/2026/minimum-wage-revised-in-iv-a-calabarzon-philippines-from-01-april-2026-april-02-2026/" TargetMode="External"/></Relationships>
</file>

<file path=docProps/app.xml><?xml version="1.0" encoding="utf-8"?>
<Properties xmlns="http://schemas.openxmlformats.org/officeDocument/2006/extended-properties" xmlns:vt="http://schemas.openxmlformats.org/officeDocument/2006/docPropsVTypes">
  <Application>BEC PMO Document Builder</Application>
  <Company>Batangas Eastern Colleges</Company>
</Properties>
</file>

<file path=docProps/core.xml><?xml version="1.0" encoding="utf-8"?>
<cp:coreProperties xmlns:cp="http://schemas.openxmlformats.org/package/2006/metadata/core-properties" xmlns:dc="http://purl.org/dc/elements/1.1/" xmlns:dcterms="http://purl.org/dc/terms/" xmlns:xsi="http://www.w3.org/2001/XMLSchema-instance">
  <dc:title>ROI_ANALYSIS</dc:title>
  <dc:creator>Batangas Eastern Colleges — Property Management Office</dc:creator>
  <cp:lastModifiedBy>BEC PMO</cp:lastModifiedBy>
  <dcterms:created xsi:type="dcterms:W3CDTF">2026-08-03T02:23:43Z</dcterms:created>
  <dcterms:modified xsi:type="dcterms:W3CDTF">2026-08-03T02:23:43Z</dcterms:modified>
</cp:coreProperties>
</file>