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IBM Plex Sans" w:cs="IBM Plex Sans" w:eastAsia="IBM Plex Sans" w:hAnsi="IBM Plex Sans"/>
          <w:b/>
          <w:bCs/>
          <w:color w:val="E8641B"/>
          <w:spacing w:val="60"/>
          <w:sz w:val="22"/>
          <w:szCs w:val="22"/>
        </w:rPr>
        <w:t xml:space="preserve">VOLTUS FREIGHT</w:t>
      </w:r>
    </w:p>
    <w:p>
      <w:pPr>
        <w:spacing w:after="360"/>
      </w:pPr>
      <w:r>
        <w:rPr>
          <w:rFonts w:ascii="IBM Plex Sans" w:cs="IBM Plex Sans" w:eastAsia="IBM Plex Sans" w:hAnsi="IBM Plex Sans"/>
          <w:color w:val="6B7280"/>
          <w:sz w:val="22"/>
          <w:szCs w:val="22"/>
        </w:rPr>
        <w:t xml:space="preserve">Trade Compliance — Design &amp; Build Review</w:t>
      </w:r>
    </w:p>
    <w:p>
      <w:pPr>
        <w:spacing w:after="240"/>
      </w:pPr>
      <w:r>
        <w:rPr>
          <w:rFonts w:ascii="IBM Plex Sans" w:cs="IBM Plex Sans" w:eastAsia="IBM Plex Sans" w:hAnsi="IBM Plex Sans"/>
          <w:b/>
          <w:bCs/>
          <w:color w:val="1B2A4A"/>
          <w:sz w:val="56"/>
          <w:szCs w:val="56"/>
        </w:rPr>
        <w:t xml:space="preserve">ICEGATE Suite UI Mock</w:t>
      </w:r>
    </w:p>
    <w:p>
      <w:pPr>
        <w:pBdr>
          <w:bottom w:val="single" w:color="E8641B" w:sz="18" w:space="12"/>
        </w:pBdr>
        <w:spacing w:after="600"/>
      </w:pPr>
      <w:r>
        <w:rPr>
          <w:rFonts w:ascii="IBM Plex Sans" w:cs="IBM Plex Sans" w:eastAsia="IBM Plex Sans" w:hAnsi="IBM Plex Sans"/>
          <w:color w:val="1F2937"/>
          <w:sz w:val="26"/>
          <w:szCs w:val="26"/>
        </w:rPr>
        <w:t xml:space="preserve">Review of ice-gate.vercel.app against the PRD, the ICES formats and the published e-Sanchit specification, with change prompts for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46"/>
      </w:tblGrid>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Document ID</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VF-ICG-REV-001</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Version</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1.0</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Date</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19 September 2026</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Subject</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https://ice-gate.vercel.app — reviewed 19 Sep 2026</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Reviewed against</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VF-ICG-PRD-001 v1.1 · VF-ICG-ARC-001 v1.0 · VF-ICG-THD-001 v1.0</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Method</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Full route crawl, desktop / mobile / dark mode capture, interaction and deep-link testing, automated accessibility audit</w:t>
            </w:r>
          </w:p>
        </w:tc>
      </w:tr>
      <w:tr>
        <w:trPr>
          <w:cantSplit/>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1F2937"/>
                <w:sz w:val="17"/>
                <w:szCs w:val="17"/>
              </w:rPr>
              <w:t xml:space="preserve">Verdict</w:t>
            </w:r>
          </w:p>
        </w:tc>
        <w:tc>
          <w:tcPr>
            <w:tcW w:type="dxa" w:w="7146"/>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Strong foundation. Nine blocking issues before this can be shown to a customs broker as a product.</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Contents</w:t>
      </w:r>
    </w:p>
    <w:p>
      <w:pPr>
        <w:tabs>
          <w:tab w:val="left" w:pos="700"/>
        </w:tabs>
        <w:spacing w:after="90"/>
      </w:pPr>
      <w:r>
        <w:rPr>
          <w:rFonts w:ascii="IBM Plex Sans" w:cs="IBM Plex Sans" w:eastAsia="IBM Plex Sans" w:hAnsi="IBM Plex Sans"/>
          <w:b/>
          <w:bCs/>
          <w:color w:val="E8641B"/>
          <w:sz w:val="20"/>
          <w:szCs w:val="20"/>
        </w:rPr>
        <w:t xml:space="preserve">1</w:t>
      </w:r>
      <w:r>
        <w:rPr>
          <w:rFonts w:ascii="IBM Plex Sans" w:cs="IBM Plex Sans" w:eastAsia="IBM Plex Sans" w:hAnsi="IBM Plex Sans"/>
          <w:color w:val="1F2937"/>
          <w:sz w:val="20"/>
          <w:szCs w:val="20"/>
        </w:rPr>
        <w:t xml:space="preserve">	Verdict</w:t>
      </w:r>
    </w:p>
    <w:p>
      <w:pPr>
        <w:tabs>
          <w:tab w:val="left" w:pos="700"/>
        </w:tabs>
        <w:spacing w:after="90"/>
      </w:pPr>
      <w:r>
        <w:rPr>
          <w:rFonts w:ascii="IBM Plex Sans" w:cs="IBM Plex Sans" w:eastAsia="IBM Plex Sans" w:hAnsi="IBM Plex Sans"/>
          <w:b/>
          <w:bCs/>
          <w:color w:val="E8641B"/>
          <w:sz w:val="20"/>
          <w:szCs w:val="20"/>
        </w:rPr>
        <w:t xml:space="preserve">2</w:t>
      </w:r>
      <w:r>
        <w:rPr>
          <w:rFonts w:ascii="IBM Plex Sans" w:cs="IBM Plex Sans" w:eastAsia="IBM Plex Sans" w:hAnsi="IBM Plex Sans"/>
          <w:color w:val="1F2937"/>
          <w:sz w:val="20"/>
          <w:szCs w:val="20"/>
        </w:rPr>
        <w:t xml:space="preserve">	What was reviewed and how</w:t>
      </w:r>
    </w:p>
    <w:p>
      <w:pPr>
        <w:tabs>
          <w:tab w:val="left" w:pos="700"/>
        </w:tabs>
        <w:spacing w:after="90"/>
      </w:pPr>
      <w:r>
        <w:rPr>
          <w:rFonts w:ascii="IBM Plex Sans" w:cs="IBM Plex Sans" w:eastAsia="IBM Plex Sans" w:hAnsi="IBM Plex Sans"/>
          <w:b/>
          <w:bCs/>
          <w:color w:val="E8641B"/>
          <w:sz w:val="20"/>
          <w:szCs w:val="20"/>
        </w:rPr>
        <w:t xml:space="preserve">3</w:t>
      </w:r>
      <w:r>
        <w:rPr>
          <w:rFonts w:ascii="IBM Plex Sans" w:cs="IBM Plex Sans" w:eastAsia="IBM Plex Sans" w:hAnsi="IBM Plex Sans"/>
          <w:color w:val="1F2937"/>
          <w:sz w:val="20"/>
          <w:szCs w:val="20"/>
        </w:rPr>
        <w:t xml:space="preserve">	Scorecard by screen</w:t>
      </w:r>
    </w:p>
    <w:p>
      <w:pPr>
        <w:tabs>
          <w:tab w:val="left" w:pos="700"/>
        </w:tabs>
        <w:spacing w:after="90"/>
      </w:pPr>
      <w:r>
        <w:rPr>
          <w:rFonts w:ascii="IBM Plex Sans" w:cs="IBM Plex Sans" w:eastAsia="IBM Plex Sans" w:hAnsi="IBM Plex Sans"/>
          <w:b/>
          <w:bCs/>
          <w:color w:val="E8641B"/>
          <w:sz w:val="20"/>
          <w:szCs w:val="20"/>
        </w:rPr>
        <w:t xml:space="preserve">4</w:t>
      </w:r>
      <w:r>
        <w:rPr>
          <w:rFonts w:ascii="IBM Plex Sans" w:cs="IBM Plex Sans" w:eastAsia="IBM Plex Sans" w:hAnsi="IBM Plex Sans"/>
          <w:color w:val="1F2937"/>
          <w:sz w:val="20"/>
          <w:szCs w:val="20"/>
        </w:rPr>
        <w:t xml:space="preserve">	What to keep — do not regress these</w:t>
      </w:r>
    </w:p>
    <w:p>
      <w:pPr>
        <w:tabs>
          <w:tab w:val="left" w:pos="700"/>
        </w:tabs>
        <w:spacing w:after="90"/>
      </w:pPr>
      <w:r>
        <w:rPr>
          <w:rFonts w:ascii="IBM Plex Sans" w:cs="IBM Plex Sans" w:eastAsia="IBM Plex Sans" w:hAnsi="IBM Plex Sans"/>
          <w:b/>
          <w:bCs/>
          <w:color w:val="E8641B"/>
          <w:sz w:val="20"/>
          <w:szCs w:val="20"/>
        </w:rPr>
        <w:t xml:space="preserve">5</w:t>
      </w:r>
      <w:r>
        <w:rPr>
          <w:rFonts w:ascii="IBM Plex Sans" w:cs="IBM Plex Sans" w:eastAsia="IBM Plex Sans" w:hAnsi="IBM Plex Sans"/>
          <w:color w:val="1F2937"/>
          <w:sz w:val="20"/>
          <w:szCs w:val="20"/>
        </w:rPr>
        <w:t xml:space="preserve">	Group A — Domain correctness</w:t>
      </w:r>
    </w:p>
    <w:p>
      <w:pPr>
        <w:tabs>
          <w:tab w:val="left" w:pos="700"/>
        </w:tabs>
        <w:spacing w:after="90"/>
      </w:pPr>
      <w:r>
        <w:rPr>
          <w:rFonts w:ascii="IBM Plex Sans" w:cs="IBM Plex Sans" w:eastAsia="IBM Plex Sans" w:hAnsi="IBM Plex Sans"/>
          <w:b/>
          <w:bCs/>
          <w:color w:val="E8641B"/>
          <w:sz w:val="20"/>
          <w:szCs w:val="20"/>
        </w:rPr>
        <w:t xml:space="preserve">6</w:t>
      </w:r>
      <w:r>
        <w:rPr>
          <w:rFonts w:ascii="IBM Plex Sans" w:cs="IBM Plex Sans" w:eastAsia="IBM Plex Sans" w:hAnsi="IBM Plex Sans"/>
          <w:color w:val="1F2937"/>
          <w:sz w:val="20"/>
          <w:szCs w:val="20"/>
        </w:rPr>
        <w:t xml:space="preserve">	Group B — Missing surfaces</w:t>
      </w:r>
    </w:p>
    <w:p>
      <w:pPr>
        <w:tabs>
          <w:tab w:val="left" w:pos="700"/>
        </w:tabs>
        <w:spacing w:after="90"/>
      </w:pPr>
      <w:r>
        <w:rPr>
          <w:rFonts w:ascii="IBM Plex Sans" w:cs="IBM Plex Sans" w:eastAsia="IBM Plex Sans" w:hAnsi="IBM Plex Sans"/>
          <w:b/>
          <w:bCs/>
          <w:color w:val="E8641B"/>
          <w:sz w:val="20"/>
          <w:szCs w:val="20"/>
        </w:rPr>
        <w:t xml:space="preserve">7</w:t>
      </w:r>
      <w:r>
        <w:rPr>
          <w:rFonts w:ascii="IBM Plex Sans" w:cs="IBM Plex Sans" w:eastAsia="IBM Plex Sans" w:hAnsi="IBM Plex Sans"/>
          <w:color w:val="1F2937"/>
          <w:sz w:val="20"/>
          <w:szCs w:val="20"/>
        </w:rPr>
        <w:t xml:space="preserve">	Group C — Data integrity and presentation</w:t>
      </w:r>
    </w:p>
    <w:p>
      <w:pPr>
        <w:tabs>
          <w:tab w:val="left" w:pos="700"/>
        </w:tabs>
        <w:spacing w:after="90"/>
      </w:pPr>
      <w:r>
        <w:rPr>
          <w:rFonts w:ascii="IBM Plex Sans" w:cs="IBM Plex Sans" w:eastAsia="IBM Plex Sans" w:hAnsi="IBM Plex Sans"/>
          <w:b/>
          <w:bCs/>
          <w:color w:val="E8641B"/>
          <w:sz w:val="20"/>
          <w:szCs w:val="20"/>
        </w:rPr>
        <w:t xml:space="preserve">8</w:t>
      </w:r>
      <w:r>
        <w:rPr>
          <w:rFonts w:ascii="IBM Plex Sans" w:cs="IBM Plex Sans" w:eastAsia="IBM Plex Sans" w:hAnsi="IBM Plex Sans"/>
          <w:color w:val="1F2937"/>
          <w:sz w:val="20"/>
          <w:szCs w:val="20"/>
        </w:rPr>
        <w:t xml:space="preserve">	Group D — Navigation and interaction</w:t>
      </w:r>
    </w:p>
    <w:p>
      <w:pPr>
        <w:tabs>
          <w:tab w:val="left" w:pos="700"/>
        </w:tabs>
        <w:spacing w:after="90"/>
      </w:pPr>
      <w:r>
        <w:rPr>
          <w:rFonts w:ascii="IBM Plex Sans" w:cs="IBM Plex Sans" w:eastAsia="IBM Plex Sans" w:hAnsi="IBM Plex Sans"/>
          <w:b/>
          <w:bCs/>
          <w:color w:val="E8641B"/>
          <w:sz w:val="20"/>
          <w:szCs w:val="20"/>
        </w:rPr>
        <w:t xml:space="preserve">9</w:t>
      </w:r>
      <w:r>
        <w:rPr>
          <w:rFonts w:ascii="IBM Plex Sans" w:cs="IBM Plex Sans" w:eastAsia="IBM Plex Sans" w:hAnsi="IBM Plex Sans"/>
          <w:color w:val="1F2937"/>
          <w:sz w:val="20"/>
          <w:szCs w:val="20"/>
        </w:rPr>
        <w:t xml:space="preserve">	Group E — Accessibility and front-end quality</w:t>
      </w:r>
    </w:p>
    <w:p>
      <w:pPr>
        <w:tabs>
          <w:tab w:val="left" w:pos="700"/>
        </w:tabs>
        <w:spacing w:after="90"/>
      </w:pPr>
      <w:r>
        <w:rPr>
          <w:rFonts w:ascii="IBM Plex Sans" w:cs="IBM Plex Sans" w:eastAsia="IBM Plex Sans" w:hAnsi="IBM Plex Sans"/>
          <w:b/>
          <w:bCs/>
          <w:color w:val="E8641B"/>
          <w:sz w:val="20"/>
          <w:szCs w:val="20"/>
        </w:rPr>
        <w:t xml:space="preserve">10</w:t>
      </w:r>
      <w:r>
        <w:rPr>
          <w:rFonts w:ascii="IBM Plex Sans" w:cs="IBM Plex Sans" w:eastAsia="IBM Plex Sans" w:hAnsi="IBM Plex Sans"/>
          <w:color w:val="1F2937"/>
          <w:sz w:val="20"/>
          <w:szCs w:val="20"/>
        </w:rPr>
        <w:t xml:space="preserve">	Screen-by-screen notes</w:t>
      </w:r>
    </w:p>
    <w:p>
      <w:pPr>
        <w:tabs>
          <w:tab w:val="left" w:pos="700"/>
        </w:tabs>
        <w:spacing w:after="90"/>
      </w:pPr>
      <w:r>
        <w:rPr>
          <w:rFonts w:ascii="IBM Plex Sans" w:cs="IBM Plex Sans" w:eastAsia="IBM Plex Sans" w:hAnsi="IBM Plex Sans"/>
          <w:b/>
          <w:bCs/>
          <w:color w:val="E8641B"/>
          <w:sz w:val="20"/>
          <w:szCs w:val="20"/>
        </w:rPr>
        <w:t xml:space="preserve">11</w:t>
      </w:r>
      <w:r>
        <w:rPr>
          <w:rFonts w:ascii="IBM Plex Sans" w:cs="IBM Plex Sans" w:eastAsia="IBM Plex Sans" w:hAnsi="IBM Plex Sans"/>
          <w:color w:val="1F2937"/>
          <w:sz w:val="20"/>
          <w:szCs w:val="20"/>
        </w:rPr>
        <w:t xml:space="preserve">	Change prompts for Claude Code</w:t>
      </w:r>
    </w:p>
    <w:p>
      <w:pPr>
        <w:tabs>
          <w:tab w:val="left" w:pos="700"/>
        </w:tabs>
        <w:spacing w:after="90"/>
      </w:pPr>
      <w:r>
        <w:rPr>
          <w:rFonts w:ascii="IBM Plex Sans" w:cs="IBM Plex Sans" w:eastAsia="IBM Plex Sans" w:hAnsi="IBM Plex Sans"/>
          <w:b/>
          <w:bCs/>
          <w:color w:val="E8641B"/>
          <w:sz w:val="20"/>
          <w:szCs w:val="20"/>
        </w:rPr>
        <w:t xml:space="preserve">12</w:t>
      </w:r>
      <w:r>
        <w:rPr>
          <w:rFonts w:ascii="IBM Plex Sans" w:cs="IBM Plex Sans" w:eastAsia="IBM Plex Sans" w:hAnsi="IBM Plex Sans"/>
          <w:color w:val="1F2937"/>
          <w:sz w:val="20"/>
          <w:szCs w:val="20"/>
        </w:rPr>
        <w:t xml:space="preserve">	Sequencing and definition of done</w:t>
      </w: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1. Verdict</w:t>
      </w:r>
    </w:p>
    <w:p>
      <w:pPr>
        <w:spacing w:after="120" w:line="276"/>
      </w:pPr>
      <w:r>
        <w:rPr>
          <w:rFonts w:ascii="IBM Plex Sans" w:cs="IBM Plex Sans" w:eastAsia="IBM Plex Sans" w:hAnsi="IBM Plex Sans"/>
          <w:color w:val="1F2937"/>
          <w:sz w:val="20"/>
          <w:szCs w:val="20"/>
        </w:rPr>
        <w:t xml:space="preserve">This is a good mock. It is better than most first cuts of a customs product, and in places it is better than the brief: the duty arithmetic is internally consistent to the rupee, the identifiers are structurally valid, the DSC registry models certificate expiry and agent pairing the way the architecture requires, the amendment screen shows a field-level before-and-after diff, and the mobile layout is a genuine card-based rework rather than a squeezed table. Somebody understood the domain before opening a design tool.</w:t>
      </w:r>
    </w:p>
    <w:p>
      <w:pPr>
        <w:spacing w:after="120" w:line="276"/>
      </w:pPr>
      <w:r>
        <w:rPr>
          <w:rFonts w:ascii="IBM Plex Sans" w:cs="IBM Plex Sans" w:eastAsia="IBM Plex Sans" w:hAnsi="IBM Plex Sans"/>
          <w:color w:val="1F2937"/>
          <w:sz w:val="20"/>
          <w:szCs w:val="20"/>
        </w:rPr>
        <w:t xml:space="preserve">It is not yet a product, and the gap is not cosmetic. The mock is a convincing surface over a lifecycle that has not been built. The single screen a customs broker lives in — the declaration workspace — does not exist; every link to it returns a 404. Three of the places where the product touches the law are modelled as if they were ordinary web forms: a query reply is a free-text box with a Send button when it is in fact a filed, signed, evidenced message; an amendment shows a diff but never names the ICES message type or amendment code that would actually be transmitted; and the client portal renders inside the broker's own shell, exposing internal job identifiers, internal channel states and the broker's live signing session to the client. And the e-Sanchit module is built on a size and resolution model that is out by roughly an order of magnitude against the published specification.</w:t>
      </w:r>
    </w:p>
    <w:p>
      <w:pPr>
        <w:spacing w:after="120" w:line="276"/>
      </w:pPr>
      <w:r>
        <w:rPr>
          <w:rFonts w:ascii="IBM Plex Sans" w:cs="IBM Plex Sans" w:eastAsia="IBM Plex Sans" w:hAnsi="IBM Plex Sans"/>
          <w:color w:val="1F2937"/>
          <w:sz w:val="20"/>
          <w:szCs w:val="20"/>
        </w:rPr>
        <w:t xml:space="preserve">Nine findings are marked blocking. None of them is hard to fix, and several are fixed by deleting a wrong thing rather than building a new one. The work is best understood as three passes: correct what is wrong, build the three missing surfaces, then tighten the presentation.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B2A4A" w:sz="36"/>
              <w:bottom w:val="none" w:color="FFFFFF" w:sz="0"/>
              <w:right w:val="none" w:color="FFFFFF" w:sz="0"/>
            </w:tcBorders>
            <w:shd w:fill="EEF1F7" w:color="auto" w:val="clear"/>
            <w:tcMar>
              <w:top w:type="dxa" w:w="120"/>
              <w:left w:type="dxa" w:w="200"/>
              <w:bottom w:type="dxa" w:w="120"/>
              <w:right w:type="dxa" w:w="200"/>
            </w:tcMar>
          </w:tcPr>
          <w:p>
            <w:pPr>
              <w:spacing w:after="80"/>
            </w:pPr>
            <w:r>
              <w:rPr>
                <w:rFonts w:ascii="IBM Plex Sans" w:cs="IBM Plex Sans" w:eastAsia="IBM Plex Sans" w:hAnsi="IBM Plex Sans"/>
                <w:b/>
                <w:bCs/>
                <w:color w:val="1B2A4A"/>
                <w:sz w:val="20"/>
                <w:szCs w:val="20"/>
              </w:rPr>
              <w:t xml:space="preserve">The one-line summary for the team</w:t>
            </w:r>
          </w:p>
          <w:p>
            <w:pPr>
              <w:spacing w:after="60" w:line="260"/>
            </w:pPr>
            <w:r>
              <w:rPr>
                <w:rFonts w:ascii="IBM Plex Sans" w:cs="IBM Plex Sans" w:eastAsia="IBM Plex Sans" w:hAnsi="IBM Plex Sans"/>
                <w:color w:val="1F2937"/>
                <w:sz w:val="19"/>
                <w:szCs w:val="19"/>
              </w:rPr>
              <w:t xml:space="preserve">The shell, the visual language and the data modelling are right. What is missing is the middle of the product — the workspace where a declaration is actually prepared, validated, approved, signed and transmitted — and what is wrong is that three legally-loaded actions are drawn as though they were ordinary CRUD.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9"/>
        <w:gridCol w:w="899"/>
        <w:gridCol w:w="7148"/>
      </w:tblGrid>
      <w:tr>
        <w:trPr>
          <w:cantSplit/>
          <w:tblHeader/>
        </w:trPr>
        <w:tc>
          <w:tcPr>
            <w:tcW w:type="dxa" w:w="16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Severity</w:t>
            </w:r>
          </w:p>
        </w:tc>
        <w:tc>
          <w:tcPr>
            <w:tcW w:type="dxa" w:w="8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Count</w:t>
            </w:r>
          </w:p>
        </w:tc>
        <w:tc>
          <w:tcPr>
            <w:tcW w:type="dxa" w:w="71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Meaning</w:t>
            </w:r>
          </w:p>
        </w:tc>
      </w:tr>
      <w:tr>
        <w:trPr>
          <w:cantSplit/>
        </w:trPr>
        <w:tc>
          <w:tcPr>
            <w:tcW w:type="dxa" w:w="1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8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9</w:t>
            </w:r>
          </w:p>
        </w:tc>
        <w:tc>
          <w:tcPr>
            <w:tcW w:type="dxa" w:w="71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Do not demo to a broker until fixed — either factually wrong about how filing works, or a core surface is absent</w:t>
            </w:r>
          </w:p>
        </w:tc>
      </w:tr>
      <w:tr>
        <w:trPr>
          <w:cantSplit/>
        </w:trPr>
        <w:tc>
          <w:tcPr>
            <w:tcW w:type="dxa" w:w="1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8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14</w:t>
            </w:r>
          </w:p>
        </w:tc>
        <w:tc>
          <w:tcPr>
            <w:tcW w:type="dxa" w:w="71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Fix before pilot — misleads the user, misstates a number, or removes a required control</w:t>
            </w:r>
          </w:p>
        </w:tc>
      </w:tr>
      <w:tr>
        <w:trPr>
          <w:cantSplit/>
        </w:trPr>
        <w:tc>
          <w:tcPr>
            <w:tcW w:type="dxa" w:w="1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8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16</w:t>
            </w:r>
          </w:p>
        </w:tc>
        <w:tc>
          <w:tcPr>
            <w:tcW w:type="dxa" w:w="71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Fix before general availability — presentation, consistency, accessibility</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2. What was reviewed and how</w:t>
      </w:r>
    </w:p>
    <w:p>
      <w:pPr>
        <w:pStyle w:val="ListParagraph"/>
        <w:numPr>
          <w:ilvl w:val="0"/>
          <w:numId w:val="2"/>
        </w:numPr>
        <w:spacing w:after="60" w:line="264"/>
      </w:pPr>
      <w:r>
        <w:rPr>
          <w:rFonts w:ascii="IBM Plex Sans" w:cs="IBM Plex Sans" w:eastAsia="IBM Plex Sans" w:hAnsi="IBM Plex Sans"/>
          <w:color w:val="1F2937"/>
          <w:sz w:val="20"/>
          <w:szCs w:val="20"/>
        </w:rPr>
        <w:t xml:space="preserve">Every route the application links to was crawled and captured full-page at 1440×900: the dashboard, jobs, documents, queries, duty, portal, amendments, reports and admin, plus the new-job flow.</w:t>
      </w:r>
    </w:p>
    <w:p>
      <w:pPr>
        <w:pStyle w:val="ListParagraph"/>
        <w:numPr>
          <w:ilvl w:val="0"/>
          <w:numId w:val="2"/>
        </w:numPr>
        <w:spacing w:after="60" w:line="264"/>
      </w:pPr>
      <w:r>
        <w:rPr>
          <w:rFonts w:ascii="IBM Plex Sans" w:cs="IBM Plex Sans" w:eastAsia="IBM Plex Sans" w:hAnsi="IBM Plex Sans"/>
          <w:color w:val="1F2937"/>
          <w:sz w:val="20"/>
          <w:szCs w:val="20"/>
        </w:rPr>
        <w:t xml:space="preserve">Detail routes linked from the dashboard and the jobs table were requested directly to confirm whether they resolve.</w:t>
      </w:r>
    </w:p>
    <w:p>
      <w:pPr>
        <w:pStyle w:val="ListParagraph"/>
        <w:numPr>
          <w:ilvl w:val="0"/>
          <w:numId w:val="2"/>
        </w:numPr>
        <w:spacing w:after="60" w:line="264"/>
      </w:pPr>
      <w:r>
        <w:rPr>
          <w:rFonts w:ascii="IBM Plex Sans" w:cs="IBM Plex Sans" w:eastAsia="IBM Plex Sans" w:hAnsi="IBM Plex Sans"/>
          <w:color w:val="1F2937"/>
          <w:sz w:val="20"/>
          <w:szCs w:val="20"/>
        </w:rPr>
        <w:t xml:space="preserve">Interactions were driven rather than assumed: admin section tabs were clicked, a jobs row was clicked through, and the resulting URL and rendered panel were compared with what the corresponding link emits.</w:t>
      </w:r>
    </w:p>
    <w:p>
      <w:pPr>
        <w:pStyle w:val="ListParagraph"/>
        <w:numPr>
          <w:ilvl w:val="0"/>
          <w:numId w:val="2"/>
        </w:numPr>
        <w:spacing w:after="60" w:line="264"/>
      </w:pPr>
      <w:r>
        <w:rPr>
          <w:rFonts w:ascii="IBM Plex Sans" w:cs="IBM Plex Sans" w:eastAsia="IBM Plex Sans" w:hAnsi="IBM Plex Sans"/>
          <w:color w:val="1F2937"/>
          <w:sz w:val="20"/>
          <w:szCs w:val="20"/>
        </w:rPr>
        <w:t xml:space="preserve">The four highest-traffic screens were captured at 390×844 with touch emulation to assess the mobile rework, and the dashboard and jobs list were captured under a dark colour scheme.</w:t>
      </w:r>
    </w:p>
    <w:p>
      <w:pPr>
        <w:pStyle w:val="ListParagraph"/>
        <w:numPr>
          <w:ilvl w:val="0"/>
          <w:numId w:val="2"/>
        </w:numPr>
        <w:spacing w:after="60" w:line="264"/>
      </w:pPr>
      <w:r>
        <w:rPr>
          <w:rFonts w:ascii="IBM Plex Sans" w:cs="IBM Plex Sans" w:eastAsia="IBM Plex Sans" w:hAnsi="IBM Plex Sans"/>
          <w:color w:val="1F2937"/>
          <w:sz w:val="20"/>
          <w:szCs w:val="20"/>
        </w:rPr>
        <w:t xml:space="preserve">An automated accessibility pass measured landmark structure, heading order, table semantics, accessible names for controls, form labelling, live regions and focus visibility across twenty-five tab stops.</w:t>
      </w:r>
    </w:p>
    <w:p>
      <w:pPr>
        <w:pStyle w:val="ListParagraph"/>
        <w:numPr>
          <w:ilvl w:val="0"/>
          <w:numId w:val="2"/>
        </w:numPr>
        <w:spacing w:after="60" w:line="264"/>
      </w:pPr>
      <w:r>
        <w:rPr>
          <w:rFonts w:ascii="IBM Plex Sans" w:cs="IBM Plex Sans" w:eastAsia="IBM Plex Sans" w:hAnsi="IBM Plex Sans"/>
          <w:color w:val="1F2937"/>
          <w:sz w:val="20"/>
          <w:szCs w:val="20"/>
        </w:rPr>
        <w:t xml:space="preserve">Domain claims made on screen — resolution limits, file sizes, document codes, duty heads, port codes, identifier formats — were checked against the primary sources held in the project and, where those are silent, against the published e-Sanchit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F7A4D" w:sz="36"/>
              <w:bottom w:val="none" w:color="FFFFFF" w:sz="0"/>
              <w:right w:val="none" w:color="FFFFFF" w:sz="0"/>
            </w:tcBorders>
            <w:shd w:fill="EAF6EF" w:color="auto" w:val="clear"/>
            <w:tcMar>
              <w:top w:type="dxa" w:w="120"/>
              <w:left w:type="dxa" w:w="200"/>
              <w:bottom w:type="dxa" w:w="120"/>
              <w:right w:type="dxa" w:w="200"/>
            </w:tcMar>
          </w:tcPr>
          <w:p>
            <w:pPr>
              <w:spacing w:after="80"/>
            </w:pPr>
            <w:r>
              <w:rPr>
                <w:rFonts w:ascii="IBM Plex Sans" w:cs="IBM Plex Sans" w:eastAsia="IBM Plex Sans" w:hAnsi="IBM Plex Sans"/>
                <w:b/>
                <w:bCs/>
                <w:color w:val="1F7A4D"/>
                <w:sz w:val="20"/>
                <w:szCs w:val="20"/>
              </w:rPr>
              <w:t xml:space="preserve">A note on the arithmetic</w:t>
            </w:r>
          </w:p>
          <w:p>
            <w:pPr>
              <w:spacing w:after="60" w:line="260"/>
            </w:pPr>
            <w:r>
              <w:rPr>
                <w:rFonts w:ascii="IBM Plex Sans" w:cs="IBM Plex Sans" w:eastAsia="IBM Plex Sans" w:hAnsi="IBM Plex Sans"/>
                <w:color w:val="1F2937"/>
                <w:sz w:val="19"/>
                <w:szCs w:val="19"/>
              </w:rPr>
              <w:t xml:space="preserve">Every number on the duty ledger was recomputed. Social Welfare Surcharge is exactly ten per cent of Basic Customs Duty on all four rows; the four heads sum to the stated estimate on all four rows; the aggregate tiles reconcile to the rows, including the estimate-versus-assessed variance of ₹11,600. This is unusual in a mock and it is worth saying out loud, because it means the person who built it was reasoning about duty rather than typing plausible numbers.</w:t>
            </w:r>
          </w:p>
        </w:tc>
      </w:tr>
    </w:tbl>
    <w:p>
      <w:pPr>
        <w:spacing w:after="16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3. Scorecard by screen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9"/>
        <w:gridCol w:w="949"/>
        <w:gridCol w:w="999"/>
        <w:gridCol w:w="999"/>
        <w:gridCol w:w="5400"/>
      </w:tblGrid>
      <w:tr>
        <w:trPr>
          <w:cantSplit/>
          <w:tblHeader/>
        </w:trPr>
        <w:tc>
          <w:tcPr>
            <w:tcW w:type="dxa" w:w="13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Screen</w:t>
            </w:r>
          </w:p>
        </w:tc>
        <w:tc>
          <w:tcPr>
            <w:tcW w:type="dxa" w:w="94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Domain</w:t>
            </w:r>
          </w:p>
        </w:tc>
        <w:tc>
          <w:tcPr>
            <w:tcW w:type="dxa" w:w="9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Cover</w:t>
            </w:r>
          </w:p>
        </w:tc>
        <w:tc>
          <w:tcPr>
            <w:tcW w:type="dxa" w:w="9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Visual</w:t>
            </w:r>
          </w:p>
        </w:tc>
        <w:tc>
          <w:tcPr>
            <w:tcW w:type="dxa" w:w="5400"/>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Comment</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Dashboard</w:t>
            </w:r>
          </w:p>
        </w:tc>
        <w:tc>
          <w:tcPr>
            <w:tcW w:type="dxa" w:w="94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5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deadline board is the right organising idea. Needs mode and absolute due time; every link on it is broken</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Jobs list</w:t>
            </w:r>
          </w:p>
        </w:tc>
        <w:tc>
          <w:tcPr>
            <w:tcW w:type="dxa" w:w="94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54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Right columns, wrong state vocabulary, no BE/SB number, and it leads nowhere</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Job detail</w:t>
            </w:r>
          </w:p>
        </w:tc>
        <w:tc>
          <w:tcPr>
            <w:tcW w:type="dxa" w:w="94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Absent</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t>
            </w:r>
          </w:p>
        </w:tc>
        <w:tc>
          <w:tcPr>
            <w:tcW w:type="dxa" w:w="5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Does not exist. The primary workspace of the product</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Documents</w:t>
            </w:r>
          </w:p>
        </w:tc>
        <w:tc>
          <w:tcPr>
            <w:tcW w:type="dxa" w:w="94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Weak</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54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Excellent pipeline model built on a wrong size and resolution specification</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Queries</w:t>
            </w:r>
          </w:p>
        </w:tc>
        <w:tc>
          <w:tcPr>
            <w:tcW w:type="dxa" w:w="94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Weak</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5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Reply modelled as email, not as a filed message. No declaration context beside the query</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Duty</w:t>
            </w:r>
          </w:p>
        </w:tc>
        <w:tc>
          <w:tcPr>
            <w:tcW w:type="dxa" w:w="94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54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Arithmetic is right. Missing challan number and the interest exposure in rupees</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Amendments</w:t>
            </w:r>
          </w:p>
        </w:tc>
        <w:tc>
          <w:tcPr>
            <w:tcW w:type="dxa" w:w="94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Strong</w:t>
            </w:r>
          </w:p>
        </w:tc>
        <w:tc>
          <w:tcPr>
            <w:tcW w:type="dxa" w:w="5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Best screen in the mock. Missing the codes that constitute the message</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Client portal</w:t>
            </w:r>
          </w:p>
        </w:tc>
        <w:tc>
          <w:tcPr>
            <w:tcW w:type="dxa" w:w="94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Weak</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54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Rendered inside the broker shell. Leaks internal state to the client</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Reports</w:t>
            </w:r>
          </w:p>
        </w:tc>
        <w:tc>
          <w:tcPr>
            <w:tcW w:type="dxa" w:w="94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Partial</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Weak</w:t>
            </w:r>
          </w:p>
        </w:tc>
        <w:tc>
          <w:tcPr>
            <w:tcW w:type="dxa" w:w="5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Charts without axes or values. Measures a thing we cannot yet source</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Admin</w:t>
            </w:r>
          </w:p>
        </w:tc>
        <w:tc>
          <w:tcPr>
            <w:tcW w:type="dxa" w:w="94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Good</w:t>
            </w:r>
          </w:p>
        </w:tc>
        <w:tc>
          <w:tcPr>
            <w:tcW w:type="dxa" w:w="9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Weak</w:t>
            </w:r>
          </w:p>
        </w:tc>
        <w:tc>
          <w:tcPr>
            <w:tcW w:type="dxa" w:w="54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Content is right and well modelled. Three layers of navigation and broken deep links</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4. What to keep — do not regress these</w:t>
      </w:r>
    </w:p>
    <w:p>
      <w:pPr>
        <w:spacing w:after="120" w:line="276"/>
      </w:pPr>
      <w:r>
        <w:rPr>
          <w:rFonts w:ascii="IBM Plex Sans" w:cs="IBM Plex Sans" w:eastAsia="IBM Plex Sans" w:hAnsi="IBM Plex Sans"/>
          <w:color w:val="1F2937"/>
          <w:sz w:val="20"/>
          <w:szCs w:val="20"/>
        </w:rPr>
        <w:t xml:space="preserve">A review that only lists faults invites a rewrite, and a rewrite would lose the following. These are correct and should survive every change below.</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The duty arithmetic and its reconciliation.</w:t>
      </w:r>
      <w:r>
        <w:rPr>
          <w:rFonts w:ascii="IBM Plex Sans" w:cs="IBM Plex Sans" w:eastAsia="IBM Plex Sans" w:hAnsi="IBM Plex Sans"/>
          <w:color w:val="1F2937"/>
          <w:sz w:val="20"/>
          <w:szCs w:val="20"/>
        </w:rPr>
        <w:t xml:space="preserve"> SWS at ten per cent of BCD, heads summing to the estimate, tiles reconciling to rows. Keep the model; add to it.</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Structurally valid identifiers.</w:t>
      </w:r>
      <w:r>
        <w:rPr>
          <w:rFonts w:ascii="IBM Plex Sans" w:cs="IBM Plex Sans" w:eastAsia="IBM Plex Sans" w:hAnsi="IBM Plex Sans"/>
          <w:color w:val="1F2937"/>
          <w:sz w:val="20"/>
          <w:szCs w:val="20"/>
        </w:rPr>
        <w:t xml:space="preserve"> IECs in PAN format, a GSTIN whose state code, PAN, entity number and check character all hang together, real port codes (INNSA1, INBOM4, INMAA4, INTKD6) mapped to the right locations.</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The DSC and signatory registry.</w:t>
      </w:r>
      <w:r>
        <w:rPr>
          <w:rFonts w:ascii="IBM Plex Sans" w:cs="IBM Plex Sans" w:eastAsia="IBM Plex Sans" w:hAnsi="IBM Plex Sans"/>
          <w:color w:val="1F2937"/>
          <w:sz w:val="20"/>
          <w:szCs w:val="20"/>
        </w:rPr>
        <w:t xml:space="preserve"> Real certifying authorities, certificate serials, validity dates with T-42 / T-7 / T-1 expiry warnings, ICEGATE registration status, and signing-agent pairing including an unpaired signatory. This is exactly the model the architecture calls for.</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The amendment diff.</w:t>
      </w:r>
      <w:r>
        <w:rPr>
          <w:rFonts w:ascii="IBM Plex Sans" w:cs="IBM Plex Sans" w:eastAsia="IBM Plex Sans" w:hAnsi="IBM Plex Sans"/>
          <w:color w:val="1F2937"/>
          <w:sz w:val="20"/>
          <w:szCs w:val="20"/>
        </w:rPr>
        <w:t xml:space="preserve"> Field-level before and after, a mandatory reason, a supporting IRN and a status tracker. This is the right shape for every change surface in the product.</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The document pipeline stages.</w:t>
      </w:r>
      <w:r>
        <w:rPr>
          <w:rFonts w:ascii="IBM Plex Sans" w:cs="IBM Plex Sans" w:eastAsia="IBM Plex Sans" w:hAnsi="IBM Plex Sans"/>
          <w:color w:val="1F2937"/>
          <w:sz w:val="20"/>
          <w:szCs w:val="20"/>
        </w:rPr>
        <w:t xml:space="preserve"> Queued, classified, normalised, signed, uploaded, failed — with the before-and-after size and the inline failure explanation on the row.</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The mobile rework.</w:t>
      </w:r>
      <w:r>
        <w:rPr>
          <w:rFonts w:ascii="IBM Plex Sans" w:cs="IBM Plex Sans" w:eastAsia="IBM Plex Sans" w:hAnsi="IBM Plex Sans"/>
          <w:color w:val="1F2937"/>
          <w:sz w:val="20"/>
          <w:szCs w:val="20"/>
        </w:rPr>
        <w:t xml:space="preserve"> Tables become cards, filters collapse, a bottom tab bar appears. It is a real responsive design, not a shrunk desktop.</w:t>
      </w:r>
    </w:p>
    <w:p>
      <w:pPr>
        <w:pStyle w:val="ListParagraph"/>
        <w:numPr>
          <w:ilvl w:val="0"/>
          <w:numId w:val="3"/>
        </w:numPr>
        <w:spacing w:after="60" w:line="264"/>
      </w:pPr>
      <w:r>
        <w:rPr>
          <w:rFonts w:ascii="IBM Plex Sans" w:cs="IBM Plex Sans" w:eastAsia="IBM Plex Sans" w:hAnsi="IBM Plex Sans"/>
          <w:b/>
          <w:bCs/>
          <w:color w:val="1F2937"/>
          <w:sz w:val="20"/>
          <w:szCs w:val="20"/>
        </w:rPr>
        <w:t xml:space="preserve">The front-end fundamentals.</w:t>
      </w:r>
      <w:r>
        <w:rPr>
          <w:rFonts w:ascii="IBM Plex Sans" w:cs="IBM Plex Sans" w:eastAsia="IBM Plex Sans" w:hAnsi="IBM Plex Sans"/>
          <w:color w:val="1F2937"/>
          <w:sz w:val="20"/>
          <w:szCs w:val="20"/>
        </w:rPr>
        <w:t xml:space="preserve"> Landmark structure, a single H1 per page, table headers, a skip link, a declared language, images with alt text, and a visible focus ring on every one of twenty-five tab stops. Dark mode works throughout.</w:t>
      </w: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5. Group A — Domain correctness</w:t>
      </w:r>
    </w:p>
    <w:p>
      <w:pPr>
        <w:spacing w:after="120" w:line="276"/>
      </w:pPr>
      <w:r>
        <w:rPr>
          <w:rFonts w:ascii="IBM Plex Sans" w:cs="IBM Plex Sans" w:eastAsia="IBM Plex Sans" w:hAnsi="IBM Plex Sans"/>
          <w:color w:val="1F2937"/>
          <w:sz w:val="20"/>
          <w:szCs w:val="20"/>
        </w:rPr>
        <w:t xml:space="preserve">These are places where the mock asserts something about customs filing that is either wrong, unsourced, or inconsistent with the PRD and the ICES formats. They come first because they are the ones that lose credibility in front of a broker, and because they change what gets built rather than how it looks.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048"/>
        <w:gridCol w:w="799"/>
        <w:gridCol w:w="4200"/>
      </w:tblGrid>
      <w:tr>
        <w:trPr>
          <w:cantSplit/>
          <w:tblHeader/>
        </w:trPr>
        <w:tc>
          <w:tcPr>
            <w:tcW w:type="dxa" w:w="6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ID</w:t>
            </w:r>
          </w:p>
        </w:tc>
        <w:tc>
          <w:tcPr>
            <w:tcW w:type="dxa" w:w="40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Finding</w:t>
            </w:r>
          </w:p>
        </w:tc>
        <w:tc>
          <w:tcPr>
            <w:tcW w:type="dxa" w:w="7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Sev.</w:t>
            </w:r>
          </w:p>
        </w:tc>
        <w:tc>
          <w:tcPr>
            <w:tcW w:type="dxa" w:w="4200"/>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Fix</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A-01</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query reply is modelled as email.</w:t>
            </w:r>
            <w:r>
              <w:rPr>
                <w:rFonts w:ascii="IBM Plex Sans" w:cs="IBM Plex Sans" w:eastAsia="IBM Plex Sans" w:hAnsi="IBM Plex Sans"/>
                <w:color w:val="1F2937"/>
                <w:sz w:val="17"/>
                <w:szCs w:val="17"/>
              </w:rPr>
              <w:t xml:space="preserve"> The query desk offers a free-text box, an "Attach evidence" button and "Send reply". A reply to an officer query is a filed message — CACHI06 for imports, CACHE04 for exports — carrying the same obligations as the original declaration: validation, human approval, DSC signature, transmission through the outbox, evidence capture and an acknowledgement.</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Rebuild the reply as a message composer: draft, validate, preview the payload, approve, sign, transmit, then show the acknowledgement state. Bind supporting evidence by existing IRN rather than uploading a new file.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A-02</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e-Sanchit size and resolution model is wrong.</w:t>
            </w:r>
            <w:r>
              <w:rPr>
                <w:rFonts w:ascii="IBM Plex Sans" w:cs="IBM Plex Sans" w:eastAsia="IBM Plex Sans" w:hAnsi="IBM Plex Sans"/>
                <w:color w:val="1F2937"/>
                <w:sz w:val="17"/>
                <w:szCs w:val="17"/>
              </w:rPr>
              <w:t xml:space="preserve"> The banner states "300 DPI e-Sanchit minimum"; a failure row on the same screen states a 200 DPI minimum; and documents of 640 KB, 890 KB and 8.7 MB are shown progressing to "Uploaded to e-Sanchit". The published specification is PDF/A (ISO 19005-2), a minimum of 200 DPI in black and white, approximately 75 KB per A4 page, and a ceiling of 1 MB per file. The mock is out by roughly an order of magnitude.</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Set one sourced resolution floor (200 DPI) and one sourced size ceiling (1 MB per file, ~75 KB per page) in configuration, cite the source in the UI, and re-derive every fixture size. The 10 MB figure in our own PRD is the fileSubmit channel ceiling, not the e-Sanchit limit — the two must not be conflated.</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A-03</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An amendment has no message type and no amendment code.</w:t>
            </w:r>
            <w:r>
              <w:rPr>
                <w:rFonts w:ascii="IBM Plex Sans" w:cs="IBM Plex Sans" w:eastAsia="IBM Plex Sans" w:hAnsi="IBM Plex Sans"/>
                <w:color w:val="1F2937"/>
                <w:sz w:val="17"/>
                <w:szCs w:val="17"/>
              </w:rPr>
              <w:t xml:space="preserve"> The screen shows which fields changed but never names what will be transmitted. ICES requires a message type (F fresh, A amendment, S supplementary, D deletion, R export short shipment) and an amendment or remarks code (A_MAIN, S_INV, D_ITEM, S_DOCS, A_PBEIGM for imports; sb_updt, item_insrt, dbk_updt, ShortShip for exports).</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Derive the message type and the code set from the field delta, show them prominently as the thing being filed, and let the user confirm or override with a reason. The diff is the evidence; the codes are the message.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A-04</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client portal runs inside the broker's shell.</w:t>
            </w:r>
            <w:r>
              <w:rPr>
                <w:rFonts w:ascii="IBM Plex Sans" w:cs="IBM Plex Sans" w:eastAsia="IBM Plex Sans" w:hAnsi="IBM Plex Sans"/>
                <w:color w:val="1F2937"/>
                <w:sz w:val="17"/>
                <w:szCs w:val="17"/>
              </w:rPr>
              <w:t xml:space="preserve"> It carries the broker's icon rail (Jobs, Documents, Queries, Duty, Admin), the broker's avatar, and the live "Signing agent: Ravi K. · 3h 5m" session indicator. It also shows the client internal job identifiers and internal channel states — a client is told their shipment is "Transmit Failed", which means nothing to them and generates a phone call.</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Give the portal its own shell, its own authentication context and its own state vocabulary. The architecture is explicit: the portal is a read model that never exposes internal ids, channel names or message identifiers. "Transmit Failed" becomes "Filing in progress — we are on it".</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A-05</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"Duty impact +₹5,300" is not a duty figure.</w:t>
            </w:r>
            <w:r>
              <w:rPr>
                <w:rFonts w:ascii="IBM Plex Sans" w:cs="IBM Plex Sans" w:eastAsia="IBM Plex Sans" w:hAnsi="IBM Plex Sans"/>
                <w:color w:val="1F2937"/>
                <w:sz w:val="17"/>
                <w:szCs w:val="17"/>
              </w:rPr>
              <w:t xml:space="preserve"> On AMD-2026-0091 the assessable value moves from ₹1,83,000 to ₹1,88,300 — a difference of exactly ₹5,300 — and that difference is presented as the duty impact. Duty on a ₹5,300 increase in assessable value is a small fraction of ₹5,300. It is also rendered in green, which reads as good news for an increase in what the client owes.</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Compute the duty delta head by head from the changed values and label it as such. Use a neutral treatment for an increase, and show the value delta and the duty delta as two separate figures.</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A-06</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environment indicator anywhere.</w:t>
            </w:r>
            <w:r>
              <w:rPr>
                <w:rFonts w:ascii="IBM Plex Sans" w:cs="IBM Plex Sans" w:eastAsia="IBM Plex Sans" w:hAnsi="IBM Plex Sans"/>
                <w:color w:val="1F2937"/>
                <w:sz w:val="17"/>
                <w:szCs w:val="17"/>
              </w:rPr>
              <w:t xml:space="preserve"> The ICES envelope carries a T or P indicator, and filing to the wrong environment is a category of incident this product exists to prevent. Nothing on screen says whether the user is looking at UAT or production.</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permanent, unmissable environment badge in the header, derived from configuration and never from user input. In UAT it should be loud enough to be uncomfortable.</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A-07</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duty ledger has no challan number and no interest exposure.</w:t>
            </w:r>
            <w:r>
              <w:rPr>
                <w:rFonts w:ascii="IBM Plex Sans" w:cs="IBM Plex Sans" w:eastAsia="IBM Plex Sans" w:hAnsi="IBM Plex Sans"/>
                <w:color w:val="1F2937"/>
                <w:sz w:val="17"/>
                <w:szCs w:val="17"/>
              </w:rPr>
              <w:t xml:space="preserve"> The challan number arrives on the CHCAI04 message and is the reference a broker and a client both use to trace a payment. And an overdue row says "Overdue by 47h 0m" without saying what those forty-seven hours cost, when Section 47 interest at the notified rate is precisely the number that drives the client to pay.</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Add a challan column populated from the inbound message, and put the accrued interest in rupees on the row and in the alert, next to the time.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A-08</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BE or SB number on the jobs list.</w:t>
            </w:r>
            <w:r>
              <w:rPr>
                <w:rFonts w:ascii="IBM Plex Sans" w:cs="IBM Plex Sans" w:eastAsia="IBM Plex Sans" w:hAnsi="IBM Plex Sans"/>
                <w:color w:val="1F2937"/>
                <w:sz w:val="17"/>
                <w:szCs w:val="17"/>
              </w:rPr>
              <w:t xml:space="preserve"> The search box offers to search by "BE/SB no." but no column carries it. Once a declaration is filed, the BE number is the identifier every downstream conversation uses.</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Add a BE/SB number column, empty until allotted, and make it the secondary identifier throughout — on the duty ledger it is already present and correct.</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A-09</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amendment has no approval, signature or transmission step.</w:t>
            </w:r>
            <w:r>
              <w:rPr>
                <w:rFonts w:ascii="IBM Plex Sans" w:cs="IBM Plex Sans" w:eastAsia="IBM Plex Sans" w:hAnsi="IBM Plex Sans"/>
                <w:color w:val="1F2937"/>
                <w:sz w:val="17"/>
                <w:szCs w:val="17"/>
              </w:rPr>
              <w:t xml:space="preserve"> The status tracker begins at "Requested" and moves to "Under Review", as though the request were submitted by being saved. An amendment is a filed message and needs the same ceremony as the original.</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Insert approve, sign and transmit into the amendment lifecycle, with the same evidence capture, and show the acknowledgement state before "Under Review".</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A-10</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jobs state vocabulary does not match the lifecycle.</w:t>
            </w:r>
            <w:r>
              <w:rPr>
                <w:rFonts w:ascii="IBM Plex Sans" w:cs="IBM Plex Sans" w:eastAsia="IBM Plex Sans" w:hAnsi="IBM Plex Sans"/>
                <w:color w:val="1F2937"/>
                <w:sz w:val="17"/>
                <w:szCs w:val="17"/>
              </w:rPr>
              <w:t xml:space="preserve"> The list shows Under Appraisement, Exported, Rejected, Transmit Failed, Ready to File, Goods Registered, Duty Paid and Out of Charge. Absent are Draft, Validated, Awaiting Approval, Signed, Transmitted, Query Raised, Assessed and Amended — the states in which most declarations spend most of their time.</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Adopt the PRD lifecycle as the single state vocabulary, drive it from the lifecycle engine, and make the state chip the same component everywhere it appears.</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A-11</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deadline board does not show mode.</w:t>
            </w:r>
            <w:r>
              <w:rPr>
                <w:rFonts w:ascii="IBM Plex Sans" w:cs="IBM Plex Sans" w:eastAsia="IBM Plex Sans" w:hAnsi="IBM Plex Sans"/>
                <w:color w:val="1F2937"/>
                <w:sz w:val="17"/>
                <w:szCs w:val="17"/>
              </w:rPr>
              <w:t xml:space="preserve"> Section 46 under Circular 08/2021 gives end of the day preceding arrival for sea and end of the day of arrival for air, ICD and land. A deadline row that says "Section 46 filing" without saying which rule applies cannot be checked by the person responsible for it.</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Show mode and port on every deadline row, and state the rule in the tooltip with its source.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A-12</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Relative time only, on every clock in the product.</w:t>
            </w:r>
            <w:r>
              <w:rPr>
                <w:rFonts w:ascii="IBM Plex Sans" w:cs="IBM Plex Sans" w:eastAsia="IBM Plex Sans" w:hAnsi="IBM Plex Sans"/>
                <w:color w:val="1F2937"/>
                <w:sz w:val="17"/>
                <w:szCs w:val="17"/>
              </w:rPr>
              <w:t xml:space="preserve"> "45m", "3h 12m", "10h 20m". A broker works to a wall clock and a cut-off, not to a countdown.</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Show the absolute due instant in IST as the primary value and the countdown as the secondary — "due 18:00 today · 3h 12m left".</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A-13</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"Time to clearance — Out of Charge vs Let Export Order".</w:t>
            </w:r>
            <w:r>
              <w:rPr>
                <w:rFonts w:ascii="IBM Plex Sans" w:cs="IBM Plex Sans" w:eastAsia="IBM Plex Sans" w:hAnsi="IBM Plex Sans"/>
                <w:color w:val="1F2937"/>
                <w:sz w:val="17"/>
                <w:szCs w:val="17"/>
              </w:rPr>
              <w:t xml:space="preserve"> Out of charge arrives on CHCAI07 and is sourceable. Let Export Order has no message in the ICES format set we hold; this is carried in the project as open question Q6. The chart also draws one series while its subtitle promises two.</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Either name the source for LEO or drop it from the report until Q6 is answered. A measured number with no source is the kind of claim this project has already had to remove once.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A-14</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mandatory document code directory is presented as settled.</w:t>
            </w:r>
            <w:r>
              <w:rPr>
                <w:rFonts w:ascii="IBM Plex Sans" w:cs="IBM Plex Sans" w:eastAsia="IBM Plex Sans" w:hAnsi="IBM Plex Sans"/>
                <w:color w:val="1F2937"/>
                <w:sz w:val="17"/>
                <w:szCs w:val="17"/>
              </w:rPr>
              <w:t xml:space="preserve"> Codes appear as fact (380, 271, 705, 916, 091, 856) when the authoritative published directory is carried as open question Q7. Certificate of origin is conventionally 861 rather than the 856 shown, and the BE and SB schemas both allow a six-character documentTypeCode, which a three-digit list does not exercise.</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Mark the directory provisional in the UI until Q7 closes, cite the source per code, and allow the full six characters the schema permits.</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A-15</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An unsourced integration claim.</w:t>
            </w:r>
            <w:r>
              <w:rPr>
                <w:rFonts w:ascii="IBM Plex Sans" w:cs="IBM Plex Sans" w:eastAsia="IBM Plex Sans" w:hAnsi="IBM Plex Sans"/>
                <w:color w:val="1F2937"/>
                <w:sz w:val="17"/>
                <w:szCs w:val="17"/>
              </w:rPr>
              <w:t xml:space="preserve"> The duty screen footnote asserts that figures reconcile with the "ICEGATE e-payment gateway (ICEGATE ePayment / NEFT/RTGS challans)". This is the same class of claim as the fabricated payment checkout that was removed from the original Google-generated PRD.</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Source it or remove it. If the product tracks payment rather than making it, say that instead — it is a stronger and more honest position.</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6. Group B — Missing surfaces</w:t>
      </w:r>
    </w:p>
    <w:p>
      <w:pPr>
        <w:spacing w:after="120" w:line="276"/>
      </w:pPr>
      <w:r>
        <w:rPr>
          <w:rFonts w:ascii="IBM Plex Sans" w:cs="IBM Plex Sans" w:eastAsia="IBM Plex Sans" w:hAnsi="IBM Plex Sans"/>
          <w:color w:val="1F2937"/>
          <w:sz w:val="20"/>
          <w:szCs w:val="20"/>
        </w:rPr>
        <w:t xml:space="preserve">These are not defects in what was built; they are the parts of the product that have not been built yet. The first is the most important thing in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048"/>
        <w:gridCol w:w="799"/>
        <w:gridCol w:w="4200"/>
      </w:tblGrid>
      <w:tr>
        <w:trPr>
          <w:cantSplit/>
          <w:tblHeader/>
        </w:trPr>
        <w:tc>
          <w:tcPr>
            <w:tcW w:type="dxa" w:w="6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ID</w:t>
            </w:r>
          </w:p>
        </w:tc>
        <w:tc>
          <w:tcPr>
            <w:tcW w:type="dxa" w:w="40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Finding</w:t>
            </w:r>
          </w:p>
        </w:tc>
        <w:tc>
          <w:tcPr>
            <w:tcW w:type="dxa" w:w="7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Sev.</w:t>
            </w:r>
          </w:p>
        </w:tc>
        <w:tc>
          <w:tcPr>
            <w:tcW w:type="dxa" w:w="4200"/>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Fix</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B-01</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declaration workspace does not exist.</w:t>
            </w:r>
            <w:r>
              <w:rPr>
                <w:rFonts w:ascii="IBM Plex Sans" w:cs="IBM Plex Sans" w:eastAsia="IBM Plex Sans" w:hAnsi="IBM Plex Sans"/>
                <w:color w:val="1F2937"/>
                <w:sz w:val="17"/>
                <w:szCs w:val="17"/>
              </w:rPr>
              <w:t xml:space="preserve"> Every job identifier on the dashboard and in the jobs table is a link to /jobs/{id}, and every one of those routes returns 404 — verified on JOB-2026-004822, JOB-2026-004812 and JOB-2026-004798-A. This is the screen where a declaration is actually prepared, and it is where a user of this product would spend the overwhelming majority of their working day.</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Build it. Header with identity, state, clocks and version; tabbed body for declaration data, line items, documents, duty, queries, versions and evidence; a persistent validation panel; and the action rail — validate, request approval, sign, transmit.</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B-02</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validation or pre-flight surface.</w:t>
            </w:r>
            <w:r>
              <w:rPr>
                <w:rFonts w:ascii="IBM Plex Sans" w:cs="IBM Plex Sans" w:eastAsia="IBM Plex Sans" w:hAnsi="IBM Plex Sans"/>
                <w:color w:val="1F2937"/>
                <w:sz w:val="17"/>
                <w:szCs w:val="17"/>
              </w:rPr>
              <w:t xml:space="preserve"> The PRD requirement is that every blocking error is shown before submission, and it is the single largest source of the product's value. Nothing in the mock shows an error before a filing, only a rejection after one.</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validation panel on the workspace listing every finding with its field path, severity, plain-language cause, remediation and the rule that produced it, with the block-or-warn policy visible and overrides requiring a reason.</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B-03</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approval and signing ceremony.</w:t>
            </w:r>
            <w:r>
              <w:rPr>
                <w:rFonts w:ascii="IBM Plex Sans" w:cs="IBM Plex Sans" w:eastAsia="IBM Plex Sans" w:hAnsi="IBM Plex Sans"/>
                <w:color w:val="1F2937"/>
                <w:sz w:val="17"/>
                <w:szCs w:val="17"/>
              </w:rPr>
              <w:t xml:space="preserve"> There is no screen on which a licence holder reviews what will be declared, approves a specific version, and signs it with their own certificate. This is the moment the firm takes legal responsibility.</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review-and-sign screen showing exactly what will be transmitted, the approval hash, the certificate being used, and the four verification facts recorded on signing.</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B-04</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transmission, outbox or evidence view.</w:t>
            </w:r>
            <w:r>
              <w:rPr>
                <w:rFonts w:ascii="IBM Plex Sans" w:cs="IBM Plex Sans" w:eastAsia="IBM Plex Sans" w:hAnsi="IBM Plex Sans"/>
                <w:color w:val="1F2937"/>
                <w:sz w:val="17"/>
                <w:szCs w:val="17"/>
              </w:rPr>
              <w:t xml:space="preserve"> Nothing shows what was sent, when, with which payload, what came back, or how to reproduce it. "Transmit Failed" appears as a state with nowhere to go.</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Block</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transmission record per attempt with the payload checksum, the acknowledgement, timings and the operator, and an evidence bundle download. An ambiguous outcome must be visible as ambiguous, with the acknowledgement probe status, never as a retry button.</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B-05</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goods registration surface for exports.</w:t>
            </w:r>
            <w:r>
              <w:rPr>
                <w:rFonts w:ascii="IBM Plex Sans" w:cs="IBM Plex Sans" w:eastAsia="IBM Plex Sans" w:hAnsi="IBM Plex Sans"/>
                <w:color w:val="1F2937"/>
                <w:sz w:val="17"/>
                <w:szCs w:val="17"/>
              </w:rPr>
              <w:t xml:space="preserve"> CACHE05 is a first-class message in the PRD and has no screen.</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Add goods registration to the export lifecycle with its own state, prerequisites and evidence.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B-06</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channel health.</w:t>
            </w:r>
            <w:r>
              <w:rPr>
                <w:rFonts w:ascii="IBM Plex Sans" w:cs="IBM Plex Sans" w:eastAsia="IBM Plex Sans" w:hAnsi="IBM Plex Sans"/>
                <w:color w:val="1F2937"/>
                <w:sz w:val="17"/>
                <w:szCs w:val="17"/>
              </w:rPr>
              <w:t xml:space="preserve"> When ICEGATE is down or in scheduled maintenance, every user needs to know immediately and the deadline board needs to change its advice.</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channel status indicator in the header with an outage mode on the deadline board and queued-transmission visibility.</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B-07</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bulk signing.</w:t>
            </w:r>
            <w:r>
              <w:rPr>
                <w:rFonts w:ascii="IBM Plex Sans" w:cs="IBM Plex Sans" w:eastAsia="IBM Plex Sans" w:hAnsi="IBM Plex Sans"/>
                <w:color w:val="1F2937"/>
                <w:sz w:val="17"/>
                <w:szCs w:val="17"/>
              </w:rPr>
              <w:t xml:space="preserve"> The real workflow is a signatory inserting a token once and signing a batch. The document list has no multi-select and the jobs list has checkboxes but no bulk action bar.</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Multi-select with a bulk action bar on both lists, and a single DSC session covering the batch.</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B-08</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per-declaration audit pack.</w:t>
            </w:r>
            <w:r>
              <w:rPr>
                <w:rFonts w:ascii="IBM Plex Sans" w:cs="IBM Plex Sans" w:eastAsia="IBM Plex Sans" w:hAnsi="IBM Plex Sans"/>
                <w:color w:val="1F2937"/>
                <w:sz w:val="17"/>
                <w:szCs w:val="17"/>
              </w:rPr>
              <w:t xml:space="preserve"> Reports offers a firm-wide compliance pack. An auditor or a client asks about one declaration.</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Add audit-pack export to the declaration workspace.</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B-09</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Admin deep links are broken.</w:t>
            </w:r>
            <w:r>
              <w:rPr>
                <w:rFonts w:ascii="IBM Plex Sans" w:cs="IBM Plex Sans" w:eastAsia="IBM Plex Sans" w:hAnsi="IBM Plex Sans"/>
                <w:color w:val="1F2937"/>
                <w:sz w:val="17"/>
                <w:szCs w:val="17"/>
              </w:rPr>
              <w:t xml:space="preserve"> The left sub-nav emits /admin?section=dsc and similar, but the query parameter is ignored — the DSC registry and channel credentials panels render only on an in-page click and are unreachable by URL. Two navigation controls point at the same place and only one works.</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Make the section a route or a synchronised query parameter so that every panel is addressable, shareable and restorable on reload.</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7. Group C — Data integrity and presentation</w:t>
      </w:r>
    </w:p>
    <w:p>
      <w:pPr>
        <w:spacing w:after="120" w:line="276"/>
      </w:pPr>
      <w:r>
        <w:rPr>
          <w:rFonts w:ascii="IBM Plex Sans" w:cs="IBM Plex Sans" w:eastAsia="IBM Plex Sans" w:hAnsi="IBM Plex Sans"/>
          <w:color w:val="1F2937"/>
          <w:sz w:val="20"/>
          <w:szCs w:val="20"/>
        </w:rPr>
        <w:t xml:space="preserve">These are the things a broker in a demo notices out loud. Individually they are small; together they are the difference between a product and a prototype.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048"/>
        <w:gridCol w:w="799"/>
        <w:gridCol w:w="4200"/>
      </w:tblGrid>
      <w:tr>
        <w:trPr>
          <w:cantSplit/>
          <w:tblHeader/>
        </w:trPr>
        <w:tc>
          <w:tcPr>
            <w:tcW w:type="dxa" w:w="6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ID</w:t>
            </w:r>
          </w:p>
        </w:tc>
        <w:tc>
          <w:tcPr>
            <w:tcW w:type="dxa" w:w="40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Finding</w:t>
            </w:r>
          </w:p>
        </w:tc>
        <w:tc>
          <w:tcPr>
            <w:tcW w:type="dxa" w:w="7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Sev.</w:t>
            </w:r>
          </w:p>
        </w:tc>
        <w:tc>
          <w:tcPr>
            <w:tcW w:type="dxa" w:w="4200"/>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Fix</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C-01</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Truncated legend labels.</w:t>
            </w:r>
            <w:r>
              <w:rPr>
                <w:rFonts w:ascii="IBM Plex Sans" w:cs="IBM Plex Sans" w:eastAsia="IBM Plex Sans" w:hAnsi="IBM Plex Sans"/>
                <w:color w:val="1F2937"/>
                <w:sz w:val="17"/>
                <w:szCs w:val="17"/>
              </w:rPr>
              <w:t xml:space="preserve"> The rejection-reasons donut reads "221 Assessabl…", "118 Invalid CT…", "305 Document …". The label is the entire content of a legend.</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Widen the legend, wrap rather than truncate, and put the percentage on the right. A legend that truncates is a layout failure, not a text-length problem.</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C-02</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donut reuses one colour for two categories.</w:t>
            </w:r>
            <w:r>
              <w:rPr>
                <w:rFonts w:ascii="IBM Plex Sans" w:cs="IBM Plex Sans" w:eastAsia="IBM Plex Sans" w:hAnsi="IBM Plex Sans"/>
                <w:color w:val="1F2937"/>
                <w:sz w:val="17"/>
                <w:szCs w:val="17"/>
              </w:rPr>
              <w:t xml:space="preserve"> Codes 103 and 118 are both blue.</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One hue per category from a categorical palette, checked for distinguishability in both themes and under the common colour-vision deficiencies.</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C-03</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Reports charts have no axes, no values and no data.</w:t>
            </w:r>
            <w:r>
              <w:rPr>
                <w:rFonts w:ascii="IBM Plex Sans" w:cs="IBM Plex Sans" w:eastAsia="IBM Plex Sans" w:hAnsi="IBM Plex Sans"/>
                <w:color w:val="1F2937"/>
                <w:sz w:val="17"/>
                <w:szCs w:val="17"/>
              </w:rPr>
              <w:t xml:space="preserve"> The rejection-rate trend, prep-time, query-turnaround and time-to-clearance charts all render a shape with month labels and nothing else. A compliance report that cannot be read off is decoration.</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Y-axis with scale, value labels or hover values, an accessible data table behind each chart, and CSV export.</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C-04</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Two time formats for the same value on one screen.</w:t>
            </w:r>
            <w:r>
              <w:rPr>
                <w:rFonts w:ascii="IBM Plex Sans" w:cs="IBM Plex Sans" w:eastAsia="IBM Plex Sans" w:hAnsi="IBM Plex Sans"/>
                <w:color w:val="1F2937"/>
                <w:sz w:val="17"/>
                <w:szCs w:val="17"/>
              </w:rPr>
              <w:t xml:space="preserve"> The query list chip says "3h 12m"; the reply panel beside it says "SLA 192m remaining" for the same query.</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One duration formatter across the product, applied in one component.</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C-05</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Mixed currency notation.</w:t>
            </w:r>
            <w:r>
              <w:rPr>
                <w:rFonts w:ascii="IBM Plex Sans" w:cs="IBM Plex Sans" w:eastAsia="IBM Plex Sans" w:hAnsi="IBM Plex Sans"/>
                <w:color w:val="1F2937"/>
                <w:sz w:val="17"/>
                <w:szCs w:val="17"/>
              </w:rPr>
              <w:t xml:space="preserve"> "₹2.26L" on the portal, "₹1,84,600" on the duty ledger, "₹40,14,850" on the same portal page.</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One formatter with an explicit rule for when the compact form is used, and never both forms on one screen.</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C-06</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Trend arrows with the wrong polarity.</w:t>
            </w:r>
            <w:r>
              <w:rPr>
                <w:rFonts w:ascii="IBM Plex Sans" w:cs="IBM Plex Sans" w:eastAsia="IBM Plex Sans" w:hAnsi="IBM Plex Sans"/>
                <w:color w:val="1F2937"/>
                <w:sz w:val="17"/>
                <w:szCs w:val="17"/>
              </w:rPr>
              <w:t xml:space="preserve"> "In pipeline 10 ↗ Last 24h" renders a rising backlog as an up-arrow, the same treatment used for "Declarations filed this month ↗ +12%".</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Direction and sentiment are different properties. Colour by whether the movement is good, not by its sign.</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C-07</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Horizontal clipping on three screens.</w:t>
            </w:r>
            <w:r>
              <w:rPr>
                <w:rFonts w:ascii="IBM Plex Sans" w:cs="IBM Plex Sans" w:eastAsia="IBM Plex Sans" w:hAnsi="IBM Plex Sans"/>
                <w:color w:val="1F2937"/>
                <w:sz w:val="17"/>
                <w:szCs w:val="17"/>
              </w:rPr>
              <w:t xml:space="preserve"> The documents table loses its IRN column, the DSC registry loses the signing-agent column, and the portal invoices panel is cut mid-card — with no scrollbar, gradient or any other affordance that content continues.</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Decide per table whether to scroll horizontally with a sticky first column, to make low-priority columns toggleable, or to move overflow into the row-expand. Never clip silently.</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C-08</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Unlabelled confidence chips.</w:t>
            </w:r>
            <w:r>
              <w:rPr>
                <w:rFonts w:ascii="IBM Plex Sans" w:cs="IBM Plex Sans" w:eastAsia="IBM Plex Sans" w:hAnsi="IBM Plex Sans"/>
                <w:color w:val="1F2937"/>
                <w:sz w:val="17"/>
                <w:szCs w:val="17"/>
              </w:rPr>
              <w:t xml:space="preserve"> Percentages sit beside document codes — 97%, 93%, 81%, 62%, 90% — with nothing saying what they measure. A reader cannot tell classification confidence from compression ratio, and the screen has both.</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Label them, set a threshold below which the value must be confirmed by a human, and show the threshold.</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C-09</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rising-backlog tile styled as an achievement.</w:t>
            </w:r>
            <w:r>
              <w:rPr>
                <w:rFonts w:ascii="IBM Plex Sans" w:cs="IBM Plex Sans" w:eastAsia="IBM Plex Sans" w:hAnsi="IBM Plex Sans"/>
                <w:color w:val="1F2937"/>
                <w:sz w:val="17"/>
                <w:szCs w:val="17"/>
              </w:rPr>
              <w:t xml:space="preserve"> "In pipeline 10" is the top-left tile of the documents screen, in the position the dashboard uses for volume filed.</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Lead with what needs action — failed and queued — and demote the total.</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C-10</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empty, loading or error states observed.</w:t>
            </w:r>
            <w:r>
              <w:rPr>
                <w:rFonts w:ascii="IBM Plex Sans" w:cs="IBM Plex Sans" w:eastAsia="IBM Plex Sans" w:hAnsi="IBM Plex Sans"/>
                <w:color w:val="1F2937"/>
                <w:sz w:val="17"/>
                <w:szCs w:val="17"/>
              </w:rPr>
              <w:t xml:space="preserve"> Every list is populated. Nothing shows what the screen looks like with no jobs, a failed fetch, or a slow channel.</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Design the three states for every list and panel. For this product the error state matters most: a broker needs to know whether the absence of data means nothing happened or that we could not find out.</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8. Group D — Navigation and interaction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048"/>
        <w:gridCol w:w="799"/>
        <w:gridCol w:w="4200"/>
      </w:tblGrid>
      <w:tr>
        <w:trPr>
          <w:cantSplit/>
          <w:tblHeader/>
        </w:trPr>
        <w:tc>
          <w:tcPr>
            <w:tcW w:type="dxa" w:w="6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ID</w:t>
            </w:r>
          </w:p>
        </w:tc>
        <w:tc>
          <w:tcPr>
            <w:tcW w:type="dxa" w:w="40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Finding</w:t>
            </w:r>
          </w:p>
        </w:tc>
        <w:tc>
          <w:tcPr>
            <w:tcW w:type="dxa" w:w="7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Sev.</w:t>
            </w:r>
          </w:p>
        </w:tc>
        <w:tc>
          <w:tcPr>
            <w:tcW w:type="dxa" w:w="4200"/>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Fix</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D-01</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Three levels of navigation on Admin.</w:t>
            </w:r>
            <w:r>
              <w:rPr>
                <w:rFonts w:ascii="IBM Plex Sans" w:cs="IBM Plex Sans" w:eastAsia="IBM Plex Sans" w:hAnsi="IBM Plex Sans"/>
                <w:color w:val="1F2937"/>
                <w:sz w:val="17"/>
                <w:szCs w:val="17"/>
              </w:rPr>
              <w:t xml:space="preserve"> An icon rail, then a sub-navigation column listing six sections, then an in-page tab list repeating the same six section names about a centimetre away. The duplication is exact.</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Remove the in-page tab list. Keep the sub-navigation column as the single control, and give the freed width to the content.</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D-02</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sub-navigation column duplicates page content as navigation.</w:t>
            </w:r>
            <w:r>
              <w:rPr>
                <w:rFonts w:ascii="IBM Plex Sans" w:cs="IBM Plex Sans" w:eastAsia="IBM Plex Sans" w:hAnsi="IBM Plex Sans"/>
                <w:color w:val="1F2937"/>
                <w:sz w:val="17"/>
                <w:szCs w:val="17"/>
              </w:rPr>
              <w:t xml:space="preserve"> On the dashboard it offers Overview, Deadline board and Recent activity — three headings already visible on the page. Roughly three hundred pixels of permanent width are spent on anchors.</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Let the sub-navigation carry real destinations and filters. Where a section has none, collapse the column rather than filling it.</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D-03</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"Job" and "declaration" are used interchangeably.</w:t>
            </w:r>
            <w:r>
              <w:rPr>
                <w:rFonts w:ascii="IBM Plex Sans" w:cs="IBM Plex Sans" w:eastAsia="IBM Plex Sans" w:hAnsi="IBM Plex Sans"/>
                <w:color w:val="1F2937"/>
                <w:sz w:val="17"/>
                <w:szCs w:val="17"/>
              </w:rPr>
              <w:t xml:space="preserve"> The dashboard button says "New declaration" and lands on a page headed "Create new job". The jobs list is subtitled "Filing Workbench".</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Pick one. A job is the unit of work and may carry more than one declaration — if that is the model, say so once and hold the line everywhere.</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D-04</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row actions anywhere.</w:t>
            </w:r>
            <w:r>
              <w:rPr>
                <w:rFonts w:ascii="IBM Plex Sans" w:cs="IBM Plex Sans" w:eastAsia="IBM Plex Sans" w:hAnsi="IBM Plex Sans"/>
                <w:color w:val="1F2937"/>
                <w:sz w:val="17"/>
                <w:szCs w:val="17"/>
              </w:rPr>
              <w:t xml:space="preserve"> No kebab menu, no hover actions, no bulk action bar despite the jobs list having selection checkboxes. Every action requires navigating away.</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Row-level actions on every list, and a bulk action bar that appears on selection. The checkboxes currently promise something the screen does not deliver.</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D-05</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"Connect mailbox" sits on the jobs list toolbar,</w:t>
            </w:r>
            <w:r>
              <w:rPr>
                <w:rFonts w:ascii="IBM Plex Sans" w:cs="IBM Plex Sans" w:eastAsia="IBM Plex Sans" w:hAnsi="IBM Plex Sans"/>
                <w:color w:val="1F2937"/>
                <w:sz w:val="17"/>
                <w:szCs w:val="17"/>
              </w:rPr>
              <w:t xml:space="preserve"> beside "New Job", where it will be clicked by accident and rarely used deliberately.</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Move it to Admin under channels and integrations; surface it from the new-job flow where the email intake option already exists.</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D-06</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header signing indicator is unexplained.</w:t>
            </w:r>
            <w:r>
              <w:rPr>
                <w:rFonts w:ascii="IBM Plex Sans" w:cs="IBM Plex Sans" w:eastAsia="IBM Plex Sans" w:hAnsi="IBM Plex Sans"/>
                <w:color w:val="1F2937"/>
                <w:sz w:val="17"/>
                <w:szCs w:val="17"/>
              </w:rPr>
              <w:t xml:space="preserve"> "Signing agent: Ravi K. · 3h 5m" gives no clue whether the countdown is a token session, a certificate validity or a shift.</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Label it, make it clickable to the agent status, and show what expires and what happens when it does.</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D-07</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Approve and Reject on the portal with nothing to review.</w:t>
            </w:r>
            <w:r>
              <w:rPr>
                <w:rFonts w:ascii="IBM Plex Sans" w:cs="IBM Plex Sans" w:eastAsia="IBM Plex Sans" w:hAnsi="IBM Plex Sans"/>
                <w:color w:val="1F2937"/>
                <w:sz w:val="17"/>
                <w:szCs w:val="17"/>
              </w:rPr>
              <w:t xml:space="preserve"> The client is asked to approve a declaration on the strength of a line-item count and an assessable value, and rejection captures no reason.</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"View what will be declared" summary before approval, and a mandatory reason on rejection which becomes the broker's work item.</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D-08</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Large dead space below the fold</w:t>
            </w:r>
            <w:r>
              <w:rPr>
                <w:rFonts w:ascii="IBM Plex Sans" w:cs="IBM Plex Sans" w:eastAsia="IBM Plex Sans" w:hAnsi="IBM Plex Sans"/>
                <w:color w:val="1F2937"/>
                <w:sz w:val="17"/>
                <w:szCs w:val="17"/>
              </w:rPr>
              <w:t xml:space="preserve"> on Admin, Queries and Duty, with the content sitting in the top third and the remainder empty.</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Either fill it with the panels the screen is missing — query history and declaration context on Queries, head-level divergence on Duty — or constrain the content width so the emptiness reads as deliberate.</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D-09</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No breadcrumb or context on the portal,</w:t>
            </w:r>
            <w:r>
              <w:rPr>
                <w:rFonts w:ascii="IBM Plex Sans" w:cs="IBM Plex Sans" w:eastAsia="IBM Plex Sans" w:hAnsi="IBM Plex Sans"/>
                <w:color w:val="1F2937"/>
                <w:sz w:val="17"/>
                <w:szCs w:val="17"/>
              </w:rPr>
              <w:t xml:space="preserve"> which uses the broker breadcrumb "Home › Client Portal".</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Resolved by the portal shell separation in A-04.</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9. Group E — Accessibility and front-end quality</w:t>
      </w:r>
    </w:p>
    <w:p>
      <w:pPr>
        <w:spacing w:after="120" w:line="276"/>
      </w:pPr>
      <w:r>
        <w:rPr>
          <w:rFonts w:ascii="IBM Plex Sans" w:cs="IBM Plex Sans" w:eastAsia="IBM Plex Sans" w:hAnsi="IBM Plex Sans"/>
          <w:color w:val="1F2937"/>
          <w:sz w:val="20"/>
          <w:szCs w:val="20"/>
        </w:rPr>
        <w:t xml:space="preserve">The fundamentals are in place: landmark structure with header, nav, aside and main; a single H1 per page; table headers; a skip link; a declared document language; alt text on every image; and a visible focus ring on all twenty-five tab stops tested. Dark mode is complete rather than partial. The failures below are narrow and mechanical.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048"/>
        <w:gridCol w:w="799"/>
        <w:gridCol w:w="4200"/>
      </w:tblGrid>
      <w:tr>
        <w:trPr>
          <w:cantSplit/>
          <w:tblHeader/>
        </w:trPr>
        <w:tc>
          <w:tcPr>
            <w:tcW w:type="dxa" w:w="6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ID</w:t>
            </w:r>
          </w:p>
        </w:tc>
        <w:tc>
          <w:tcPr>
            <w:tcW w:type="dxa" w:w="40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Finding</w:t>
            </w:r>
          </w:p>
        </w:tc>
        <w:tc>
          <w:tcPr>
            <w:tcW w:type="dxa" w:w="7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Sev.</w:t>
            </w:r>
          </w:p>
        </w:tc>
        <w:tc>
          <w:tcPr>
            <w:tcW w:type="dxa" w:w="4200"/>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Fix</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E-01</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Every form control lacks an accessible name.</w:t>
            </w:r>
            <w:r>
              <w:rPr>
                <w:rFonts w:ascii="IBM Plex Sans" w:cs="IBM Plex Sans" w:eastAsia="IBM Plex Sans" w:hAnsi="IBM Plex Sans"/>
                <w:color w:val="1F2937"/>
                <w:sz w:val="17"/>
                <w:szCs w:val="17"/>
              </w:rPr>
              <w:t xml:space="preserve"> Twelve of twelve inputs on the jobs list — the search field, all filter selects and the page-size control — rely on placeholder text alone. A placeholder is not a label: it disappears on focus and is not reliably announced.</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visible or visually-hidden label bound to every control. This is the most common and most easily fixed accessibility failure in the product.</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E-02</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Four icon-only buttons have no accessible name</w:t>
            </w:r>
            <w:r>
              <w:rPr>
                <w:rFonts w:ascii="IBM Plex Sans" w:cs="IBM Plex Sans" w:eastAsia="IBM Plex Sans" w:hAnsi="IBM Plex Sans"/>
                <w:color w:val="1F2937"/>
                <w:sz w:val="17"/>
                <w:szCs w:val="17"/>
              </w:rPr>
              <w:t xml:space="preserve"> — the two layout controls, full-screen, and the theme toggle. They are announced as unlabelled buttons.</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aria-label on each, and a tooltip on hover for sighted users.</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E-03</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Only one live region in the entire application.</w:t>
            </w:r>
            <w:r>
              <w:rPr>
                <w:rFonts w:ascii="IBM Plex Sans" w:cs="IBM Plex Sans" w:eastAsia="IBM Plex Sans" w:hAnsi="IBM Plex Sans"/>
                <w:color w:val="1F2937"/>
                <w:sz w:val="17"/>
                <w:szCs w:val="17"/>
              </w:rPr>
              <w:t xml:space="preserve"> State changes, transmission results and validation outcomes will not be announced.</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Major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polite live region for status changes and an assertive one for errors that block a filing.</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E-04</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Mobile filter chips overflow without an affordance.</w:t>
            </w:r>
            <w:r>
              <w:rPr>
                <w:rFonts w:ascii="IBM Plex Sans" w:cs="IBM Plex Sans" w:eastAsia="IBM Plex Sans" w:hAnsi="IBM Plex Sans"/>
                <w:color w:val="1F2937"/>
                <w:sz w:val="17"/>
                <w:szCs w:val="17"/>
              </w:rPr>
              <w:t xml:space="preserve"> The e-Sanchit stage chips run off the right edge at 390 px with no scroll hint.</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scroll-snap row with an edge fade, or a filter sheet.</w:t>
            </w:r>
          </w:p>
        </w:tc>
      </w:tr>
      <w:tr>
        <w:trPr>
          <w:cantSplit/>
        </w:trPr>
        <w:tc>
          <w:tcPr>
            <w:tcW w:type="dxa" w:w="6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E-05</w:t>
            </w:r>
          </w:p>
        </w:tc>
        <w:tc>
          <w:tcPr>
            <w:tcW w:type="dxa" w:w="40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Dim secondary text in dark mode.</w:t>
            </w:r>
            <w:r>
              <w:rPr>
                <w:rFonts w:ascii="IBM Plex Sans" w:cs="IBM Plex Sans" w:eastAsia="IBM Plex Sans" w:hAnsi="IBM Plex Sans"/>
                <w:color w:val="1F2937"/>
                <w:sz w:val="17"/>
                <w:szCs w:val="17"/>
              </w:rPr>
              <w:t xml:space="preserve"> Port codes and IEC sub-labels sit close to the contrast floor against the dark surface.</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Check every text and surface pair against a 4.5:1 ratio in both themes and raise the secondary token.</w:t>
            </w:r>
          </w:p>
        </w:tc>
      </w:tr>
      <w:tr>
        <w:trPr>
          <w:cantSplit/>
        </w:trPr>
        <w:tc>
          <w:tcPr>
            <w:tcW w:type="dxa" w:w="6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E-06</w:t>
            </w:r>
          </w:p>
        </w:tc>
        <w:tc>
          <w:tcPr>
            <w:tcW w:type="dxa" w:w="40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A 404 on a static asset</w:t>
            </w:r>
            <w:r>
              <w:rPr>
                <w:rFonts w:ascii="IBM Plex Sans" w:cs="IBM Plex Sans" w:eastAsia="IBM Plex Sans" w:hAnsi="IBM Plex Sans"/>
                <w:color w:val="1F2937"/>
                <w:sz w:val="17"/>
                <w:szCs w:val="17"/>
              </w:rPr>
              <w:t xml:space="preserve"> is logged on every page load.</w:t>
            </w:r>
          </w:p>
        </w:tc>
        <w:tc>
          <w:tcPr>
            <w:tcW w:type="dxa" w:w="7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Minor</w:t>
            </w:r>
          </w:p>
        </w:tc>
        <w:tc>
          <w:tcPr>
            <w:tcW w:type="dxa" w:w="4200"/>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Find and fix; a console error on every page makes real errors invisible.</w:t>
            </w:r>
          </w:p>
        </w:tc>
      </w:tr>
    </w:tbl>
    <w:p>
      <w:pPr>
        <w:spacing w:after="14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10. Screen-by-screen notes</w:t>
      </w:r>
    </w:p>
    <w:p>
      <w:pPr>
        <w:pStyle w:val="Heading2"/>
        <w:keepNext/>
        <w:spacing w:after="120" w:before="280"/>
      </w:pPr>
      <w:r>
        <w:rPr>
          <w:rFonts w:ascii="IBM Plex Sans" w:cs="IBM Plex Sans" w:eastAsia="IBM Plex Sans" w:hAnsi="IBM Plex Sans"/>
          <w:b/>
          <w:bCs/>
          <w:color w:val="1B2A4A"/>
          <w:sz w:val="26"/>
          <w:szCs w:val="26"/>
        </w:rPr>
        <w:t xml:space="preserve">10.1 Dashboard</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deadline board sorted by time remaining is the right organising idea for this product and should be the thing the mock is known for. Every link on it is currently broken (B-01).</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four tiles are well chosen — volume, rejection rate against a target, prep time against a baseline, and missed clocks against zero. Keep the target-versus-actual framing; it is what a compliance officer reports upward.</w:t>
      </w:r>
    </w:p>
    <w:p>
      <w:pPr>
        <w:pStyle w:val="ListParagraph"/>
        <w:numPr>
          <w:ilvl w:val="0"/>
          <w:numId w:val="3"/>
        </w:numPr>
        <w:spacing w:after="60" w:line="264"/>
      </w:pPr>
      <w:r>
        <w:rPr>
          <w:rFonts w:ascii="IBM Plex Sans" w:cs="IBM Plex Sans" w:eastAsia="IBM Plex Sans" w:hAnsi="IBM Plex Sans"/>
          <w:color w:val="1F2937"/>
          <w:sz w:val="20"/>
          <w:szCs w:val="20"/>
        </w:rPr>
        <w:t xml:space="preserve">"Missed statutory clocks: 0, target 0" is the strongest number on the screen. Make it a link to the evidence behind it.</w:t>
      </w:r>
    </w:p>
    <w:p>
      <w:pPr>
        <w:pStyle w:val="ListParagraph"/>
        <w:numPr>
          <w:ilvl w:val="0"/>
          <w:numId w:val="3"/>
        </w:numPr>
        <w:spacing w:after="60" w:line="264"/>
      </w:pPr>
      <w:r>
        <w:rPr>
          <w:rFonts w:ascii="IBM Plex Sans" w:cs="IBM Plex Sans" w:eastAsia="IBM Plex Sans" w:hAnsi="IBM Plex Sans"/>
          <w:color w:val="1F2937"/>
          <w:sz w:val="20"/>
          <w:szCs w:val="20"/>
        </w:rPr>
        <w:t xml:space="preserve">Missing: channel status, an environment badge, and anything about what is waiting on the client rather than on the firm.</w:t>
      </w:r>
    </w:p>
    <w:p>
      <w:pPr>
        <w:pStyle w:val="Heading2"/>
        <w:keepNext/>
        <w:spacing w:after="120" w:before="280"/>
      </w:pPr>
      <w:r>
        <w:rPr>
          <w:rFonts w:ascii="IBM Plex Sans" w:cs="IBM Plex Sans" w:eastAsia="IBM Plex Sans" w:hAnsi="IBM Plex Sans"/>
          <w:b/>
          <w:bCs/>
          <w:color w:val="1B2A4A"/>
          <w:sz w:val="26"/>
          <w:szCs w:val="26"/>
        </w:rPr>
        <w:t xml:space="preserve">10.2 Jobs list</w:t>
      </w:r>
    </w:p>
    <w:p>
      <w:pPr>
        <w:pStyle w:val="ListParagraph"/>
        <w:numPr>
          <w:ilvl w:val="0"/>
          <w:numId w:val="3"/>
        </w:numPr>
        <w:spacing w:after="60" w:line="264"/>
      </w:pPr>
      <w:r>
        <w:rPr>
          <w:rFonts w:ascii="IBM Plex Sans" w:cs="IBM Plex Sans" w:eastAsia="IBM Plex Sans" w:hAnsi="IBM Plex Sans"/>
          <w:color w:val="1F2937"/>
          <w:sz w:val="20"/>
          <w:szCs w:val="20"/>
        </w:rPr>
        <w:t xml:space="preserve">Columns are close to right. Add BE/SB number, duty, documents-complete and client-approval status — the four facts that decide what to work on next.</w:t>
      </w:r>
    </w:p>
    <w:p>
      <w:pPr>
        <w:pStyle w:val="ListParagraph"/>
        <w:numPr>
          <w:ilvl w:val="0"/>
          <w:numId w:val="3"/>
        </w:numPr>
        <w:spacing w:after="60" w:line="264"/>
      </w:pPr>
      <w:r>
        <w:rPr>
          <w:rFonts w:ascii="IBM Plex Sans" w:cs="IBM Plex Sans" w:eastAsia="IBM Plex Sans" w:hAnsi="IBM Plex Sans"/>
          <w:color w:val="1F2937"/>
          <w:sz w:val="20"/>
          <w:szCs w:val="20"/>
        </w:rPr>
        <w:t xml:space="preserve">"Save current filter as view" is a good detail that suggests somebody has watched an operations team work.</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clock column is empty for most rows, including a declaration in "Ready to File", while the dashboard shows a Section 46 clock for the same class of job. One of the two is wrong.</w:t>
      </w:r>
    </w:p>
    <w:p>
      <w:pPr>
        <w:pStyle w:val="Heading2"/>
        <w:keepNext/>
        <w:spacing w:after="120" w:before="280"/>
      </w:pPr>
      <w:r>
        <w:rPr>
          <w:rFonts w:ascii="IBM Plex Sans" w:cs="IBM Plex Sans" w:eastAsia="IBM Plex Sans" w:hAnsi="IBM Plex Sans"/>
          <w:b/>
          <w:bCs/>
          <w:color w:val="1B2A4A"/>
          <w:sz w:val="26"/>
          <w:szCs w:val="26"/>
        </w:rPr>
        <w:t xml:space="preserve">10.3 Documents</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pipeline model is right and the inline failure explanation on the failed row is the correct pattern — the cause and the remedy on the row, not in a modal.</w:t>
      </w:r>
    </w:p>
    <w:p>
      <w:pPr>
        <w:pStyle w:val="ListParagraph"/>
        <w:numPr>
          <w:ilvl w:val="0"/>
          <w:numId w:val="3"/>
        </w:numPr>
        <w:spacing w:after="60" w:line="264"/>
      </w:pPr>
      <w:r>
        <w:rPr>
          <w:rFonts w:ascii="IBM Plex Sans" w:cs="IBM Plex Sans" w:eastAsia="IBM Plex Sans" w:hAnsi="IBM Plex Sans"/>
          <w:color w:val="1F2937"/>
          <w:sz w:val="20"/>
          <w:szCs w:val="20"/>
        </w:rPr>
        <w:t xml:space="preserve">"Split into 2 parts" is exactly the behaviour the PRD requires, but there is no manifest link and no indication that the split was confirmed by a human.</w:t>
      </w:r>
    </w:p>
    <w:p>
      <w:pPr>
        <w:pStyle w:val="ListParagraph"/>
        <w:numPr>
          <w:ilvl w:val="0"/>
          <w:numId w:val="3"/>
        </w:numPr>
        <w:spacing w:after="60" w:line="264"/>
      </w:pPr>
      <w:r>
        <w:rPr>
          <w:rFonts w:ascii="IBM Plex Sans" w:cs="IBM Plex Sans" w:eastAsia="IBM Plex Sans" w:hAnsi="IBM Plex Sans"/>
          <w:color w:val="1F2937"/>
          <w:sz w:val="20"/>
          <w:szCs w:val="20"/>
        </w:rPr>
        <w:t xml:space="preserve">Everything here rests on the size and resolution numbers in A-02. Fix those first; the rest of the screen survives intact.</w:t>
      </w:r>
    </w:p>
    <w:p>
      <w:pPr>
        <w:pStyle w:val="Heading2"/>
        <w:keepNext/>
        <w:spacing w:after="120" w:before="280"/>
      </w:pPr>
      <w:r>
        <w:rPr>
          <w:rFonts w:ascii="IBM Plex Sans" w:cs="IBM Plex Sans" w:eastAsia="IBM Plex Sans" w:hAnsi="IBM Plex Sans"/>
          <w:b/>
          <w:bCs/>
          <w:color w:val="1B2A4A"/>
          <w:sz w:val="26"/>
          <w:szCs w:val="26"/>
        </w:rPr>
        <w:t xml:space="preserve">10.4 Queries</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cause taxonomy — classification, document missing, valuation — is the raw material of the query-cause report, which is the prevention loop and the commercial story. Add "turn this cause into a validation rule" as an action.</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officer asks about line item 2 and the screen does not show line item 2. Declaration context beside the query is the whole point of the workspace.</w:t>
      </w:r>
    </w:p>
    <w:p>
      <w:pPr>
        <w:pStyle w:val="ListParagraph"/>
        <w:numPr>
          <w:ilvl w:val="0"/>
          <w:numId w:val="3"/>
        </w:numPr>
        <w:spacing w:after="60" w:line="264"/>
      </w:pPr>
      <w:r>
        <w:rPr>
          <w:rFonts w:ascii="IBM Plex Sans" w:cs="IBM Plex Sans" w:eastAsia="IBM Plex Sans" w:hAnsi="IBM Plex Sans"/>
          <w:color w:val="1F2937"/>
          <w:sz w:val="20"/>
          <w:szCs w:val="20"/>
        </w:rPr>
        <w:t xml:space="preserve">No query history. A query can run to several rounds, and the previous rounds are what the reply must be consistent with.</w:t>
      </w:r>
    </w:p>
    <w:p>
      <w:pPr>
        <w:pStyle w:val="Heading2"/>
        <w:keepNext/>
        <w:spacing w:after="120" w:before="280"/>
      </w:pPr>
      <w:r>
        <w:rPr>
          <w:rFonts w:ascii="IBM Plex Sans" w:cs="IBM Plex Sans" w:eastAsia="IBM Plex Sans" w:hAnsi="IBM Plex Sans"/>
          <w:b/>
          <w:bCs/>
          <w:color w:val="1B2A4A"/>
          <w:sz w:val="26"/>
          <w:szCs w:val="26"/>
        </w:rPr>
        <w:t xml:space="preserve">10.5 Duty</w:t>
      </w:r>
    </w:p>
    <w:p>
      <w:pPr>
        <w:pStyle w:val="ListParagraph"/>
        <w:numPr>
          <w:ilvl w:val="0"/>
          <w:numId w:val="3"/>
        </w:numPr>
        <w:spacing w:after="60" w:line="264"/>
      </w:pPr>
      <w:r>
        <w:rPr>
          <w:rFonts w:ascii="IBM Plex Sans" w:cs="IBM Plex Sans" w:eastAsia="IBM Plex Sans" w:hAnsi="IBM Plex Sans"/>
          <w:color w:val="1F2937"/>
          <w:sz w:val="20"/>
          <w:szCs w:val="20"/>
        </w:rPr>
        <w:t xml:space="preserve">Head-by-head columns with a reconciled estimate and assessed pair is the right structure. Extend it: each head should carry its notification and serial pair.</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row-level divergence is visible in aggregate but not explained. Clicking a row should show which head moved and by how much.</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variance threshold footnote — ±₹500 triggering a reconciliation flag — is a good, concrete rule. Make it configuration and show the current value.</w:t>
      </w:r>
    </w:p>
    <w:p>
      <w:pPr>
        <w:pStyle w:val="Heading2"/>
        <w:keepNext/>
        <w:spacing w:after="120" w:before="280"/>
      </w:pPr>
      <w:r>
        <w:rPr>
          <w:rFonts w:ascii="IBM Plex Sans" w:cs="IBM Plex Sans" w:eastAsia="IBM Plex Sans" w:hAnsi="IBM Plex Sans"/>
          <w:b/>
          <w:bCs/>
          <w:color w:val="1B2A4A"/>
          <w:sz w:val="26"/>
          <w:szCs w:val="26"/>
        </w:rPr>
        <w:t xml:space="preserve">10.6 Amendments</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best screen in the mock. The before-and-after diff, the mandatory reason, the attached IRN and the status tracker are all correct.</w:t>
      </w:r>
    </w:p>
    <w:p>
      <w:pPr>
        <w:pStyle w:val="ListParagraph"/>
        <w:numPr>
          <w:ilvl w:val="0"/>
          <w:numId w:val="3"/>
        </w:numPr>
        <w:spacing w:after="60" w:line="264"/>
      </w:pPr>
      <w:r>
        <w:rPr>
          <w:rFonts w:ascii="IBM Plex Sans" w:cs="IBM Plex Sans" w:eastAsia="IBM Plex Sans" w:hAnsi="IBM Plex Sans"/>
          <w:color w:val="1F2937"/>
          <w:sz w:val="20"/>
          <w:szCs w:val="20"/>
        </w:rPr>
        <w:t xml:space="preserve">It needs the message type and codes (A-03), the accepted version it derives from (A-09), and a corrected duty impact (A-05).</w:t>
      </w:r>
    </w:p>
    <w:p>
      <w:pPr>
        <w:pStyle w:val="ListParagraph"/>
        <w:numPr>
          <w:ilvl w:val="0"/>
          <w:numId w:val="3"/>
        </w:numPr>
        <w:spacing w:after="60" w:line="264"/>
      </w:pPr>
      <w:r>
        <w:rPr>
          <w:rFonts w:ascii="IBM Plex Sans" w:cs="IBM Plex Sans" w:eastAsia="IBM Plex Sans" w:hAnsi="IBM Plex Sans"/>
          <w:color w:val="1F2937"/>
          <w:sz w:val="20"/>
          <w:szCs w:val="20"/>
        </w:rPr>
        <w:t xml:space="preserve">Only Amendment and Cancellation are offered. Section 18A voluntary revision is a distinct intent in the PRD with its own evidence pack and its own clock.</w:t>
      </w:r>
    </w:p>
    <w:p>
      <w:pPr>
        <w:pStyle w:val="Heading2"/>
        <w:keepNext/>
        <w:spacing w:after="120" w:before="280"/>
      </w:pPr>
      <w:r>
        <w:rPr>
          <w:rFonts w:ascii="IBM Plex Sans" w:cs="IBM Plex Sans" w:eastAsia="IBM Plex Sans" w:hAnsi="IBM Plex Sans"/>
          <w:b/>
          <w:bCs/>
          <w:color w:val="1B2A4A"/>
          <w:sz w:val="26"/>
          <w:szCs w:val="26"/>
        </w:rPr>
        <w:t xml:space="preserve">10.7 Client portal</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content is right — pending approvals, shipments, duty due, invoices, activity. The container is wrong (A-04).</w:t>
      </w:r>
    </w:p>
    <w:p>
      <w:pPr>
        <w:pStyle w:val="ListParagraph"/>
        <w:numPr>
          <w:ilvl w:val="0"/>
          <w:numId w:val="3"/>
        </w:numPr>
        <w:spacing w:after="60" w:line="264"/>
      </w:pPr>
      <w:r>
        <w:rPr>
          <w:rFonts w:ascii="IBM Plex Sans" w:cs="IBM Plex Sans" w:eastAsia="IBM Plex Sans" w:hAnsi="IBM Plex Sans"/>
          <w:color w:val="1F2937"/>
          <w:sz w:val="20"/>
          <w:szCs w:val="20"/>
        </w:rPr>
        <w:t xml:space="preserve">Approval is the legally significant act a client performs in this product. It currently happens with two clicks and no record of what was approved.</w:t>
      </w:r>
    </w:p>
    <w:p>
      <w:pPr>
        <w:pStyle w:val="Heading2"/>
        <w:keepNext/>
        <w:spacing w:after="120" w:before="280"/>
      </w:pPr>
      <w:r>
        <w:rPr>
          <w:rFonts w:ascii="IBM Plex Sans" w:cs="IBM Plex Sans" w:eastAsia="IBM Plex Sans" w:hAnsi="IBM Plex Sans"/>
          <w:b/>
          <w:bCs/>
          <w:color w:val="1B2A4A"/>
          <w:sz w:val="26"/>
          <w:szCs w:val="26"/>
        </w:rPr>
        <w:t xml:space="preserve">10.8 Reports</w:t>
      </w:r>
    </w:p>
    <w:p>
      <w:pPr>
        <w:pStyle w:val="ListParagraph"/>
        <w:numPr>
          <w:ilvl w:val="0"/>
          <w:numId w:val="3"/>
        </w:numPr>
        <w:spacing w:after="60" w:line="264"/>
      </w:pPr>
      <w:r>
        <w:rPr>
          <w:rFonts w:ascii="IBM Plex Sans" w:cs="IBM Plex Sans" w:eastAsia="IBM Plex Sans" w:hAnsi="IBM Plex Sans"/>
          <w:color w:val="1F2937"/>
          <w:sz w:val="20"/>
          <w:szCs w:val="20"/>
        </w:rPr>
        <w:t xml:space="preserve">"Filed via VoltusFreight 87%" is the adoption metric that matters and is well placed.</w:t>
      </w:r>
    </w:p>
    <w:p>
      <w:pPr>
        <w:pStyle w:val="ListParagraph"/>
        <w:numPr>
          <w:ilvl w:val="0"/>
          <w:numId w:val="3"/>
        </w:numPr>
        <w:spacing w:after="60" w:line="264"/>
      </w:pPr>
      <w:r>
        <w:rPr>
          <w:rFonts w:ascii="IBM Plex Sans" w:cs="IBM Plex Sans" w:eastAsia="IBM Plex Sans" w:hAnsi="IBM Plex Sans"/>
          <w:color w:val="1F2937"/>
          <w:sz w:val="20"/>
          <w:szCs w:val="20"/>
        </w:rPr>
        <w:t xml:space="preserve">Missing the reports the PRD requires: query rate by cause, rejection rate by error code, deadline exposure in rupees, and first-time-right rate. The dashboard has the rejection breakdown; the report module does not.</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audit trail tab is the right idea. It should be tamper-evident and say so — a hash chain the client can verify is worth more than the word "tamper-evident" in a subtitle.</w:t>
      </w:r>
    </w:p>
    <w:p>
      <w:pPr>
        <w:pStyle w:val="Heading2"/>
        <w:keepNext/>
        <w:spacing w:after="120" w:before="280"/>
      </w:pPr>
      <w:r>
        <w:rPr>
          <w:rFonts w:ascii="IBM Plex Sans" w:cs="IBM Plex Sans" w:eastAsia="IBM Plex Sans" w:hAnsi="IBM Plex Sans"/>
          <w:b/>
          <w:bCs/>
          <w:color w:val="1B2A4A"/>
          <w:sz w:val="26"/>
          <w:szCs w:val="26"/>
        </w:rPr>
        <w:t xml:space="preserve">10.9 Admin</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DSC and signatory registry is the strongest piece of domain modelling in the mock.</w:t>
      </w:r>
    </w:p>
    <w:p>
      <w:pPr>
        <w:pStyle w:val="ListParagraph"/>
        <w:numPr>
          <w:ilvl w:val="0"/>
          <w:numId w:val="3"/>
        </w:numPr>
        <w:spacing w:after="60" w:line="264"/>
      </w:pPr>
      <w:r>
        <w:rPr>
          <w:rFonts w:ascii="IBM Plex Sans" w:cs="IBM Plex Sans" w:eastAsia="IBM Plex Sans" w:hAnsi="IBM Plex Sans"/>
          <w:color w:val="1F2937"/>
          <w:sz w:val="20"/>
          <w:szCs w:val="20"/>
        </w:rPr>
        <w:t xml:space="preserve">Missing: the CBLR authorisation register, per-client port and AD-code registration, API key management with its environment, and the rule-policy settings the validation engine reads.</w:t>
      </w: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11. Change prompts for Claude Code</w:t>
      </w:r>
    </w:p>
    <w:p>
      <w:pPr>
        <w:spacing w:after="120" w:line="276"/>
      </w:pPr>
      <w:r>
        <w:rPr>
          <w:rFonts w:ascii="IBM Plex Sans" w:cs="IBM Plex Sans" w:eastAsia="IBM Plex Sans" w:hAnsi="IBM Plex Sans"/>
          <w:color w:val="1F2937"/>
          <w:sz w:val="20"/>
          <w:szCs w:val="20"/>
        </w:rPr>
        <w:t xml:space="preserve">Each prompt below is a self-contained work package to be pasted into Claude Code against the repository. They are ordered so that each can be merged on its own. Every prompt states the context, the task and the acceptance criteria, and each names the findings it closes so the review can be re-run against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E8641B" w:sz="36"/>
              <w:bottom w:val="none" w:color="FFFFFF" w:sz="0"/>
              <w:right w:val="none" w:color="FFFFFF" w:sz="0"/>
            </w:tcBorders>
            <w:shd w:fill="FFF4ED" w:color="auto" w:val="clear"/>
            <w:tcMar>
              <w:top w:type="dxa" w:w="120"/>
              <w:left w:type="dxa" w:w="200"/>
              <w:bottom w:type="dxa" w:w="120"/>
              <w:right w:type="dxa" w:w="200"/>
            </w:tcMar>
          </w:tcPr>
          <w:p>
            <w:pPr>
              <w:spacing w:after="80"/>
            </w:pPr>
            <w:r>
              <w:rPr>
                <w:rFonts w:ascii="IBM Plex Sans" w:cs="IBM Plex Sans" w:eastAsia="IBM Plex Sans" w:hAnsi="IBM Plex Sans"/>
                <w:b/>
                <w:bCs/>
                <w:color w:val="E8641B"/>
                <w:sz w:val="20"/>
                <w:szCs w:val="20"/>
              </w:rPr>
              <w:t xml:space="preserve">Standing instructions to prepend to every prompt</w:t>
            </w:r>
          </w:p>
          <w:p>
            <w:pPr>
              <w:spacing w:after="60" w:line="260"/>
            </w:pPr>
            <w:r>
              <w:rPr>
                <w:rFonts w:ascii="IBM Plex Sans" w:cs="IBM Plex Sans" w:eastAsia="IBM Plex Sans" w:hAnsi="IBM Plex Sans"/>
                <w:color w:val="1F2937"/>
                <w:sz w:val="19"/>
                <w:szCs w:val="19"/>
              </w:rPr>
              <w:t xml:space="preserve">Do not invent an ICEGATE field name, code value, length or limit. If it is not in the cleaned schema set, an ICES format document or a cited published specification, stop and raise it rather than guessing.</w:t>
            </w:r>
          </w:p>
          <w:p>
            <w:pPr>
              <w:spacing w:after="60" w:line="260"/>
            </w:pPr>
            <w:r>
              <w:rPr>
                <w:rFonts w:ascii="IBM Plex Sans" w:cs="IBM Plex Sans" w:eastAsia="IBM Plex Sans" w:hAnsi="IBM Plex Sans"/>
                <w:color w:val="1F2937"/>
                <w:sz w:val="19"/>
                <w:szCs w:val="19"/>
              </w:rPr>
              <w:t xml:space="preserve">Every rate, code list, limit, threshold and deadline rule goes into configuration with an effective date and a source citation. No literals in component code.</w:t>
            </w:r>
          </w:p>
          <w:p>
            <w:pPr>
              <w:spacing w:after="60" w:line="260"/>
            </w:pPr>
            <w:r>
              <w:rPr>
                <w:rFonts w:ascii="IBM Plex Sans" w:cs="IBM Plex Sans" w:eastAsia="IBM Plex Sans" w:hAnsi="IBM Plex Sans"/>
                <w:color w:val="1F2937"/>
                <w:sz w:val="19"/>
                <w:szCs w:val="19"/>
              </w:rPr>
              <w:t xml:space="preserve">Reuse the existing components, tokens and dark-mode treatment. This is a set of corrections and additions to a working application, not a redesign.</w:t>
            </w:r>
          </w:p>
          <w:p>
            <w:pPr>
              <w:spacing w:after="60" w:line="260"/>
            </w:pPr>
            <w:r>
              <w:rPr>
                <w:rFonts w:ascii="IBM Plex Sans" w:cs="IBM Plex Sans" w:eastAsia="IBM Plex Sans" w:hAnsi="IBM Plex Sans"/>
                <w:color w:val="1F2937"/>
                <w:sz w:val="19"/>
                <w:szCs w:val="19"/>
              </w:rPr>
              <w:t xml:space="preserve">When a change alters a number shown on screen, update the fixture data so the screen remains internally consistent — the duty ledger currently reconciles to the rupee and must continue to.</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P-01 — Build the declaration workspace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B-01, B-02, B-03, B-04, A-08, A-10, A-12.</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Build the route /jobs/[id]. Every job identifier in the app already links here and</w:t>
            </w:r>
          </w:p>
          <w:p>
            <w:pPr>
              <w:spacing w:after="0" w:line="230"/>
            </w:pPr>
            <w:r>
              <w:rPr>
                <w:rFonts w:ascii="IBM Plex Mono" w:cs="IBM Plex Mono" w:eastAsia="IBM Plex Mono" w:hAnsi="IBM Plex Mono"/>
                <w:color w:val="1F2937"/>
                <w:sz w:val="15"/>
                <w:szCs w:val="15"/>
              </w:rPr>
              <w:t xml:space="preserve">every one currently 404s. This is the primary workspace of the product.</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Layout:</w:t>
            </w:r>
          </w:p>
          <w:p>
            <w:pPr>
              <w:spacing w:after="0" w:line="230"/>
            </w:pPr>
            <w:r>
              <w:rPr>
                <w:rFonts w:ascii="IBM Plex Mono" w:cs="IBM Plex Mono" w:eastAsia="IBM Plex Mono" w:hAnsi="IBM Plex Mono"/>
                <w:color w:val="1F2937"/>
                <w:sz w:val="15"/>
                <w:szCs w:val="15"/>
              </w:rPr>
              <w:t xml:space="preserve">- Header: job id, BE/SB number (blank until allotted), client, port, mode, direction,</w:t>
            </w:r>
          </w:p>
          <w:p>
            <w:pPr>
              <w:spacing w:after="0" w:line="230"/>
            </w:pPr>
            <w:r>
              <w:rPr>
                <w:rFonts w:ascii="IBM Plex Mono" w:cs="IBM Plex Mono" w:eastAsia="IBM Plex Mono" w:hAnsi="IBM Plex Mono"/>
                <w:color w:val="1F2937"/>
                <w:sz w:val="15"/>
                <w:szCs w:val="15"/>
              </w:rPr>
              <w:t xml:space="preserve">  declaration type, current state, version, assigned user, and every live clock with</w:t>
            </w:r>
          </w:p>
          <w:p>
            <w:pPr>
              <w:spacing w:after="0" w:line="230"/>
            </w:pPr>
            <w:r>
              <w:rPr>
                <w:rFonts w:ascii="IBM Plex Mono" w:cs="IBM Plex Mono" w:eastAsia="IBM Plex Mono" w:hAnsi="IBM Plex Mono"/>
                <w:color w:val="1F2937"/>
                <w:sz w:val="15"/>
                <w:szCs w:val="15"/>
              </w:rPr>
              <w:t xml:space="preserve">  its absolute due instant in IST as the primary value and the countdown as secondary.</w:t>
            </w:r>
          </w:p>
          <w:p>
            <w:pPr>
              <w:spacing w:after="0" w:line="230"/>
            </w:pPr>
            <w:r>
              <w:rPr>
                <w:rFonts w:ascii="IBM Plex Mono" w:cs="IBM Plex Mono" w:eastAsia="IBM Plex Mono" w:hAnsi="IBM Plex Mono"/>
                <w:color w:val="1F2937"/>
                <w:sz w:val="15"/>
                <w:szCs w:val="15"/>
              </w:rPr>
              <w:t xml:space="preserve">- Left: tabbed body - Declaration, Line items, Documents, Duty, Queries, Versions,</w:t>
            </w:r>
          </w:p>
          <w:p>
            <w:pPr>
              <w:spacing w:after="0" w:line="230"/>
            </w:pPr>
            <w:r>
              <w:rPr>
                <w:rFonts w:ascii="IBM Plex Mono" w:cs="IBM Plex Mono" w:eastAsia="IBM Plex Mono" w:hAnsi="IBM Plex Mono"/>
                <w:color w:val="1F2937"/>
                <w:sz w:val="15"/>
                <w:szCs w:val="15"/>
              </w:rPr>
              <w:t xml:space="preserve">  Evidence.</w:t>
            </w:r>
          </w:p>
          <w:p>
            <w:pPr>
              <w:spacing w:after="0" w:line="230"/>
            </w:pPr>
            <w:r>
              <w:rPr>
                <w:rFonts w:ascii="IBM Plex Mono" w:cs="IBM Plex Mono" w:eastAsia="IBM Plex Mono" w:hAnsi="IBM Plex Mono"/>
                <w:color w:val="1F2937"/>
                <w:sz w:val="15"/>
                <w:szCs w:val="15"/>
              </w:rPr>
              <w:t xml:space="preserve">- Right: a persistent validation panel, always visible, never a modal.</w:t>
            </w:r>
          </w:p>
          <w:p>
            <w:pPr>
              <w:spacing w:after="0" w:line="230"/>
            </w:pPr>
            <w:r>
              <w:rPr>
                <w:rFonts w:ascii="IBM Plex Mono" w:cs="IBM Plex Mono" w:eastAsia="IBM Plex Mono" w:hAnsi="IBM Plex Mono"/>
                <w:color w:val="1F2937"/>
                <w:sz w:val="15"/>
                <w:szCs w:val="15"/>
              </w:rPr>
              <w:t xml:space="preserve">- Bottom action rail: Validate, Request client approval, Approve, Sign, Transmit -</w:t>
            </w:r>
          </w:p>
          <w:p>
            <w:pPr>
              <w:spacing w:after="0" w:line="230"/>
            </w:pPr>
            <w:r>
              <w:rPr>
                <w:rFonts w:ascii="IBM Plex Mono" w:cs="IBM Plex Mono" w:eastAsia="IBM Plex Mono" w:hAnsi="IBM Plex Mono"/>
                <w:color w:val="1F2937"/>
                <w:sz w:val="15"/>
                <w:szCs w:val="15"/>
              </w:rPr>
              <w:t xml:space="preserve">  each enabled only when its preconditions are met, with the unmet precondition named</w:t>
            </w:r>
          </w:p>
          <w:p>
            <w:pPr>
              <w:spacing w:after="0" w:line="230"/>
            </w:pPr>
            <w:r>
              <w:rPr>
                <w:rFonts w:ascii="IBM Plex Mono" w:cs="IBM Plex Mono" w:eastAsia="IBM Plex Mono" w:hAnsi="IBM Plex Mono"/>
                <w:color w:val="1F2937"/>
                <w:sz w:val="15"/>
                <w:szCs w:val="15"/>
              </w:rPr>
              <w:t xml:space="preserve">  on hover rather than a disabled control with no explanation.</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The validation panel lists every finding with field path, severity, plain-language</w:t>
            </w:r>
          </w:p>
          <w:p>
            <w:pPr>
              <w:spacing w:after="0" w:line="230"/>
            </w:pPr>
            <w:r>
              <w:rPr>
                <w:rFonts w:ascii="IBM Plex Mono" w:cs="IBM Plex Mono" w:eastAsia="IBM Plex Mono" w:hAnsi="IBM Plex Mono"/>
                <w:color w:val="1F2937"/>
                <w:sz w:val="15"/>
                <w:szCs w:val="15"/>
              </w:rPr>
              <w:t xml:space="preserve">cause, remediation, and the rule id that produced it. Blocking and warning are</w:t>
            </w:r>
          </w:p>
          <w:p>
            <w:pPr>
              <w:spacing w:after="0" w:line="230"/>
            </w:pPr>
            <w:r>
              <w:rPr>
                <w:rFonts w:ascii="IBM Plex Mono" w:cs="IBM Plex Mono" w:eastAsia="IBM Plex Mono" w:hAnsi="IBM Plex Mono"/>
                <w:color w:val="1F2937"/>
                <w:sz w:val="15"/>
                <w:szCs w:val="15"/>
              </w:rPr>
              <w:t xml:space="preserve">visually distinct. An override requires a reason and an authorised role and is</w:t>
            </w:r>
          </w:p>
          <w:p>
            <w:pPr>
              <w:spacing w:after="0" w:line="230"/>
            </w:pPr>
            <w:r>
              <w:rPr>
                <w:rFonts w:ascii="IBM Plex Mono" w:cs="IBM Plex Mono" w:eastAsia="IBM Plex Mono" w:hAnsi="IBM Plex Mono"/>
                <w:color w:val="1F2937"/>
                <w:sz w:val="15"/>
                <w:szCs w:val="15"/>
              </w:rPr>
              <w:t xml:space="preserve">recorded.</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The Versions tab shows every version with what changed, who approved it and what was</w:t>
            </w:r>
          </w:p>
          <w:p>
            <w:pPr>
              <w:spacing w:after="0" w:line="230"/>
            </w:pPr>
            <w:r>
              <w:rPr>
                <w:rFonts w:ascii="IBM Plex Mono" w:cs="IBM Plex Mono" w:eastAsia="IBM Plex Mono" w:hAnsi="IBM Plex Mono"/>
                <w:color w:val="1F2937"/>
                <w:sz w:val="15"/>
                <w:szCs w:val="15"/>
              </w:rPr>
              <w:t xml:space="preserve">filed. The Evidence tab lists each transmission attempt with payload checksum,</w:t>
            </w:r>
          </w:p>
          <w:p>
            <w:pPr>
              <w:spacing w:after="0" w:line="230"/>
            </w:pPr>
            <w:r>
              <w:rPr>
                <w:rFonts w:ascii="IBM Plex Mono" w:cs="IBM Plex Mono" w:eastAsia="IBM Plex Mono" w:hAnsi="IBM Plex Mono"/>
                <w:color w:val="1F2937"/>
                <w:sz w:val="15"/>
                <w:szCs w:val="15"/>
              </w:rPr>
              <w:t xml:space="preserve">acknowledgement, timings and operator, and offers an evidence bundle download.</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Use the PRD lifecycle as the single state vocabulary: Draft, Validated, Awaiting</w:t>
            </w:r>
          </w:p>
          <w:p>
            <w:pPr>
              <w:spacing w:after="0" w:line="230"/>
            </w:pPr>
            <w:r>
              <w:rPr>
                <w:rFonts w:ascii="IBM Plex Mono" w:cs="IBM Plex Mono" w:eastAsia="IBM Plex Mono" w:hAnsi="IBM Plex Mono"/>
                <w:color w:val="1F2937"/>
                <w:sz w:val="15"/>
                <w:szCs w:val="15"/>
              </w:rPr>
              <w:t xml:space="preserve">Approval, Approved, Signed, Transmitted, Acknowledged, Query Raised, Assessed,</w:t>
            </w:r>
          </w:p>
          <w:p>
            <w:pPr>
              <w:spacing w:after="0" w:line="230"/>
            </w:pPr>
            <w:r>
              <w:rPr>
                <w:rFonts w:ascii="IBM Plex Mono" w:cs="IBM Plex Mono" w:eastAsia="IBM Plex Mono" w:hAnsi="IBM Plex Mono"/>
                <w:color w:val="1F2937"/>
                <w:sz w:val="15"/>
                <w:szCs w:val="15"/>
              </w:rPr>
              <w:t xml:space="preserve">Duty Paid, Out of Charge / Exported, Amended, Rejected, Transmit Failed. Replace the</w:t>
            </w:r>
          </w:p>
          <w:p>
            <w:pPr>
              <w:spacing w:after="0" w:line="230"/>
            </w:pPr>
            <w:r>
              <w:rPr>
                <w:rFonts w:ascii="IBM Plex Mono" w:cs="IBM Plex Mono" w:eastAsia="IBM Plex Mono" w:hAnsi="IBM Plex Mono"/>
                <w:color w:val="1F2937"/>
                <w:sz w:val="15"/>
                <w:szCs w:val="15"/>
              </w:rPr>
              <w:t xml:space="preserve">ad-hoc states on the jobs list with these and render the state chip from one shared</w:t>
            </w:r>
          </w:p>
          <w:p>
            <w:pPr>
              <w:spacing w:after="0" w:line="230"/>
            </w:pPr>
            <w:r>
              <w:rPr>
                <w:rFonts w:ascii="IBM Plex Mono" w:cs="IBM Plex Mono" w:eastAsia="IBM Plex Mono" w:hAnsi="IBM Plex Mono"/>
                <w:color w:val="1F2937"/>
                <w:sz w:val="15"/>
                <w:szCs w:val="15"/>
              </w:rPr>
              <w:t xml:space="preserve">component.</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No link anywhere in the app 404s. Add a test that crawls every internal href.</w:t>
            </w:r>
          </w:p>
          <w:p>
            <w:pPr>
              <w:spacing w:after="0" w:line="230"/>
            </w:pPr>
            <w:r>
              <w:rPr>
                <w:rFonts w:ascii="IBM Plex Mono" w:cs="IBM Plex Mono" w:eastAsia="IBM Plex Mono" w:hAnsi="IBM Plex Mono"/>
                <w:color w:val="1F2937"/>
                <w:sz w:val="15"/>
                <w:szCs w:val="15"/>
              </w:rPr>
              <w:t xml:space="preserve">- A declaration can be walked from Draft to Transmitted with the validation panel</w:t>
            </w:r>
          </w:p>
          <w:p>
            <w:pPr>
              <w:spacing w:after="0" w:line="230"/>
            </w:pPr>
            <w:r>
              <w:rPr>
                <w:rFonts w:ascii="IBM Plex Mono" w:cs="IBM Plex Mono" w:eastAsia="IBM Plex Mono" w:hAnsi="IBM Plex Mono"/>
                <w:color w:val="1F2937"/>
                <w:sz w:val="15"/>
                <w:szCs w:val="15"/>
              </w:rPr>
              <w:t xml:space="preserve">  blocking at each point it should.</w:t>
            </w:r>
          </w:p>
          <w:p>
            <w:pPr>
              <w:spacing w:after="0" w:line="230"/>
            </w:pPr>
            <w:r>
              <w:rPr>
                <w:rFonts w:ascii="IBM Plex Mono" w:cs="IBM Plex Mono" w:eastAsia="IBM Plex Mono" w:hAnsi="IBM Plex Mono"/>
                <w:color w:val="1F2937"/>
                <w:sz w:val="15"/>
                <w:szCs w:val="15"/>
              </w:rPr>
              <w:t xml:space="preserve">- The action rail never offers an action whose preconditions are unmet.</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P-02 — Correct the e-Sanchit size and resolution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A-02.</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The documents screen currently states a 300 DPI e-Sanchit minimum in its banner and a</w:t>
            </w:r>
          </w:p>
          <w:p>
            <w:pPr>
              <w:spacing w:after="0" w:line="230"/>
            </w:pPr>
            <w:r>
              <w:rPr>
                <w:rFonts w:ascii="IBM Plex Mono" w:cs="IBM Plex Mono" w:eastAsia="IBM Plex Mono" w:hAnsi="IBM Plex Mono"/>
                <w:color w:val="1F2937"/>
                <w:sz w:val="15"/>
                <w:szCs w:val="15"/>
              </w:rPr>
              <w:t xml:space="preserve">200 DPI minimum in a failure message on the same screen, and shows files of 640 KB,</w:t>
            </w:r>
          </w:p>
          <w:p>
            <w:pPr>
              <w:spacing w:after="0" w:line="230"/>
            </w:pPr>
            <w:r>
              <w:rPr>
                <w:rFonts w:ascii="IBM Plex Mono" w:cs="IBM Plex Mono" w:eastAsia="IBM Plex Mono" w:hAnsi="IBM Plex Mono"/>
                <w:color w:val="1F2937"/>
                <w:sz w:val="15"/>
                <w:szCs w:val="15"/>
              </w:rPr>
              <w:t xml:space="preserve">890 KB and 8.7 MB progressing to uploaded. The published e-Sanchit specification is</w:t>
            </w:r>
          </w:p>
          <w:p>
            <w:pPr>
              <w:spacing w:after="0" w:line="230"/>
            </w:pPr>
            <w:r>
              <w:rPr>
                <w:rFonts w:ascii="IBM Plex Mono" w:cs="IBM Plex Mono" w:eastAsia="IBM Plex Mono" w:hAnsi="IBM Plex Mono"/>
                <w:color w:val="1F2937"/>
                <w:sz w:val="15"/>
                <w:szCs w:val="15"/>
              </w:rPr>
              <w:t xml:space="preserve">PDF/A (ISO 19005-2), a minimum of 200 DPI in black and white, approximately 75 KB per</w:t>
            </w:r>
          </w:p>
          <w:p>
            <w:pPr>
              <w:spacing w:after="0" w:line="230"/>
            </w:pPr>
            <w:r>
              <w:rPr>
                <w:rFonts w:ascii="IBM Plex Mono" w:cs="IBM Plex Mono" w:eastAsia="IBM Plex Mono" w:hAnsi="IBM Plex Mono"/>
                <w:color w:val="1F2937"/>
                <w:sz w:val="15"/>
                <w:szCs w:val="15"/>
              </w:rPr>
              <w:t xml:space="preserve">A4 page, and a maximum of 1 MB per file.</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Do not conflate this with the 10 MB fileSubmit ceiling in the PRD - that is the</w:t>
            </w:r>
          </w:p>
          <w:p>
            <w:pPr>
              <w:spacing w:after="0" w:line="230"/>
            </w:pPr>
            <w:r>
              <w:rPr>
                <w:rFonts w:ascii="IBM Plex Mono" w:cs="IBM Plex Mono" w:eastAsia="IBM Plex Mono" w:hAnsi="IBM Plex Mono"/>
                <w:color w:val="1F2937"/>
                <w:sz w:val="15"/>
                <w:szCs w:val="15"/>
              </w:rPr>
              <w:t xml:space="preserve">channel limit for a declaration payload, not the e-Sanchit document limit. Put both</w:t>
            </w:r>
          </w:p>
          <w:p>
            <w:pPr>
              <w:spacing w:after="0" w:line="230"/>
            </w:pPr>
            <w:r>
              <w:rPr>
                <w:rFonts w:ascii="IBM Plex Mono" w:cs="IBM Plex Mono" w:eastAsia="IBM Plex Mono" w:hAnsi="IBM Plex Mono"/>
                <w:color w:val="1F2937"/>
                <w:sz w:val="15"/>
                <w:szCs w:val="15"/>
              </w:rPr>
              <w:t xml:space="preserve">in configuration as separate, separately-cited values.</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Tasks:</w:t>
            </w:r>
          </w:p>
          <w:p>
            <w:pPr>
              <w:spacing w:after="0" w:line="230"/>
            </w:pPr>
            <w:r>
              <w:rPr>
                <w:rFonts w:ascii="IBM Plex Mono" w:cs="IBM Plex Mono" w:eastAsia="IBM Plex Mono" w:hAnsi="IBM Plex Mono"/>
                <w:color w:val="1F2937"/>
                <w:sz w:val="15"/>
                <w:szCs w:val="15"/>
              </w:rPr>
              <w:t xml:space="preserve">1. Create a documentSpec config module holding: minDpi 200, maxBytesPerFile 1 MB,</w:t>
            </w:r>
          </w:p>
          <w:p>
            <w:pPr>
              <w:spacing w:after="0" w:line="230"/>
            </w:pPr>
            <w:r>
              <w:rPr>
                <w:rFonts w:ascii="IBM Plex Mono" w:cs="IBM Plex Mono" w:eastAsia="IBM Plex Mono" w:hAnsi="IBM Plex Mono"/>
                <w:color w:val="1F2937"/>
                <w:sz w:val="15"/>
                <w:szCs w:val="15"/>
              </w:rPr>
              <w:t xml:space="preserve">   targetBytesPerPage ~75 KB, format PDF/A ISO 19005-2, and maxDocsPerBatch - each</w:t>
            </w:r>
          </w:p>
          <w:p>
            <w:pPr>
              <w:spacing w:after="0" w:line="230"/>
            </w:pPr>
            <w:r>
              <w:rPr>
                <w:rFonts w:ascii="IBM Plex Mono" w:cs="IBM Plex Mono" w:eastAsia="IBM Plex Mono" w:hAnsi="IBM Plex Mono"/>
                <w:color w:val="1F2937"/>
                <w:sz w:val="15"/>
                <w:szCs w:val="15"/>
              </w:rPr>
              <w:t xml:space="preserve">   with a source citation string rendered in the UI.</w:t>
            </w:r>
          </w:p>
          <w:p>
            <w:pPr>
              <w:spacing w:after="0" w:line="230"/>
            </w:pPr>
            <w:r>
              <w:rPr>
                <w:rFonts w:ascii="IBM Plex Mono" w:cs="IBM Plex Mono" w:eastAsia="IBM Plex Mono" w:hAnsi="IBM Plex Mono"/>
                <w:color w:val="1F2937"/>
                <w:sz w:val="15"/>
                <w:szCs w:val="15"/>
              </w:rPr>
              <w:t xml:space="preserve">2. Rewrite the banner to state the sourced floor and cite it. One number only.</w:t>
            </w:r>
          </w:p>
          <w:p>
            <w:pPr>
              <w:spacing w:after="0" w:line="230"/>
            </w:pPr>
            <w:r>
              <w:rPr>
                <w:rFonts w:ascii="IBM Plex Mono" w:cs="IBM Plex Mono" w:eastAsia="IBM Plex Mono" w:hAnsi="IBM Plex Mono"/>
                <w:color w:val="1F2937"/>
                <w:sz w:val="15"/>
                <w:szCs w:val="15"/>
              </w:rPr>
              <w:t xml:space="preserve">3. Re-derive every fixture file size so the pipeline is plausible under a 1 MB cap,</w:t>
            </w:r>
          </w:p>
          <w:p>
            <w:pPr>
              <w:spacing w:after="0" w:line="230"/>
            </w:pPr>
            <w:r>
              <w:rPr>
                <w:rFonts w:ascii="IBM Plex Mono" w:cs="IBM Plex Mono" w:eastAsia="IBM Plex Mono" w:hAnsi="IBM Plex Mono"/>
                <w:color w:val="1F2937"/>
                <w:sz w:val="15"/>
                <w:szCs w:val="15"/>
              </w:rPr>
              <w:t xml:space="preserve">   and make the split-into-parts case a file that genuinely exceeds 1 MB.</w:t>
            </w:r>
          </w:p>
          <w:p>
            <w:pPr>
              <w:spacing w:after="0" w:line="230"/>
            </w:pPr>
            <w:r>
              <w:rPr>
                <w:rFonts w:ascii="IBM Plex Mono" w:cs="IBM Plex Mono" w:eastAsia="IBM Plex Mono" w:hAnsi="IBM Plex Mono"/>
                <w:color w:val="1F2937"/>
                <w:sz w:val="15"/>
                <w:szCs w:val="15"/>
              </w:rPr>
              <w:t xml:space="preserve">4. Show the optimisation ladder outcome on the row: original size, applied steps,</w:t>
            </w:r>
          </w:p>
          <w:p>
            <w:pPr>
              <w:spacing w:after="0" w:line="230"/>
            </w:pPr>
            <w:r>
              <w:rPr>
                <w:rFonts w:ascii="IBM Plex Mono" w:cs="IBM Plex Mono" w:eastAsia="IBM Plex Mono" w:hAnsi="IBM Plex Mono"/>
                <w:color w:val="1F2937"/>
                <w:sz w:val="15"/>
                <w:szCs w:val="15"/>
              </w:rPr>
              <w:t xml:space="preserve">   final size, and the DPI floor that was respected.</w:t>
            </w:r>
          </w:p>
          <w:p>
            <w:pPr>
              <w:spacing w:after="0" w:line="230"/>
            </w:pPr>
            <w:r>
              <w:rPr>
                <w:rFonts w:ascii="IBM Plex Mono" w:cs="IBM Plex Mono" w:eastAsia="IBM Plex Mono" w:hAnsi="IBM Plex Mono"/>
                <w:color w:val="1F2937"/>
                <w:sz w:val="15"/>
                <w:szCs w:val="15"/>
              </w:rPr>
              <w:t xml:space="preserve">5. Add a manifest link on any split document and require explicit user confirmation</w:t>
            </w:r>
          </w:p>
          <w:p>
            <w:pPr>
              <w:spacing w:after="0" w:line="230"/>
            </w:pPr>
            <w:r>
              <w:rPr>
                <w:rFonts w:ascii="IBM Plex Mono" w:cs="IBM Plex Mono" w:eastAsia="IBM Plex Mono" w:hAnsi="IBM Plex Mono"/>
                <w:color w:val="1F2937"/>
                <w:sz w:val="15"/>
                <w:szCs w:val="15"/>
              </w:rPr>
              <w:t xml:space="preserve">   before a split, as the PRD specifies.</w:t>
            </w:r>
          </w:p>
          <w:p>
            <w:pPr>
              <w:spacing w:after="0" w:line="230"/>
            </w:pPr>
            <w:r>
              <w:rPr>
                <w:rFonts w:ascii="IBM Plex Mono" w:cs="IBM Plex Mono" w:eastAsia="IBM Plex Mono" w:hAnsi="IBM Plex Mono"/>
                <w:color w:val="1F2937"/>
                <w:sz w:val="15"/>
                <w:szCs w:val="15"/>
              </w:rPr>
              <w:t xml:space="preserve">6. Mark maxDocsPerBatch as unconfirmed in config - published sources disagree (5 vs</w:t>
            </w:r>
          </w:p>
          <w:p>
            <w:pPr>
              <w:spacing w:after="0" w:line="230"/>
            </w:pPr>
            <w:r>
              <w:rPr>
                <w:rFonts w:ascii="IBM Plex Mono" w:cs="IBM Plex Mono" w:eastAsia="IBM Plex Mono" w:hAnsi="IBM Plex Mono"/>
                <w:color w:val="1F2937"/>
                <w:sz w:val="15"/>
                <w:szCs w:val="15"/>
              </w:rPr>
              <w:t xml:space="preserve">   10) - and surface it as a to-verify item rather than asserting it.</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One resolution figure and one size ceiling appear in the product, both cited.</w:t>
            </w:r>
          </w:p>
          <w:p>
            <w:pPr>
              <w:spacing w:after="0" w:line="230"/>
            </w:pPr>
            <w:r>
              <w:rPr>
                <w:rFonts w:ascii="IBM Plex Mono" w:cs="IBM Plex Mono" w:eastAsia="IBM Plex Mono" w:hAnsi="IBM Plex Mono"/>
                <w:color w:val="1F2937"/>
                <w:sz w:val="15"/>
                <w:szCs w:val="15"/>
              </w:rPr>
              <w:t xml:space="preserve">- No fixture document exceeds the configured ceiling in an uploaded state.</w:t>
            </w:r>
          </w:p>
          <w:p>
            <w:pPr>
              <w:spacing w:after="0" w:line="230"/>
            </w:pPr>
            <w:r>
              <w:rPr>
                <w:rFonts w:ascii="IBM Plex Mono" w:cs="IBM Plex Mono" w:eastAsia="IBM Plex Mono" w:hAnsi="IBM Plex Mono"/>
                <w:color w:val="1F2937"/>
                <w:sz w:val="15"/>
                <w:szCs w:val="15"/>
              </w:rPr>
              <w:t xml:space="preserve">- Changing the config value changes every figure on screen.</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P-03 — Rebuild the query reply as a filed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A-01.</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The query desk models a reply as free text with a Send button. A reply to an officer</w:t>
            </w:r>
          </w:p>
          <w:p>
            <w:pPr>
              <w:spacing w:after="0" w:line="230"/>
            </w:pPr>
            <w:r>
              <w:rPr>
                <w:rFonts w:ascii="IBM Plex Mono" w:cs="IBM Plex Mono" w:eastAsia="IBM Plex Mono" w:hAnsi="IBM Plex Mono"/>
                <w:color w:val="1F2937"/>
                <w:sz w:val="15"/>
                <w:szCs w:val="15"/>
              </w:rPr>
              <w:t xml:space="preserve">query is a filed message - CACHI06 for imports, CACHE04 for exports - carrying the</w:t>
            </w:r>
          </w:p>
          <w:p>
            <w:pPr>
              <w:spacing w:after="0" w:line="230"/>
            </w:pPr>
            <w:r>
              <w:rPr>
                <w:rFonts w:ascii="IBM Plex Mono" w:cs="IBM Plex Mono" w:eastAsia="IBM Plex Mono" w:hAnsi="IBM Plex Mono"/>
                <w:color w:val="1F2937"/>
                <w:sz w:val="15"/>
                <w:szCs w:val="15"/>
              </w:rPr>
              <w:t xml:space="preserve">same obligations as the original declaration.</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Rebuild the reply pane as a message composer:</w:t>
            </w:r>
          </w:p>
          <w:p>
            <w:pPr>
              <w:spacing w:after="0" w:line="230"/>
            </w:pPr>
            <w:r>
              <w:rPr>
                <w:rFonts w:ascii="IBM Plex Mono" w:cs="IBM Plex Mono" w:eastAsia="IBM Plex Mono" w:hAnsi="IBM Plex Mono"/>
                <w:color w:val="1F2937"/>
                <w:sz w:val="15"/>
                <w:szCs w:val="15"/>
              </w:rPr>
              <w:t xml:space="preserve">1. Show the declaration fields the query refers to, side by side with the query text.</w:t>
            </w:r>
          </w:p>
          <w:p>
            <w:pPr>
              <w:spacing w:after="0" w:line="230"/>
            </w:pPr>
            <w:r>
              <w:rPr>
                <w:rFonts w:ascii="IBM Plex Mono" w:cs="IBM Plex Mono" w:eastAsia="IBM Plex Mono" w:hAnsi="IBM Plex Mono"/>
                <w:color w:val="1F2937"/>
                <w:sz w:val="15"/>
                <w:szCs w:val="15"/>
              </w:rPr>
              <w:t xml:space="preserve">   The officer asks about line item 2; line item 2 must be on screen.</w:t>
            </w:r>
          </w:p>
          <w:p>
            <w:pPr>
              <w:spacing w:after="0" w:line="230"/>
            </w:pPr>
            <w:r>
              <w:rPr>
                <w:rFonts w:ascii="IBM Plex Mono" w:cs="IBM Plex Mono" w:eastAsia="IBM Plex Mono" w:hAnsi="IBM Plex Mono"/>
                <w:color w:val="1F2937"/>
                <w:sz w:val="15"/>
                <w:szCs w:val="15"/>
              </w:rPr>
              <w:t xml:space="preserve">2. Show previous rounds of this query as a thread.</w:t>
            </w:r>
          </w:p>
          <w:p>
            <w:pPr>
              <w:spacing w:after="0" w:line="230"/>
            </w:pPr>
            <w:r>
              <w:rPr>
                <w:rFonts w:ascii="IBM Plex Mono" w:cs="IBM Plex Mono" w:eastAsia="IBM Plex Mono" w:hAnsi="IBM Plex Mono"/>
                <w:color w:val="1F2937"/>
                <w:sz w:val="15"/>
                <w:szCs w:val="15"/>
              </w:rPr>
              <w:t xml:space="preserve">3. Offer an AI-proposed draft that the user must edit and explicitly accept, with the</w:t>
            </w:r>
          </w:p>
          <w:p>
            <w:pPr>
              <w:spacing w:after="0" w:line="230"/>
            </w:pPr>
            <w:r>
              <w:rPr>
                <w:rFonts w:ascii="IBM Plex Mono" w:cs="IBM Plex Mono" w:eastAsia="IBM Plex Mono" w:hAnsi="IBM Plex Mono"/>
                <w:color w:val="1F2937"/>
                <w:sz w:val="15"/>
                <w:szCs w:val="15"/>
              </w:rPr>
              <w:t xml:space="preserve">   provenance of anything it asserts.</w:t>
            </w:r>
          </w:p>
          <w:p>
            <w:pPr>
              <w:spacing w:after="0" w:line="230"/>
            </w:pPr>
            <w:r>
              <w:rPr>
                <w:rFonts w:ascii="IBM Plex Mono" w:cs="IBM Plex Mono" w:eastAsia="IBM Plex Mono" w:hAnsi="IBM Plex Mono"/>
                <w:color w:val="1F2937"/>
                <w:sz w:val="15"/>
                <w:szCs w:val="15"/>
              </w:rPr>
              <w:t xml:space="preserve">4. Bind supporting evidence by selecting an existing e-Sanchit IRN from the register.</w:t>
            </w:r>
          </w:p>
          <w:p>
            <w:pPr>
              <w:spacing w:after="0" w:line="230"/>
            </w:pPr>
            <w:r>
              <w:rPr>
                <w:rFonts w:ascii="IBM Plex Mono" w:cs="IBM Plex Mono" w:eastAsia="IBM Plex Mono" w:hAnsi="IBM Plex Mono"/>
                <w:color w:val="1F2937"/>
                <w:sz w:val="15"/>
                <w:szCs w:val="15"/>
              </w:rPr>
              <w:t xml:space="preserve">   Only fall back to a fresh upload when no IRN exists, and route that upload through</w:t>
            </w:r>
          </w:p>
          <w:p>
            <w:pPr>
              <w:spacing w:after="0" w:line="230"/>
            </w:pPr>
            <w:r>
              <w:rPr>
                <w:rFonts w:ascii="IBM Plex Mono" w:cs="IBM Plex Mono" w:eastAsia="IBM Plex Mono" w:hAnsi="IBM Plex Mono"/>
                <w:color w:val="1F2937"/>
                <w:sz w:val="15"/>
                <w:szCs w:val="15"/>
              </w:rPr>
              <w:t xml:space="preserve">   the e-Sanchit pipeline.</w:t>
            </w:r>
          </w:p>
          <w:p>
            <w:pPr>
              <w:spacing w:after="0" w:line="230"/>
            </w:pPr>
            <w:r>
              <w:rPr>
                <w:rFonts w:ascii="IBM Plex Mono" w:cs="IBM Plex Mono" w:eastAsia="IBM Plex Mono" w:hAnsi="IBM Plex Mono"/>
                <w:color w:val="1F2937"/>
                <w:sz w:val="15"/>
                <w:szCs w:val="15"/>
              </w:rPr>
              <w:t xml:space="preserve">5. Validate, preview the message payload, require approval, require a DSC signature,</w:t>
            </w:r>
          </w:p>
          <w:p>
            <w:pPr>
              <w:spacing w:after="0" w:line="230"/>
            </w:pPr>
            <w:r>
              <w:rPr>
                <w:rFonts w:ascii="IBM Plex Mono" w:cs="IBM Plex Mono" w:eastAsia="IBM Plex Mono" w:hAnsi="IBM Plex Mono"/>
                <w:color w:val="1F2937"/>
                <w:sz w:val="15"/>
                <w:szCs w:val="15"/>
              </w:rPr>
              <w:t xml:space="preserve">   transmit through the same outbox as any other message, capture evidence, and show</w:t>
            </w:r>
          </w:p>
          <w:p>
            <w:pPr>
              <w:spacing w:after="0" w:line="230"/>
            </w:pPr>
            <w:r>
              <w:rPr>
                <w:rFonts w:ascii="IBM Plex Mono" w:cs="IBM Plex Mono" w:eastAsia="IBM Plex Mono" w:hAnsi="IBM Plex Mono"/>
                <w:color w:val="1F2937"/>
                <w:sz w:val="15"/>
                <w:szCs w:val="15"/>
              </w:rPr>
              <w:t xml:space="preserve">   the acknowledgement state.</w:t>
            </w:r>
          </w:p>
          <w:p>
            <w:pPr>
              <w:spacing w:after="0" w:line="230"/>
            </w:pPr>
            <w:r>
              <w:rPr>
                <w:rFonts w:ascii="IBM Plex Mono" w:cs="IBM Plex Mono" w:eastAsia="IBM Plex Mono" w:hAnsi="IBM Plex Mono"/>
                <w:color w:val="1F2937"/>
                <w:sz w:val="15"/>
                <w:szCs w:val="15"/>
              </w:rPr>
              <w:t xml:space="preserve">6. Add a "raise as a validation rule" action on the query cause, creating a backlog</w:t>
            </w:r>
          </w:p>
          <w:p>
            <w:pPr>
              <w:spacing w:after="0" w:line="230"/>
            </w:pPr>
            <w:r>
              <w:rPr>
                <w:rFonts w:ascii="IBM Plex Mono" w:cs="IBM Plex Mono" w:eastAsia="IBM Plex Mono" w:hAnsi="IBM Plex Mono"/>
                <w:color w:val="1F2937"/>
                <w:sz w:val="15"/>
                <w:szCs w:val="15"/>
              </w:rPr>
              <w:t xml:space="preserve">   item that links the cause to a proposed preventive rule.</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Use one duration formatter for the SLA - the list chip and the reply panel currently</w:t>
            </w:r>
          </w:p>
          <w:p>
            <w:pPr>
              <w:spacing w:after="0" w:line="230"/>
            </w:pPr>
            <w:r>
              <w:rPr>
                <w:rFonts w:ascii="IBM Plex Mono" w:cs="IBM Plex Mono" w:eastAsia="IBM Plex Mono" w:hAnsi="IBM Plex Mono"/>
                <w:color w:val="1F2937"/>
                <w:sz w:val="15"/>
                <w:szCs w:val="15"/>
              </w:rPr>
              <w:t xml:space="preserve">show 3h 12m and 192m for the same query.</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Sending a reply produces a transmission record with a payload, a checksum, an</w:t>
            </w:r>
          </w:p>
          <w:p>
            <w:pPr>
              <w:spacing w:after="0" w:line="230"/>
            </w:pPr>
            <w:r>
              <w:rPr>
                <w:rFonts w:ascii="IBM Plex Mono" w:cs="IBM Plex Mono" w:eastAsia="IBM Plex Mono" w:hAnsi="IBM Plex Mono"/>
                <w:color w:val="1F2937"/>
                <w:sz w:val="15"/>
                <w:szCs w:val="15"/>
              </w:rPr>
              <w:t xml:space="preserve">  evidence bundle and an acknowledgement state.</w:t>
            </w:r>
          </w:p>
          <w:p>
            <w:pPr>
              <w:spacing w:after="0" w:line="230"/>
            </w:pPr>
            <w:r>
              <w:rPr>
                <w:rFonts w:ascii="IBM Plex Mono" w:cs="IBM Plex Mono" w:eastAsia="IBM Plex Mono" w:hAnsi="IBM Plex Mono"/>
                <w:color w:val="1F2937"/>
                <w:sz w:val="15"/>
                <w:szCs w:val="15"/>
              </w:rPr>
              <w:t xml:space="preserve">- A reply cannot be sent without an approval and a valid signature.</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P-04 — Give the amendment its message identity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A-03, A-05, A-09.</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The amendment screen shows a field-level diff but never names what is transmitted.</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Derive the ICES message type from the delta: F fresh, A amendment, S supplementary,</w:t>
            </w:r>
          </w:p>
          <w:p>
            <w:pPr>
              <w:spacing w:after="0" w:line="230"/>
            </w:pPr>
            <w:r>
              <w:rPr>
                <w:rFonts w:ascii="IBM Plex Mono" w:cs="IBM Plex Mono" w:eastAsia="IBM Plex Mono" w:hAnsi="IBM Plex Mono"/>
                <w:color w:val="1F2937"/>
                <w:sz w:val="15"/>
                <w:szCs w:val="15"/>
              </w:rPr>
              <w:t xml:space="preserve">   D deletion, R export short shipment. Show it prominently as the thing being filed.</w:t>
            </w:r>
          </w:p>
          <w:p>
            <w:pPr>
              <w:spacing w:after="0" w:line="230"/>
            </w:pPr>
            <w:r>
              <w:rPr>
                <w:rFonts w:ascii="IBM Plex Mono" w:cs="IBM Plex Mono" w:eastAsia="IBM Plex Mono" w:hAnsi="IBM Plex Mono"/>
                <w:color w:val="1F2937"/>
                <w:sz w:val="15"/>
                <w:szCs w:val="15"/>
              </w:rPr>
              <w:t xml:space="preserve">2. Derive the amendment codes for imports (A_MAIN, S_INV, D_ITEM, S_DOCS, A_PBEIGM and</w:t>
            </w:r>
          </w:p>
          <w:p>
            <w:pPr>
              <w:spacing w:after="0" w:line="230"/>
            </w:pPr>
            <w:r>
              <w:rPr>
                <w:rFonts w:ascii="IBM Plex Mono" w:cs="IBM Plex Mono" w:eastAsia="IBM Plex Mono" w:hAnsi="IBM Plex Mono"/>
                <w:color w:val="1F2937"/>
                <w:sz w:val="15"/>
                <w:szCs w:val="15"/>
              </w:rPr>
              <w:t xml:space="preserve">   the rest) and the remarks codes for exports (sb_updt, item_insrt, dbk_updt,</w:t>
            </w:r>
          </w:p>
          <w:p>
            <w:pPr>
              <w:spacing w:after="0" w:line="230"/>
            </w:pPr>
            <w:r>
              <w:rPr>
                <w:rFonts w:ascii="IBM Plex Mono" w:cs="IBM Plex Mono" w:eastAsia="IBM Plex Mono" w:hAnsi="IBM Plex Mono"/>
                <w:color w:val="1F2937"/>
                <w:sz w:val="15"/>
                <w:szCs w:val="15"/>
              </w:rPr>
              <w:t xml:space="preserve">   ShortShip and the rest). Let the user confirm or override with a reason.</w:t>
            </w:r>
          </w:p>
          <w:p>
            <w:pPr>
              <w:spacing w:after="0" w:line="230"/>
            </w:pPr>
            <w:r>
              <w:rPr>
                <w:rFonts w:ascii="IBM Plex Mono" w:cs="IBM Plex Mono" w:eastAsia="IBM Plex Mono" w:hAnsi="IBM Plex Mono"/>
                <w:color w:val="1F2937"/>
                <w:sz w:val="15"/>
                <w:szCs w:val="15"/>
              </w:rPr>
              <w:t xml:space="preserve">3. State which version the amendment derives from, and derive it from the last</w:t>
            </w:r>
          </w:p>
          <w:p>
            <w:pPr>
              <w:spacing w:after="0" w:line="230"/>
            </w:pPr>
            <w:r>
              <w:rPr>
                <w:rFonts w:ascii="IBM Plex Mono" w:cs="IBM Plex Mono" w:eastAsia="IBM Plex Mono" w:hAnsi="IBM Plex Mono"/>
                <w:color w:val="1F2937"/>
                <w:sz w:val="15"/>
                <w:szCs w:val="15"/>
              </w:rPr>
              <w:t xml:space="preserve">   ACCEPTED version, never from the working draft. Show "Amending accepted version v2,</w:t>
            </w:r>
          </w:p>
          <w:p>
            <w:pPr>
              <w:spacing w:after="0" w:line="230"/>
            </w:pPr>
            <w:r>
              <w:rPr>
                <w:rFonts w:ascii="IBM Plex Mono" w:cs="IBM Plex Mono" w:eastAsia="IBM Plex Mono" w:hAnsi="IBM Plex Mono"/>
                <w:color w:val="1F2937"/>
                <w:sz w:val="15"/>
                <w:szCs w:val="15"/>
              </w:rPr>
              <w:t xml:space="preserve">   filed 14 Sep 2026" in the header.</w:t>
            </w:r>
          </w:p>
          <w:p>
            <w:pPr>
              <w:spacing w:after="0" w:line="230"/>
            </w:pPr>
            <w:r>
              <w:rPr>
                <w:rFonts w:ascii="IBM Plex Mono" w:cs="IBM Plex Mono" w:eastAsia="IBM Plex Mono" w:hAnsi="IBM Plex Mono"/>
                <w:color w:val="1F2937"/>
                <w:sz w:val="15"/>
                <w:szCs w:val="15"/>
              </w:rPr>
              <w:t xml:space="preserve">4. Fix the duty impact. The current figure is the assessable value delta</w:t>
            </w:r>
          </w:p>
          <w:p>
            <w:pPr>
              <w:spacing w:after="0" w:line="230"/>
            </w:pPr>
            <w:r>
              <w:rPr>
                <w:rFonts w:ascii="IBM Plex Mono" w:cs="IBM Plex Mono" w:eastAsia="IBM Plex Mono" w:hAnsi="IBM Plex Mono"/>
                <w:color w:val="1F2937"/>
                <w:sz w:val="15"/>
                <w:szCs w:val="15"/>
              </w:rPr>
              <w:t xml:space="preserve">   (1,88,300 - 1,83,000 = 5,300) mislabelled as duty. Compute the duty delta head by</w:t>
            </w:r>
          </w:p>
          <w:p>
            <w:pPr>
              <w:spacing w:after="0" w:line="230"/>
            </w:pPr>
            <w:r>
              <w:rPr>
                <w:rFonts w:ascii="IBM Plex Mono" w:cs="IBM Plex Mono" w:eastAsia="IBM Plex Mono" w:hAnsi="IBM Plex Mono"/>
                <w:color w:val="1F2937"/>
                <w:sz w:val="15"/>
                <w:szCs w:val="15"/>
              </w:rPr>
              <w:t xml:space="preserve">   head and show the value delta and the duty delta as two separate figures. Do not</w:t>
            </w:r>
          </w:p>
          <w:p>
            <w:pPr>
              <w:spacing w:after="0" w:line="230"/>
            </w:pPr>
            <w:r>
              <w:rPr>
                <w:rFonts w:ascii="IBM Plex Mono" w:cs="IBM Plex Mono" w:eastAsia="IBM Plex Mono" w:hAnsi="IBM Plex Mono"/>
                <w:color w:val="1F2937"/>
                <w:sz w:val="15"/>
                <w:szCs w:val="15"/>
              </w:rPr>
              <w:t xml:space="preserve">   render an increase in what the client owes in green.</w:t>
            </w:r>
          </w:p>
          <w:p>
            <w:pPr>
              <w:spacing w:after="0" w:line="230"/>
            </w:pPr>
            <w:r>
              <w:rPr>
                <w:rFonts w:ascii="IBM Plex Mono" w:cs="IBM Plex Mono" w:eastAsia="IBM Plex Mono" w:hAnsi="IBM Plex Mono"/>
                <w:color w:val="1F2937"/>
                <w:sz w:val="15"/>
                <w:szCs w:val="15"/>
              </w:rPr>
              <w:t xml:space="preserve">5. Insert Approve, Sign and Transmit into the amendment lifecycle before Under Review,</w:t>
            </w:r>
          </w:p>
          <w:p>
            <w:pPr>
              <w:spacing w:after="0" w:line="230"/>
            </w:pPr>
            <w:r>
              <w:rPr>
                <w:rFonts w:ascii="IBM Plex Mono" w:cs="IBM Plex Mono" w:eastAsia="IBM Plex Mono" w:hAnsi="IBM Plex Mono"/>
                <w:color w:val="1F2937"/>
                <w:sz w:val="15"/>
                <w:szCs w:val="15"/>
              </w:rPr>
              <w:t xml:space="preserve">   with the same evidence capture as any other filed message.</w:t>
            </w:r>
          </w:p>
          <w:p>
            <w:pPr>
              <w:spacing w:after="0" w:line="230"/>
            </w:pPr>
            <w:r>
              <w:rPr>
                <w:rFonts w:ascii="IBM Plex Mono" w:cs="IBM Plex Mono" w:eastAsia="IBM Plex Mono" w:hAnsi="IBM Plex Mono"/>
                <w:color w:val="1F2937"/>
                <w:sz w:val="15"/>
                <w:szCs w:val="15"/>
              </w:rPr>
              <w:t xml:space="preserve">6. Add Section 18A voluntary revision as a third request type alongside Amendment and</w:t>
            </w:r>
          </w:p>
          <w:p>
            <w:pPr>
              <w:spacing w:after="0" w:line="230"/>
            </w:pPr>
            <w:r>
              <w:rPr>
                <w:rFonts w:ascii="IBM Plex Mono" w:cs="IBM Plex Mono" w:eastAsia="IBM Plex Mono" w:hAnsi="IBM Plex Mono"/>
                <w:color w:val="1F2937"/>
                <w:sz w:val="15"/>
                <w:szCs w:val="15"/>
              </w:rPr>
              <w:t xml:space="preserve">   Cancellation, with its own evidence pack and its own clock.</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The screen states the message type and code set that will be transmitted.</w:t>
            </w:r>
          </w:p>
          <w:p>
            <w:pPr>
              <w:spacing w:after="0" w:line="230"/>
            </w:pPr>
            <w:r>
              <w:rPr>
                <w:rFonts w:ascii="IBM Plex Mono" w:cs="IBM Plex Mono" w:eastAsia="IBM Plex Mono" w:hAnsi="IBM Plex Mono"/>
                <w:color w:val="1F2937"/>
                <w:sz w:val="15"/>
                <w:szCs w:val="15"/>
              </w:rPr>
              <w:t xml:space="preserve">- The diff shown to the user is provably the diff that is filed - one source.</w:t>
            </w:r>
          </w:p>
          <w:p>
            <w:pPr>
              <w:spacing w:after="0" w:line="230"/>
            </w:pPr>
            <w:r>
              <w:rPr>
                <w:rFonts w:ascii="IBM Plex Mono" w:cs="IBM Plex Mono" w:eastAsia="IBM Plex Mono" w:hAnsi="IBM Plex Mono"/>
                <w:color w:val="1F2937"/>
                <w:sz w:val="15"/>
                <w:szCs w:val="15"/>
              </w:rPr>
              <w:t xml:space="preserve">- An amendment cannot be constructed from an unaccepted version; add a test.</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P-05 — Separate the client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A-04, D-07, D-09.</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The portal currently renders inside the broker's shell, carrying the broker's icon</w:t>
            </w:r>
          </w:p>
          <w:p>
            <w:pPr>
              <w:spacing w:after="0" w:line="230"/>
            </w:pPr>
            <w:r>
              <w:rPr>
                <w:rFonts w:ascii="IBM Plex Mono" w:cs="IBM Plex Mono" w:eastAsia="IBM Plex Mono" w:hAnsi="IBM Plex Mono"/>
                <w:color w:val="1F2937"/>
                <w:sz w:val="15"/>
                <w:szCs w:val="15"/>
              </w:rPr>
              <w:t xml:space="preserve">rail, avatar and live signing-agent session, and exposing internal job identifiers and</w:t>
            </w:r>
          </w:p>
          <w:p>
            <w:pPr>
              <w:spacing w:after="0" w:line="230"/>
            </w:pPr>
            <w:r>
              <w:rPr>
                <w:rFonts w:ascii="IBM Plex Mono" w:cs="IBM Plex Mono" w:eastAsia="IBM Plex Mono" w:hAnsi="IBM Plex Mono"/>
                <w:color w:val="1F2937"/>
                <w:sz w:val="15"/>
                <w:szCs w:val="15"/>
              </w:rPr>
              <w:t xml:space="preserve">internal channel states to the client.</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Give the portal its own layout, its own route group and its own authentication</w:t>
            </w:r>
          </w:p>
          <w:p>
            <w:pPr>
              <w:spacing w:after="0" w:line="230"/>
            </w:pPr>
            <w:r>
              <w:rPr>
                <w:rFonts w:ascii="IBM Plex Mono" w:cs="IBM Plex Mono" w:eastAsia="IBM Plex Mono" w:hAnsi="IBM Plex Mono"/>
                <w:color w:val="1F2937"/>
                <w:sz w:val="15"/>
                <w:szCs w:val="15"/>
              </w:rPr>
              <w:t xml:space="preserve">   context. None of the broker navigation, the signing indicator or the broker</w:t>
            </w:r>
          </w:p>
          <w:p>
            <w:pPr>
              <w:spacing w:after="0" w:line="230"/>
            </w:pPr>
            <w:r>
              <w:rPr>
                <w:rFonts w:ascii="IBM Plex Mono" w:cs="IBM Plex Mono" w:eastAsia="IBM Plex Mono" w:hAnsi="IBM Plex Mono"/>
                <w:color w:val="1F2937"/>
                <w:sz w:val="15"/>
                <w:szCs w:val="15"/>
              </w:rPr>
              <w:t xml:space="preserve">   breadcrumb appears.</w:t>
            </w:r>
          </w:p>
          <w:p>
            <w:pPr>
              <w:spacing w:after="0" w:line="230"/>
            </w:pPr>
            <w:r>
              <w:rPr>
                <w:rFonts w:ascii="IBM Plex Mono" w:cs="IBM Plex Mono" w:eastAsia="IBM Plex Mono" w:hAnsi="IBM Plex Mono"/>
                <w:color w:val="1F2937"/>
                <w:sz w:val="15"/>
                <w:szCs w:val="15"/>
              </w:rPr>
              <w:t xml:space="preserve">2. Map internal state to client-facing state through one function, and never leak the</w:t>
            </w:r>
          </w:p>
          <w:p>
            <w:pPr>
              <w:spacing w:after="0" w:line="230"/>
            </w:pPr>
            <w:r>
              <w:rPr>
                <w:rFonts w:ascii="IBM Plex Mono" w:cs="IBM Plex Mono" w:eastAsia="IBM Plex Mono" w:hAnsi="IBM Plex Mono"/>
                <w:color w:val="1F2937"/>
                <w:sz w:val="15"/>
                <w:szCs w:val="15"/>
              </w:rPr>
              <w:t xml:space="preserve">   internal vocabulary. "Transmit Failed" becomes "Filing in progress - we are on it".</w:t>
            </w:r>
          </w:p>
          <w:p>
            <w:pPr>
              <w:spacing w:after="0" w:line="230"/>
            </w:pPr>
            <w:r>
              <w:rPr>
                <w:rFonts w:ascii="IBM Plex Mono" w:cs="IBM Plex Mono" w:eastAsia="IBM Plex Mono" w:hAnsi="IBM Plex Mono"/>
                <w:color w:val="1F2937"/>
                <w:sz w:val="15"/>
                <w:szCs w:val="15"/>
              </w:rPr>
              <w:t xml:space="preserve">   No channel names, no message identifiers, no internal job id as the primary</w:t>
            </w:r>
          </w:p>
          <w:p>
            <w:pPr>
              <w:spacing w:after="0" w:line="230"/>
            </w:pPr>
            <w:r>
              <w:rPr>
                <w:rFonts w:ascii="IBM Plex Mono" w:cs="IBM Plex Mono" w:eastAsia="IBM Plex Mono" w:hAnsi="IBM Plex Mono"/>
                <w:color w:val="1F2937"/>
                <w:sz w:val="15"/>
                <w:szCs w:val="15"/>
              </w:rPr>
              <w:t xml:space="preserve">   reference - use a client-facing reference with the job id secondary at most.</w:t>
            </w:r>
          </w:p>
          <w:p>
            <w:pPr>
              <w:spacing w:after="0" w:line="230"/>
            </w:pPr>
            <w:r>
              <w:rPr>
                <w:rFonts w:ascii="IBM Plex Mono" w:cs="IBM Plex Mono" w:eastAsia="IBM Plex Mono" w:hAnsi="IBM Plex Mono"/>
                <w:color w:val="1F2937"/>
                <w:sz w:val="15"/>
                <w:szCs w:val="15"/>
              </w:rPr>
              <w:t xml:space="preserve">3. Before approval, show a "What will be declared" summary: parties, line items,</w:t>
            </w:r>
          </w:p>
          <w:p>
            <w:pPr>
              <w:spacing w:after="0" w:line="230"/>
            </w:pPr>
            <w:r>
              <w:rPr>
                <w:rFonts w:ascii="IBM Plex Mono" w:cs="IBM Plex Mono" w:eastAsia="IBM Plex Mono" w:hAnsi="IBM Plex Mono"/>
                <w:color w:val="1F2937"/>
                <w:sz w:val="15"/>
                <w:szCs w:val="15"/>
              </w:rPr>
              <w:t xml:space="preserve">   values, duty by head, and the documents relied on. Approval without sight of this</w:t>
            </w:r>
          </w:p>
          <w:p>
            <w:pPr>
              <w:spacing w:after="0" w:line="230"/>
            </w:pPr>
            <w:r>
              <w:rPr>
                <w:rFonts w:ascii="IBM Plex Mono" w:cs="IBM Plex Mono" w:eastAsia="IBM Plex Mono" w:hAnsi="IBM Plex Mono"/>
                <w:color w:val="1F2937"/>
                <w:sz w:val="15"/>
                <w:szCs w:val="15"/>
              </w:rPr>
              <w:t xml:space="preserve">   is the thing the PRD requirement exists to prevent.</w:t>
            </w:r>
          </w:p>
          <w:p>
            <w:pPr>
              <w:spacing w:after="0" w:line="230"/>
            </w:pPr>
            <w:r>
              <w:rPr>
                <w:rFonts w:ascii="IBM Plex Mono" w:cs="IBM Plex Mono" w:eastAsia="IBM Plex Mono" w:hAnsi="IBM Plex Mono"/>
                <w:color w:val="1F2937"/>
                <w:sz w:val="15"/>
                <w:szCs w:val="15"/>
              </w:rPr>
              <w:t xml:space="preserve">4. Require a reason on rejection and route it to the broker as a work item.</w:t>
            </w:r>
          </w:p>
          <w:p>
            <w:pPr>
              <w:spacing w:after="0" w:line="230"/>
            </w:pPr>
            <w:r>
              <w:rPr>
                <w:rFonts w:ascii="IBM Plex Mono" w:cs="IBM Plex Mono" w:eastAsia="IBM Plex Mono" w:hAnsi="IBM Plex Mono"/>
                <w:color w:val="1F2937"/>
                <w:sz w:val="15"/>
                <w:szCs w:val="15"/>
              </w:rPr>
              <w:t xml:space="preserve">5. Record the approval with the identity, the timestamp, the version approved and its</w:t>
            </w:r>
          </w:p>
          <w:p>
            <w:pPr>
              <w:spacing w:after="0" w:line="230"/>
            </w:pPr>
            <w:r>
              <w:rPr>
                <w:rFonts w:ascii="IBM Plex Mono" w:cs="IBM Plex Mono" w:eastAsia="IBM Plex Mono" w:hAnsi="IBM Plex Mono"/>
                <w:color w:val="1F2937"/>
                <w:sz w:val="15"/>
                <w:szCs w:val="15"/>
              </w:rPr>
              <w:t xml:space="preserve">   hash, and show the client their own approval history.</w:t>
            </w:r>
          </w:p>
          <w:p>
            <w:pPr>
              <w:spacing w:after="0" w:line="230"/>
            </w:pPr>
            <w:r>
              <w:rPr>
                <w:rFonts w:ascii="IBM Plex Mono" w:cs="IBM Plex Mono" w:eastAsia="IBM Plex Mono" w:hAnsi="IBM Plex Mono"/>
                <w:color w:val="1F2937"/>
                <w:sz w:val="15"/>
                <w:szCs w:val="15"/>
              </w:rPr>
              <w:t xml:space="preserve">6. State the client's own deadline in their terms - "we need your approval by 18:00</w:t>
            </w:r>
          </w:p>
          <w:p>
            <w:pPr>
              <w:spacing w:after="0" w:line="230"/>
            </w:pPr>
            <w:r>
              <w:rPr>
                <w:rFonts w:ascii="IBM Plex Mono" w:cs="IBM Plex Mono" w:eastAsia="IBM Plex Mono" w:hAnsi="IBM Plex Mono"/>
                <w:color w:val="1F2937"/>
                <w:sz w:val="15"/>
                <w:szCs w:val="15"/>
              </w:rPr>
              <w:t xml:space="preserve">   today to file on time" - not the broker's SLA countdown.</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A cross-context test asserts that no broker-only route, label or state string is</w:t>
            </w:r>
          </w:p>
          <w:p>
            <w:pPr>
              <w:spacing w:after="0" w:line="230"/>
            </w:pPr>
            <w:r>
              <w:rPr>
                <w:rFonts w:ascii="IBM Plex Mono" w:cs="IBM Plex Mono" w:eastAsia="IBM Plex Mono" w:hAnsi="IBM Plex Mono"/>
                <w:color w:val="1F2937"/>
                <w:sz w:val="15"/>
                <w:szCs w:val="15"/>
              </w:rPr>
              <w:t xml:space="preserve">  reachable or rendered in the portal.</w:t>
            </w:r>
          </w:p>
          <w:p>
            <w:pPr>
              <w:spacing w:after="0" w:line="230"/>
            </w:pPr>
            <w:r>
              <w:rPr>
                <w:rFonts w:ascii="IBM Plex Mono" w:cs="IBM Plex Mono" w:eastAsia="IBM Plex Mono" w:hAnsi="IBM Plex Mono"/>
                <w:color w:val="1F2937"/>
                <w:sz w:val="15"/>
                <w:szCs w:val="15"/>
              </w:rPr>
              <w:t xml:space="preserve">- No approval exists without a recorded version hash.</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P-06 — Environment, channel health and the clock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A-06, A-11, A-12, B-06.</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Add a permanent environment badge in the header, derived from configuration and</w:t>
            </w:r>
          </w:p>
          <w:p>
            <w:pPr>
              <w:spacing w:after="0" w:line="230"/>
            </w:pPr>
            <w:r>
              <w:rPr>
                <w:rFonts w:ascii="IBM Plex Mono" w:cs="IBM Plex Mono" w:eastAsia="IBM Plex Mono" w:hAnsi="IBM Plex Mono"/>
                <w:color w:val="1F2937"/>
                <w:sz w:val="15"/>
                <w:szCs w:val="15"/>
              </w:rPr>
              <w:t xml:space="preserve">   never from user input. UAT must be visually loud. A production build configured</w:t>
            </w:r>
          </w:p>
          <w:p>
            <w:pPr>
              <w:spacing w:after="0" w:line="230"/>
            </w:pPr>
            <w:r>
              <w:rPr>
                <w:rFonts w:ascii="IBM Plex Mono" w:cs="IBM Plex Mono" w:eastAsia="IBM Plex Mono" w:hAnsi="IBM Plex Mono"/>
                <w:color w:val="1F2937"/>
                <w:sz w:val="15"/>
                <w:szCs w:val="15"/>
              </w:rPr>
              <w:t xml:space="preserve">   with the test indicator fails to start - surface that as a check.</w:t>
            </w:r>
          </w:p>
          <w:p>
            <w:pPr>
              <w:spacing w:after="0" w:line="230"/>
            </w:pPr>
            <w:r>
              <w:rPr>
                <w:rFonts w:ascii="IBM Plex Mono" w:cs="IBM Plex Mono" w:eastAsia="IBM Plex Mono" w:hAnsi="IBM Plex Mono"/>
                <w:color w:val="1F2937"/>
                <w:sz w:val="15"/>
                <w:szCs w:val="15"/>
              </w:rPr>
              <w:t xml:space="preserve">2. Add a channel status indicator: healthy, degraded, outage, scheduled maintenance.</w:t>
            </w:r>
          </w:p>
          <w:p>
            <w:pPr>
              <w:spacing w:after="0" w:line="230"/>
            </w:pPr>
            <w:r>
              <w:rPr>
                <w:rFonts w:ascii="IBM Plex Mono" w:cs="IBM Plex Mono" w:eastAsia="IBM Plex Mono" w:hAnsi="IBM Plex Mono"/>
                <w:color w:val="1F2937"/>
                <w:sz w:val="15"/>
                <w:szCs w:val="15"/>
              </w:rPr>
              <w:t xml:space="preserve">   On outage, the deadline board switches to outage mode, transmissions queue visibly,</w:t>
            </w:r>
          </w:p>
          <w:p>
            <w:pPr>
              <w:spacing w:after="0" w:line="230"/>
            </w:pPr>
            <w:r>
              <w:rPr>
                <w:rFonts w:ascii="IBM Plex Mono" w:cs="IBM Plex Mono" w:eastAsia="IBM Plex Mono" w:hAnsi="IBM Plex Mono"/>
                <w:color w:val="1F2937"/>
                <w:sz w:val="15"/>
                <w:szCs w:val="15"/>
              </w:rPr>
              <w:t xml:space="preserve">   and affected tenants are told what it means for their clocks.</w:t>
            </w:r>
          </w:p>
          <w:p>
            <w:pPr>
              <w:spacing w:after="0" w:line="230"/>
            </w:pPr>
            <w:r>
              <w:rPr>
                <w:rFonts w:ascii="IBM Plex Mono" w:cs="IBM Plex Mono" w:eastAsia="IBM Plex Mono" w:hAnsi="IBM Plex Mono"/>
                <w:color w:val="1F2937"/>
                <w:sz w:val="15"/>
                <w:szCs w:val="15"/>
              </w:rPr>
              <w:t xml:space="preserve">3. Rework every clock in the product to show the absolute due instant in IST as the</w:t>
            </w:r>
          </w:p>
          <w:p>
            <w:pPr>
              <w:spacing w:after="0" w:line="230"/>
            </w:pPr>
            <w:r>
              <w:rPr>
                <w:rFonts w:ascii="IBM Plex Mono" w:cs="IBM Plex Mono" w:eastAsia="IBM Plex Mono" w:hAnsi="IBM Plex Mono"/>
                <w:color w:val="1F2937"/>
                <w:sz w:val="15"/>
                <w:szCs w:val="15"/>
              </w:rPr>
              <w:t xml:space="preserve">   primary value with the countdown secondary. One formatter, one component.</w:t>
            </w:r>
          </w:p>
          <w:p>
            <w:pPr>
              <w:spacing w:after="0" w:line="230"/>
            </w:pPr>
            <w:r>
              <w:rPr>
                <w:rFonts w:ascii="IBM Plex Mono" w:cs="IBM Plex Mono" w:eastAsia="IBM Plex Mono" w:hAnsi="IBM Plex Mono"/>
                <w:color w:val="1F2937"/>
                <w:sz w:val="15"/>
                <w:szCs w:val="15"/>
              </w:rPr>
              <w:t xml:space="preserve">4. Show mode and port on every deadline row, and state the applicable rule in the</w:t>
            </w:r>
          </w:p>
          <w:p>
            <w:pPr>
              <w:spacing w:after="0" w:line="230"/>
            </w:pPr>
            <w:r>
              <w:rPr>
                <w:rFonts w:ascii="IBM Plex Mono" w:cs="IBM Plex Mono" w:eastAsia="IBM Plex Mono" w:hAnsi="IBM Plex Mono"/>
                <w:color w:val="1F2937"/>
                <w:sz w:val="15"/>
                <w:szCs w:val="15"/>
              </w:rPr>
              <w:t xml:space="preserve">   tooltip with its source - Circular 08/2021 gives end of the day preceding arrival</w:t>
            </w:r>
          </w:p>
          <w:p>
            <w:pPr>
              <w:spacing w:after="0" w:line="230"/>
            </w:pPr>
            <w:r>
              <w:rPr>
                <w:rFonts w:ascii="IBM Plex Mono" w:cs="IBM Plex Mono" w:eastAsia="IBM Plex Mono" w:hAnsi="IBM Plex Mono"/>
                <w:color w:val="1F2937"/>
                <w:sz w:val="15"/>
                <w:szCs w:val="15"/>
              </w:rPr>
              <w:t xml:space="preserve">   for sea and end of the day of arrival for air, ICD and land.</w:t>
            </w:r>
          </w:p>
          <w:p>
            <w:pPr>
              <w:spacing w:after="0" w:line="230"/>
            </w:pPr>
            <w:r>
              <w:rPr>
                <w:rFonts w:ascii="IBM Plex Mono" w:cs="IBM Plex Mono" w:eastAsia="IBM Plex Mono" w:hAnsi="IBM Plex Mono"/>
                <w:color w:val="1F2937"/>
                <w:sz w:val="15"/>
                <w:szCs w:val="15"/>
              </w:rPr>
              <w:t xml:space="preserve">5. Attach the rupee exposure to every deadline alert: late-filing charges at the</w:t>
            </w:r>
          </w:p>
          <w:p>
            <w:pPr>
              <w:spacing w:after="0" w:line="230"/>
            </w:pPr>
            <w:r>
              <w:rPr>
                <w:rFonts w:ascii="IBM Plex Mono" w:cs="IBM Plex Mono" w:eastAsia="IBM Plex Mono" w:hAnsi="IBM Plex Mono"/>
                <w:color w:val="1F2937"/>
                <w:sz w:val="15"/>
                <w:szCs w:val="15"/>
              </w:rPr>
              <w:t xml:space="preserve">   configured rates, Section 47 interest at the notified rate, and estimated</w:t>
            </w:r>
          </w:p>
          <w:p>
            <w:pPr>
              <w:spacing w:after="0" w:line="230"/>
            </w:pPr>
            <w:r>
              <w:rPr>
                <w:rFonts w:ascii="IBM Plex Mono" w:cs="IBM Plex Mono" w:eastAsia="IBM Plex Mono" w:hAnsi="IBM Plex Mono"/>
                <w:color w:val="1F2937"/>
                <w:sz w:val="15"/>
                <w:szCs w:val="15"/>
              </w:rPr>
              <w:t xml:space="preserve">   demurrage. An alert that states a consequence is acted on; one that states a time</w:t>
            </w:r>
          </w:p>
          <w:p>
            <w:pPr>
              <w:spacing w:after="0" w:line="230"/>
            </w:pPr>
            <w:r>
              <w:rPr>
                <w:rFonts w:ascii="IBM Plex Mono" w:cs="IBM Plex Mono" w:eastAsia="IBM Plex Mono" w:hAnsi="IBM Plex Mono"/>
                <w:color w:val="1F2937"/>
                <w:sz w:val="15"/>
                <w:szCs w:val="15"/>
              </w:rPr>
              <w:t xml:space="preserve">   is not.</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Every clock in the product renders through one component.</w:t>
            </w:r>
          </w:p>
          <w:p>
            <w:pPr>
              <w:spacing w:after="0" w:line="230"/>
            </w:pPr>
            <w:r>
              <w:rPr>
                <w:rFonts w:ascii="IBM Plex Mono" w:cs="IBM Plex Mono" w:eastAsia="IBM Plex Mono" w:hAnsi="IBM Plex Mono"/>
                <w:color w:val="1F2937"/>
                <w:sz w:val="15"/>
                <w:szCs w:val="15"/>
              </w:rPr>
              <w:t xml:space="preserve">- The deadline board is correct for a sea shipment and an air shipment arriving on the</w:t>
            </w:r>
          </w:p>
          <w:p>
            <w:pPr>
              <w:spacing w:after="0" w:line="230"/>
            </w:pPr>
            <w:r>
              <w:rPr>
                <w:rFonts w:ascii="IBM Plex Mono" w:cs="IBM Plex Mono" w:eastAsia="IBM Plex Mono" w:hAnsi="IBM Plex Mono"/>
                <w:color w:val="1F2937"/>
                <w:sz w:val="15"/>
                <w:szCs w:val="15"/>
              </w:rPr>
              <w:t xml:space="preserve">  same day, and a test covers both.</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P-07 — Duty ledger completion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A-07, and 10.5.</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Preserve the existing arithmetic - it is correct and reconciles to the rupee.</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Add a challan number column populated from the inbound challan message, with the</w:t>
            </w:r>
          </w:p>
          <w:p>
            <w:pPr>
              <w:spacing w:after="0" w:line="230"/>
            </w:pPr>
            <w:r>
              <w:rPr>
                <w:rFonts w:ascii="IBM Plex Mono" w:cs="IBM Plex Mono" w:eastAsia="IBM Plex Mono" w:hAnsi="IBM Plex Mono"/>
                <w:color w:val="1F2937"/>
                <w:sz w:val="15"/>
                <w:szCs w:val="15"/>
              </w:rPr>
              <w:t xml:space="preserve">   payment state derived from the message rather than entered by hand.</w:t>
            </w:r>
          </w:p>
          <w:p>
            <w:pPr>
              <w:spacing w:after="0" w:line="230"/>
            </w:pPr>
            <w:r>
              <w:rPr>
                <w:rFonts w:ascii="IBM Plex Mono" w:cs="IBM Plex Mono" w:eastAsia="IBM Plex Mono" w:hAnsi="IBM Plex Mono"/>
                <w:color w:val="1F2937"/>
                <w:sz w:val="15"/>
                <w:szCs w:val="15"/>
              </w:rPr>
              <w:t xml:space="preserve">2. Put the accrued Section 47 interest in rupees on every overdue row and in every</w:t>
            </w:r>
          </w:p>
          <w:p>
            <w:pPr>
              <w:spacing w:after="0" w:line="230"/>
            </w:pPr>
            <w:r>
              <w:rPr>
                <w:rFonts w:ascii="IBM Plex Mono" w:cs="IBM Plex Mono" w:eastAsia="IBM Plex Mono" w:hAnsi="IBM Plex Mono"/>
                <w:color w:val="1F2937"/>
                <w:sz w:val="15"/>
                <w:szCs w:val="15"/>
              </w:rPr>
              <w:t xml:space="preserve">   alert, beside the elapsed time.</w:t>
            </w:r>
          </w:p>
          <w:p>
            <w:pPr>
              <w:spacing w:after="0" w:line="230"/>
            </w:pPr>
            <w:r>
              <w:rPr>
                <w:rFonts w:ascii="IBM Plex Mono" w:cs="IBM Plex Mono" w:eastAsia="IBM Plex Mono" w:hAnsi="IBM Plex Mono"/>
                <w:color w:val="1F2937"/>
                <w:sz w:val="15"/>
                <w:szCs w:val="15"/>
              </w:rPr>
              <w:t xml:space="preserve">3. Make each duty head carry its notification and serial number pair.</w:t>
            </w:r>
          </w:p>
          <w:p>
            <w:pPr>
              <w:spacing w:after="0" w:line="230"/>
            </w:pPr>
            <w:r>
              <w:rPr>
                <w:rFonts w:ascii="IBM Plex Mono" w:cs="IBM Plex Mono" w:eastAsia="IBM Plex Mono" w:hAnsi="IBM Plex Mono"/>
                <w:color w:val="1F2937"/>
                <w:sz w:val="15"/>
                <w:szCs w:val="15"/>
              </w:rPr>
              <w:t xml:space="preserve">4. On row expand, show the head-by-head divergence between computed and assessed duty</w:t>
            </w:r>
          </w:p>
          <w:p>
            <w:pPr>
              <w:spacing w:after="0" w:line="230"/>
            </w:pPr>
            <w:r>
              <w:rPr>
                <w:rFonts w:ascii="IBM Plex Mono" w:cs="IBM Plex Mono" w:eastAsia="IBM Plex Mono" w:hAnsi="IBM Plex Mono"/>
                <w:color w:val="1F2937"/>
                <w:sz w:val="15"/>
                <w:szCs w:val="15"/>
              </w:rPr>
              <w:t xml:space="preserve">   with an explanation per head. Divergence is surfaced before payment, not after.</w:t>
            </w:r>
          </w:p>
          <w:p>
            <w:pPr>
              <w:spacing w:after="0" w:line="230"/>
            </w:pPr>
            <w:r>
              <w:rPr>
                <w:rFonts w:ascii="IBM Plex Mono" w:cs="IBM Plex Mono" w:eastAsia="IBM Plex Mono" w:hAnsi="IBM Plex Mono"/>
                <w:color w:val="1F2937"/>
                <w:sz w:val="15"/>
                <w:szCs w:val="15"/>
              </w:rPr>
              <w:t xml:space="preserve">5. Move the ±₹500 reconciliation threshold into configuration and show the current</w:t>
            </w:r>
          </w:p>
          <w:p>
            <w:pPr>
              <w:spacing w:after="0" w:line="230"/>
            </w:pPr>
            <w:r>
              <w:rPr>
                <w:rFonts w:ascii="IBM Plex Mono" w:cs="IBM Plex Mono" w:eastAsia="IBM Plex Mono" w:hAnsi="IBM Plex Mono"/>
                <w:color w:val="1F2937"/>
                <w:sz w:val="15"/>
                <w:szCs w:val="15"/>
              </w:rPr>
              <w:t xml:space="preserve">   value where the rule is stated.</w:t>
            </w:r>
          </w:p>
          <w:p>
            <w:pPr>
              <w:spacing w:after="0" w:line="230"/>
            </w:pPr>
            <w:r>
              <w:rPr>
                <w:rFonts w:ascii="IBM Plex Mono" w:cs="IBM Plex Mono" w:eastAsia="IBM Plex Mono" w:hAnsi="IBM Plex Mono"/>
                <w:color w:val="1F2937"/>
                <w:sz w:val="15"/>
                <w:szCs w:val="15"/>
              </w:rPr>
              <w:t xml:space="preserve">6. Resolve the payment question in the UI. If the product tracks payment rather than</w:t>
            </w:r>
          </w:p>
          <w:p>
            <w:pPr>
              <w:spacing w:after="0" w:line="230"/>
            </w:pPr>
            <w:r>
              <w:rPr>
                <w:rFonts w:ascii="IBM Plex Mono" w:cs="IBM Plex Mono" w:eastAsia="IBM Plex Mono" w:hAnsi="IBM Plex Mono"/>
                <w:color w:val="1F2937"/>
                <w:sz w:val="15"/>
                <w:szCs w:val="15"/>
              </w:rPr>
              <w:t xml:space="preserve">   making it, remove the "Pay duty" action from the dashboard and say what the product</w:t>
            </w:r>
          </w:p>
          <w:p>
            <w:pPr>
              <w:spacing w:after="0" w:line="230"/>
            </w:pPr>
            <w:r>
              <w:rPr>
                <w:rFonts w:ascii="IBM Plex Mono" w:cs="IBM Plex Mono" w:eastAsia="IBM Plex Mono" w:hAnsi="IBM Plex Mono"/>
                <w:color w:val="1F2937"/>
                <w:sz w:val="15"/>
                <w:szCs w:val="15"/>
              </w:rPr>
              <w:t xml:space="preserve">   does. Do not assert an e-payment gateway integration until it is sourced.</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Every figure still reconciles: heads to estimate, rows to tiles, variance to the</w:t>
            </w:r>
          </w:p>
          <w:p>
            <w:pPr>
              <w:spacing w:after="0" w:line="230"/>
            </w:pPr>
            <w:r>
              <w:rPr>
                <w:rFonts w:ascii="IBM Plex Mono" w:cs="IBM Plex Mono" w:eastAsia="IBM Plex Mono" w:hAnsi="IBM Plex Mono"/>
                <w:color w:val="1F2937"/>
                <w:sz w:val="15"/>
                <w:szCs w:val="15"/>
              </w:rPr>
              <w:t xml:space="preserve">  sum of row divergences.</w:t>
            </w:r>
          </w:p>
          <w:p>
            <w:pPr>
              <w:spacing w:after="0" w:line="230"/>
            </w:pPr>
            <w:r>
              <w:rPr>
                <w:rFonts w:ascii="IBM Plex Mono" w:cs="IBM Plex Mono" w:eastAsia="IBM Plex Mono" w:hAnsi="IBM Plex Mono"/>
                <w:color w:val="1F2937"/>
                <w:sz w:val="15"/>
                <w:szCs w:val="15"/>
              </w:rPr>
              <w:t xml:space="preserve">- No unsourced integration claim remains in the UI copy.</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P-08 — Navigation, tables and row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D-01, D-02, D-04, D-05, C-07, B-07, B-09.</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Remove the in-page tab list on Admin. It duplicates the sub-navigation column</w:t>
            </w:r>
          </w:p>
          <w:p>
            <w:pPr>
              <w:spacing w:after="0" w:line="230"/>
            </w:pPr>
            <w:r>
              <w:rPr>
                <w:rFonts w:ascii="IBM Plex Mono" w:cs="IBM Plex Mono" w:eastAsia="IBM Plex Mono" w:hAnsi="IBM Plex Mono"/>
                <w:color w:val="1F2937"/>
                <w:sz w:val="15"/>
                <w:szCs w:val="15"/>
              </w:rPr>
              <w:t xml:space="preserve">   exactly. Keep one control and give the width to the content.</w:t>
            </w:r>
          </w:p>
          <w:p>
            <w:pPr>
              <w:spacing w:after="0" w:line="230"/>
            </w:pPr>
            <w:r>
              <w:rPr>
                <w:rFonts w:ascii="IBM Plex Mono" w:cs="IBM Plex Mono" w:eastAsia="IBM Plex Mono" w:hAnsi="IBM Plex Mono"/>
                <w:color w:val="1F2937"/>
                <w:sz w:val="15"/>
                <w:szCs w:val="15"/>
              </w:rPr>
              <w:t xml:space="preserve">2. Make every Admin section addressable by URL. The sub-navigation already emits</w:t>
            </w:r>
          </w:p>
          <w:p>
            <w:pPr>
              <w:spacing w:after="0" w:line="230"/>
            </w:pPr>
            <w:r>
              <w:rPr>
                <w:rFonts w:ascii="IBM Plex Mono" w:cs="IBM Plex Mono" w:eastAsia="IBM Plex Mono" w:hAnsi="IBM Plex Mono"/>
                <w:color w:val="1F2937"/>
                <w:sz w:val="15"/>
                <w:szCs w:val="15"/>
              </w:rPr>
              <w:t xml:space="preserve">   /admin?section=dsc and the parameter is ignored, so the DSC registry and channel</w:t>
            </w:r>
          </w:p>
          <w:p>
            <w:pPr>
              <w:spacing w:after="0" w:line="230"/>
            </w:pPr>
            <w:r>
              <w:rPr>
                <w:rFonts w:ascii="IBM Plex Mono" w:cs="IBM Plex Mono" w:eastAsia="IBM Plex Mono" w:hAnsi="IBM Plex Mono"/>
                <w:color w:val="1F2937"/>
                <w:sz w:val="15"/>
                <w:szCs w:val="15"/>
              </w:rPr>
              <w:t xml:space="preserve">   credentials panels are unreachable by link. Either make section a route segment or</w:t>
            </w:r>
          </w:p>
          <w:p>
            <w:pPr>
              <w:spacing w:after="0" w:line="230"/>
            </w:pPr>
            <w:r>
              <w:rPr>
                <w:rFonts w:ascii="IBM Plex Mono" w:cs="IBM Plex Mono" w:eastAsia="IBM Plex Mono" w:hAnsi="IBM Plex Mono"/>
                <w:color w:val="1F2937"/>
                <w:sz w:val="15"/>
                <w:szCs w:val="15"/>
              </w:rPr>
              <w:t xml:space="preserve">   synchronise the query parameter with the panel state, and restore on reload.</w:t>
            </w:r>
          </w:p>
          <w:p>
            <w:pPr>
              <w:spacing w:after="0" w:line="230"/>
            </w:pPr>
            <w:r>
              <w:rPr>
                <w:rFonts w:ascii="IBM Plex Mono" w:cs="IBM Plex Mono" w:eastAsia="IBM Plex Mono" w:hAnsi="IBM Plex Mono"/>
                <w:color w:val="1F2937"/>
                <w:sz w:val="15"/>
                <w:szCs w:val="15"/>
              </w:rPr>
              <w:t xml:space="preserve">3. Stop using the sub-navigation column for in-page anchors. Where a section has no</w:t>
            </w:r>
          </w:p>
          <w:p>
            <w:pPr>
              <w:spacing w:after="0" w:line="230"/>
            </w:pPr>
            <w:r>
              <w:rPr>
                <w:rFonts w:ascii="IBM Plex Mono" w:cs="IBM Plex Mono" w:eastAsia="IBM Plex Mono" w:hAnsi="IBM Plex Mono"/>
                <w:color w:val="1F2937"/>
                <w:sz w:val="15"/>
                <w:szCs w:val="15"/>
              </w:rPr>
              <w:t xml:space="preserve">   real sub-destinations, collapse the column.</w:t>
            </w:r>
          </w:p>
          <w:p>
            <w:pPr>
              <w:spacing w:after="0" w:line="230"/>
            </w:pPr>
            <w:r>
              <w:rPr>
                <w:rFonts w:ascii="IBM Plex Mono" w:cs="IBM Plex Mono" w:eastAsia="IBM Plex Mono" w:hAnsi="IBM Plex Mono"/>
                <w:color w:val="1F2937"/>
                <w:sz w:val="15"/>
                <w:szCs w:val="15"/>
              </w:rPr>
              <w:t xml:space="preserve">4. Fix horizontal clipping on the documents table, the DSC registry and the portal</w:t>
            </w:r>
          </w:p>
          <w:p>
            <w:pPr>
              <w:spacing w:after="0" w:line="230"/>
            </w:pPr>
            <w:r>
              <w:rPr>
                <w:rFonts w:ascii="IBM Plex Mono" w:cs="IBM Plex Mono" w:eastAsia="IBM Plex Mono" w:hAnsi="IBM Plex Mono"/>
                <w:color w:val="1F2937"/>
                <w:sz w:val="15"/>
                <w:szCs w:val="15"/>
              </w:rPr>
              <w:t xml:space="preserve">   invoices panel. Per table, choose: horizontal scroll with a sticky first column,</w:t>
            </w:r>
          </w:p>
          <w:p>
            <w:pPr>
              <w:spacing w:after="0" w:line="230"/>
            </w:pPr>
            <w:r>
              <w:rPr>
                <w:rFonts w:ascii="IBM Plex Mono" w:cs="IBM Plex Mono" w:eastAsia="IBM Plex Mono" w:hAnsi="IBM Plex Mono"/>
                <w:color w:val="1F2937"/>
                <w:sz w:val="15"/>
                <w:szCs w:val="15"/>
              </w:rPr>
              <w:t xml:space="preserve">   toggleable low-priority columns, or move overflow into a row-expand. Never clip</w:t>
            </w:r>
          </w:p>
          <w:p>
            <w:pPr>
              <w:spacing w:after="0" w:line="230"/>
            </w:pPr>
            <w:r>
              <w:rPr>
                <w:rFonts w:ascii="IBM Plex Mono" w:cs="IBM Plex Mono" w:eastAsia="IBM Plex Mono" w:hAnsi="IBM Plex Mono"/>
                <w:color w:val="1F2937"/>
                <w:sz w:val="15"/>
                <w:szCs w:val="15"/>
              </w:rPr>
              <w:t xml:space="preserve">   with no affordance.</w:t>
            </w:r>
          </w:p>
          <w:p>
            <w:pPr>
              <w:spacing w:after="0" w:line="230"/>
            </w:pPr>
            <w:r>
              <w:rPr>
                <w:rFonts w:ascii="IBM Plex Mono" w:cs="IBM Plex Mono" w:eastAsia="IBM Plex Mono" w:hAnsi="IBM Plex Mono"/>
                <w:color w:val="1F2937"/>
                <w:sz w:val="15"/>
                <w:szCs w:val="15"/>
              </w:rPr>
              <w:t xml:space="preserve">5. Add row-level actions to every list and a bulk action bar that appears on</w:t>
            </w:r>
          </w:p>
          <w:p>
            <w:pPr>
              <w:spacing w:after="0" w:line="230"/>
            </w:pPr>
            <w:r>
              <w:rPr>
                <w:rFonts w:ascii="IBM Plex Mono" w:cs="IBM Plex Mono" w:eastAsia="IBM Plex Mono" w:hAnsi="IBM Plex Mono"/>
                <w:color w:val="1F2937"/>
                <w:sz w:val="15"/>
                <w:szCs w:val="15"/>
              </w:rPr>
              <w:t xml:space="preserve">   selection. The jobs list has checkboxes today and nothing to do with them.</w:t>
            </w:r>
          </w:p>
          <w:p>
            <w:pPr>
              <w:spacing w:after="0" w:line="230"/>
            </w:pPr>
            <w:r>
              <w:rPr>
                <w:rFonts w:ascii="IBM Plex Mono" w:cs="IBM Plex Mono" w:eastAsia="IBM Plex Mono" w:hAnsi="IBM Plex Mono"/>
                <w:color w:val="1F2937"/>
                <w:sz w:val="15"/>
                <w:szCs w:val="15"/>
              </w:rPr>
              <w:t xml:space="preserve">6. Add bulk DSC signing: multi-select documents or declarations, one signing session,</w:t>
            </w:r>
          </w:p>
          <w:p>
            <w:pPr>
              <w:spacing w:after="0" w:line="230"/>
            </w:pPr>
            <w:r>
              <w:rPr>
                <w:rFonts w:ascii="IBM Plex Mono" w:cs="IBM Plex Mono" w:eastAsia="IBM Plex Mono" w:hAnsi="IBM Plex Mono"/>
                <w:color w:val="1F2937"/>
                <w:sz w:val="15"/>
                <w:szCs w:val="15"/>
              </w:rPr>
              <w:t xml:space="preserve">   one token insertion, a per-item result.</w:t>
            </w:r>
          </w:p>
          <w:p>
            <w:pPr>
              <w:spacing w:after="0" w:line="230"/>
            </w:pPr>
            <w:r>
              <w:rPr>
                <w:rFonts w:ascii="IBM Plex Mono" w:cs="IBM Plex Mono" w:eastAsia="IBM Plex Mono" w:hAnsi="IBM Plex Mono"/>
                <w:color w:val="1F2937"/>
                <w:sz w:val="15"/>
                <w:szCs w:val="15"/>
              </w:rPr>
              <w:t xml:space="preserve">7. Move "Connect mailbox" from the jobs toolbar to Admin, and surface it from the</w:t>
            </w:r>
          </w:p>
          <w:p>
            <w:pPr>
              <w:spacing w:after="0" w:line="230"/>
            </w:pPr>
            <w:r>
              <w:rPr>
                <w:rFonts w:ascii="IBM Plex Mono" w:cs="IBM Plex Mono" w:eastAsia="IBM Plex Mono" w:hAnsi="IBM Plex Mono"/>
                <w:color w:val="1F2937"/>
                <w:sz w:val="15"/>
                <w:szCs w:val="15"/>
              </w:rPr>
              <w:t xml:space="preserve">   email option in the new-job flow.</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Every Admin panel is reachable, shareable and restorable by URL.</w:t>
            </w:r>
          </w:p>
          <w:p>
            <w:pPr>
              <w:spacing w:after="0" w:line="230"/>
            </w:pPr>
            <w:r>
              <w:rPr>
                <w:rFonts w:ascii="IBM Plex Mono" w:cs="IBM Plex Mono" w:eastAsia="IBM Plex Mono" w:hAnsi="IBM Plex Mono"/>
                <w:color w:val="1F2937"/>
                <w:sz w:val="15"/>
                <w:szCs w:val="15"/>
              </w:rPr>
              <w:t xml:space="preserve">- No table clips content without a visible affordance at 1280, 1440 and 1920 px.</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P-09 — Reports, charts and the prevention loop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C-01, C-02, C-03, A-13, B-08.</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Give every chart a y-axis with a scale, value labels or hover values, an accessible</w:t>
            </w:r>
          </w:p>
          <w:p>
            <w:pPr>
              <w:spacing w:after="0" w:line="230"/>
            </w:pPr>
            <w:r>
              <w:rPr>
                <w:rFonts w:ascii="IBM Plex Mono" w:cs="IBM Plex Mono" w:eastAsia="IBM Plex Mono" w:hAnsi="IBM Plex Mono"/>
                <w:color w:val="1F2937"/>
                <w:sz w:val="15"/>
                <w:szCs w:val="15"/>
              </w:rPr>
              <w:t xml:space="preserve">   data table behind it, and CSV export. A compliance report that cannot be read off</w:t>
            </w:r>
          </w:p>
          <w:p>
            <w:pPr>
              <w:spacing w:after="0" w:line="230"/>
            </w:pPr>
            <w:r>
              <w:rPr>
                <w:rFonts w:ascii="IBM Plex Mono" w:cs="IBM Plex Mono" w:eastAsia="IBM Plex Mono" w:hAnsi="IBM Plex Mono"/>
                <w:color w:val="1F2937"/>
                <w:sz w:val="15"/>
                <w:szCs w:val="15"/>
              </w:rPr>
              <w:t xml:space="preserve">   is decoration.</w:t>
            </w:r>
          </w:p>
          <w:p>
            <w:pPr>
              <w:spacing w:after="0" w:line="230"/>
            </w:pPr>
            <w:r>
              <w:rPr>
                <w:rFonts w:ascii="IBM Plex Mono" w:cs="IBM Plex Mono" w:eastAsia="IBM Plex Mono" w:hAnsi="IBM Plex Mono"/>
                <w:color w:val="1F2937"/>
                <w:sz w:val="15"/>
                <w:szCs w:val="15"/>
              </w:rPr>
              <w:t xml:space="preserve">2. Fix the rejection-reasons legend: no truncation, one hue per category, checked for</w:t>
            </w:r>
          </w:p>
          <w:p>
            <w:pPr>
              <w:spacing w:after="0" w:line="230"/>
            </w:pPr>
            <w:r>
              <w:rPr>
                <w:rFonts w:ascii="IBM Plex Mono" w:cs="IBM Plex Mono" w:eastAsia="IBM Plex Mono" w:hAnsi="IBM Plex Mono"/>
                <w:color w:val="1F2937"/>
                <w:sz w:val="15"/>
                <w:szCs w:val="15"/>
              </w:rPr>
              <w:t xml:space="preserve">   distinguishability in light and dark and under common colour-vision deficiencies.</w:t>
            </w:r>
          </w:p>
          <w:p>
            <w:pPr>
              <w:spacing w:after="0" w:line="230"/>
            </w:pPr>
            <w:r>
              <w:rPr>
                <w:rFonts w:ascii="IBM Plex Mono" w:cs="IBM Plex Mono" w:eastAsia="IBM Plex Mono" w:hAnsi="IBM Plex Mono"/>
                <w:color w:val="1F2937"/>
                <w:sz w:val="15"/>
                <w:szCs w:val="15"/>
              </w:rPr>
              <w:t xml:space="preserve">3. Add the reports the PRD requires and the module is missing: query rate by cause,</w:t>
            </w:r>
          </w:p>
          <w:p>
            <w:pPr>
              <w:spacing w:after="0" w:line="230"/>
            </w:pPr>
            <w:r>
              <w:rPr>
                <w:rFonts w:ascii="IBM Plex Mono" w:cs="IBM Plex Mono" w:eastAsia="IBM Plex Mono" w:hAnsi="IBM Plex Mono"/>
                <w:color w:val="1F2937"/>
                <w:sz w:val="15"/>
                <w:szCs w:val="15"/>
              </w:rPr>
              <w:t xml:space="preserve">   rejection rate by ICES error code, deadline exposure in rupees, first-time-right</w:t>
            </w:r>
          </w:p>
          <w:p>
            <w:pPr>
              <w:spacing w:after="0" w:line="230"/>
            </w:pPr>
            <w:r>
              <w:rPr>
                <w:rFonts w:ascii="IBM Plex Mono" w:cs="IBM Plex Mono" w:eastAsia="IBM Plex Mono" w:hAnsi="IBM Plex Mono"/>
                <w:color w:val="1F2937"/>
                <w:sz w:val="15"/>
                <w:szCs w:val="15"/>
              </w:rPr>
              <w:t xml:space="preserve">   rate, and turnaround by stage.</w:t>
            </w:r>
          </w:p>
          <w:p>
            <w:pPr>
              <w:spacing w:after="0" w:line="230"/>
            </w:pPr>
            <w:r>
              <w:rPr>
                <w:rFonts w:ascii="IBM Plex Mono" w:cs="IBM Plex Mono" w:eastAsia="IBM Plex Mono" w:hAnsi="IBM Plex Mono"/>
                <w:color w:val="1F2937"/>
                <w:sz w:val="15"/>
                <w:szCs w:val="15"/>
              </w:rPr>
              <w:t xml:space="preserve">4. Remove or source "Let Export Order". LEO has no message in the ICES format set we</w:t>
            </w:r>
          </w:p>
          <w:p>
            <w:pPr>
              <w:spacing w:after="0" w:line="230"/>
            </w:pPr>
            <w:r>
              <w:rPr>
                <w:rFonts w:ascii="IBM Plex Mono" w:cs="IBM Plex Mono" w:eastAsia="IBM Plex Mono" w:hAnsi="IBM Plex Mono"/>
                <w:color w:val="1F2937"/>
                <w:sz w:val="15"/>
                <w:szCs w:val="15"/>
              </w:rPr>
              <w:t xml:space="preserve">   hold and is carried as open question Q6. Out of charge is sourceable and can stay.</w:t>
            </w:r>
          </w:p>
          <w:p>
            <w:pPr>
              <w:spacing w:after="0" w:line="230"/>
            </w:pPr>
            <w:r>
              <w:rPr>
                <w:rFonts w:ascii="IBM Plex Mono" w:cs="IBM Plex Mono" w:eastAsia="IBM Plex Mono" w:hAnsi="IBM Plex Mono"/>
                <w:color w:val="1F2937"/>
                <w:sz w:val="15"/>
                <w:szCs w:val="15"/>
              </w:rPr>
              <w:t xml:space="preserve">   A chart subtitle promising two series must draw two series.</w:t>
            </w:r>
          </w:p>
          <w:p>
            <w:pPr>
              <w:spacing w:after="0" w:line="230"/>
            </w:pPr>
            <w:r>
              <w:rPr>
                <w:rFonts w:ascii="IBM Plex Mono" w:cs="IBM Plex Mono" w:eastAsia="IBM Plex Mono" w:hAnsi="IBM Plex Mono"/>
                <w:color w:val="1F2937"/>
                <w:sz w:val="15"/>
                <w:szCs w:val="15"/>
              </w:rPr>
              <w:t xml:space="preserve">5. Add per-declaration audit pack export to the declaration workspace, alongside the</w:t>
            </w:r>
          </w:p>
          <w:p>
            <w:pPr>
              <w:spacing w:after="0" w:line="230"/>
            </w:pPr>
            <w:r>
              <w:rPr>
                <w:rFonts w:ascii="IBM Plex Mono" w:cs="IBM Plex Mono" w:eastAsia="IBM Plex Mono" w:hAnsi="IBM Plex Mono"/>
                <w:color w:val="1F2937"/>
                <w:sz w:val="15"/>
                <w:szCs w:val="15"/>
              </w:rPr>
              <w:t xml:space="preserve">   firm-wide compliance pack.</w:t>
            </w:r>
          </w:p>
          <w:p>
            <w:pPr>
              <w:spacing w:after="0" w:line="230"/>
            </w:pPr>
            <w:r>
              <w:rPr>
                <w:rFonts w:ascii="IBM Plex Mono" w:cs="IBM Plex Mono" w:eastAsia="IBM Plex Mono" w:hAnsi="IBM Plex Mono"/>
                <w:color w:val="1F2937"/>
                <w:sz w:val="15"/>
                <w:szCs w:val="15"/>
              </w:rPr>
              <w:t xml:space="preserve">6. Make the audit trail demonstrably tamper-evident - a verifiable hash chain - rather</w:t>
            </w:r>
          </w:p>
          <w:p>
            <w:pPr>
              <w:spacing w:after="0" w:line="230"/>
            </w:pPr>
            <w:r>
              <w:rPr>
                <w:rFonts w:ascii="IBM Plex Mono" w:cs="IBM Plex Mono" w:eastAsia="IBM Plex Mono" w:hAnsi="IBM Plex Mono"/>
                <w:color w:val="1F2937"/>
                <w:sz w:val="15"/>
                <w:szCs w:val="15"/>
              </w:rPr>
              <w:t xml:space="preserve">   than described as such in a subtitle.</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No chart renders without a scale and a way to read the underlying values.</w:t>
            </w:r>
          </w:p>
          <w:p>
            <w:pPr>
              <w:spacing w:after="0" w:line="230"/>
            </w:pPr>
            <w:r>
              <w:rPr>
                <w:rFonts w:ascii="IBM Plex Mono" w:cs="IBM Plex Mono" w:eastAsia="IBM Plex Mono" w:hAnsi="IBM Plex Mono"/>
                <w:color w:val="1F2937"/>
                <w:sz w:val="15"/>
                <w:szCs w:val="15"/>
              </w:rPr>
              <w:t xml:space="preserve">- No measured metric remains whose source is an open question.</w:t>
            </w:r>
          </w:p>
        </w:tc>
      </w:tr>
    </w:tbl>
    <w:p>
      <w:pPr>
        <w:spacing w:after="160"/>
      </w:pPr>
    </w:p>
    <w:p>
      <w:pPr>
        <w:pStyle w:val="Heading2"/>
        <w:keepNext/>
        <w:spacing w:after="120" w:before="280"/>
      </w:pPr>
      <w:r>
        <w:rPr>
          <w:rFonts w:ascii="IBM Plex Sans" w:cs="IBM Plex Sans" w:eastAsia="IBM Plex Sans" w:hAnsi="IBM Plex Sans"/>
          <w:b/>
          <w:bCs/>
          <w:color w:val="1B2A4A"/>
          <w:sz w:val="26"/>
          <w:szCs w:val="26"/>
        </w:rPr>
        <w:t xml:space="preserve">P-10 — Accessibility, states and consistency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1D5DB" w:sz="4"/>
              <w:left w:val="single" w:color="D1D5DB" w:sz="4"/>
              <w:bottom w:val="single" w:color="D1D5DB" w:sz="4"/>
              <w:right w:val="single" w:color="D1D5DB" w:sz="4"/>
            </w:tcBorders>
            <w:shd w:fill="F7F8FA" w:color="auto" w:val="clear"/>
            <w:tcMar>
              <w:top w:type="dxa" w:w="100"/>
              <w:left w:type="dxa" w:w="160"/>
              <w:bottom w:type="dxa" w:w="100"/>
              <w:right w:type="dxa" w:w="160"/>
            </w:tcMar>
          </w:tcPr>
          <w:p>
            <w:pPr>
              <w:spacing w:after="0" w:line="230"/>
            </w:pPr>
            <w:r>
              <w:rPr>
                <w:rFonts w:ascii="IBM Plex Mono" w:cs="IBM Plex Mono" w:eastAsia="IBM Plex Mono" w:hAnsi="IBM Plex Mono"/>
                <w:color w:val="1F2937"/>
                <w:sz w:val="15"/>
                <w:szCs w:val="15"/>
              </w:rPr>
              <w:t xml:space="preserve">Closes E-01 to E-06, C-04, C-05, C-06, C-08, C-09, C-10, D-03, D-06, D-08, A-14.</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1. Give every form control an accessible name. Twelve of twelve inputs on the jobs</w:t>
            </w:r>
          </w:p>
          <w:p>
            <w:pPr>
              <w:spacing w:after="0" w:line="230"/>
            </w:pPr>
            <w:r>
              <w:rPr>
                <w:rFonts w:ascii="IBM Plex Mono" w:cs="IBM Plex Mono" w:eastAsia="IBM Plex Mono" w:hAnsi="IBM Plex Mono"/>
                <w:color w:val="1F2937"/>
                <w:sz w:val="15"/>
                <w:szCs w:val="15"/>
              </w:rPr>
              <w:t xml:space="preserve">   list rely on placeholder text alone. Add a visible or visually-hidden label bound</w:t>
            </w:r>
          </w:p>
          <w:p>
            <w:pPr>
              <w:spacing w:after="0" w:line="230"/>
            </w:pPr>
            <w:r>
              <w:rPr>
                <w:rFonts w:ascii="IBM Plex Mono" w:cs="IBM Plex Mono" w:eastAsia="IBM Plex Mono" w:hAnsi="IBM Plex Mono"/>
                <w:color w:val="1F2937"/>
                <w:sz w:val="15"/>
                <w:szCs w:val="15"/>
              </w:rPr>
              <w:t xml:space="preserve">   to each.</w:t>
            </w:r>
          </w:p>
          <w:p>
            <w:pPr>
              <w:spacing w:after="0" w:line="230"/>
            </w:pPr>
            <w:r>
              <w:rPr>
                <w:rFonts w:ascii="IBM Plex Mono" w:cs="IBM Plex Mono" w:eastAsia="IBM Plex Mono" w:hAnsi="IBM Plex Mono"/>
                <w:color w:val="1F2937"/>
                <w:sz w:val="15"/>
                <w:szCs w:val="15"/>
              </w:rPr>
              <w:t xml:space="preserve">2. Give the four icon-only header buttons aria-labels and tooltips.</w:t>
            </w:r>
          </w:p>
          <w:p>
            <w:pPr>
              <w:spacing w:after="0" w:line="230"/>
            </w:pPr>
            <w:r>
              <w:rPr>
                <w:rFonts w:ascii="IBM Plex Mono" w:cs="IBM Plex Mono" w:eastAsia="IBM Plex Mono" w:hAnsi="IBM Plex Mono"/>
                <w:color w:val="1F2937"/>
                <w:sz w:val="15"/>
                <w:szCs w:val="15"/>
              </w:rPr>
              <w:t xml:space="preserve">3. Add a polite live region for status changes and an assertive one for errors that</w:t>
            </w:r>
          </w:p>
          <w:p>
            <w:pPr>
              <w:spacing w:after="0" w:line="230"/>
            </w:pPr>
            <w:r>
              <w:rPr>
                <w:rFonts w:ascii="IBM Plex Mono" w:cs="IBM Plex Mono" w:eastAsia="IBM Plex Mono" w:hAnsi="IBM Plex Mono"/>
                <w:color w:val="1F2937"/>
                <w:sz w:val="15"/>
                <w:szCs w:val="15"/>
              </w:rPr>
              <w:t xml:space="preserve">   block a filing.</w:t>
            </w:r>
          </w:p>
          <w:p>
            <w:pPr>
              <w:spacing w:after="0" w:line="230"/>
            </w:pPr>
            <w:r>
              <w:rPr>
                <w:rFonts w:ascii="IBM Plex Mono" w:cs="IBM Plex Mono" w:eastAsia="IBM Plex Mono" w:hAnsi="IBM Plex Mono"/>
                <w:color w:val="1F2937"/>
                <w:sz w:val="15"/>
                <w:szCs w:val="15"/>
              </w:rPr>
              <w:t xml:space="preserve">4. Fix the mobile filter-chip overflow on the documents screen with a scroll-snap row</w:t>
            </w:r>
          </w:p>
          <w:p>
            <w:pPr>
              <w:spacing w:after="0" w:line="230"/>
            </w:pPr>
            <w:r>
              <w:rPr>
                <w:rFonts w:ascii="IBM Plex Mono" w:cs="IBM Plex Mono" w:eastAsia="IBM Plex Mono" w:hAnsi="IBM Plex Mono"/>
                <w:color w:val="1F2937"/>
                <w:sz w:val="15"/>
                <w:szCs w:val="15"/>
              </w:rPr>
              <w:t xml:space="preserve">   and an edge fade, or a filter sheet.</w:t>
            </w:r>
          </w:p>
          <w:p>
            <w:pPr>
              <w:spacing w:after="0" w:line="230"/>
            </w:pPr>
            <w:r>
              <w:rPr>
                <w:rFonts w:ascii="IBM Plex Mono" w:cs="IBM Plex Mono" w:eastAsia="IBM Plex Mono" w:hAnsi="IBM Plex Mono"/>
                <w:color w:val="1F2937"/>
                <w:sz w:val="15"/>
                <w:szCs w:val="15"/>
              </w:rPr>
              <w:t xml:space="preserve">5. Raise the secondary text token in dark mode; check every text-on-surface pair to</w:t>
            </w:r>
          </w:p>
          <w:p>
            <w:pPr>
              <w:spacing w:after="0" w:line="230"/>
            </w:pPr>
            <w:r>
              <w:rPr>
                <w:rFonts w:ascii="IBM Plex Mono" w:cs="IBM Plex Mono" w:eastAsia="IBM Plex Mono" w:hAnsi="IBM Plex Mono"/>
                <w:color w:val="1F2937"/>
                <w:sz w:val="15"/>
                <w:szCs w:val="15"/>
              </w:rPr>
              <w:t xml:space="preserve">   4.5:1 in both themes.</w:t>
            </w:r>
          </w:p>
          <w:p>
            <w:pPr>
              <w:spacing w:after="0" w:line="230"/>
            </w:pPr>
            <w:r>
              <w:rPr>
                <w:rFonts w:ascii="IBM Plex Mono" w:cs="IBM Plex Mono" w:eastAsia="IBM Plex Mono" w:hAnsi="IBM Plex Mono"/>
                <w:color w:val="1F2937"/>
                <w:sz w:val="15"/>
                <w:szCs w:val="15"/>
              </w:rPr>
              <w:t xml:space="preserve">6. Find and fix the static asset 404 logged on every page load.</w:t>
            </w:r>
          </w:p>
          <w:p>
            <w:pPr>
              <w:spacing w:after="0" w:line="230"/>
            </w:pPr>
            <w:r>
              <w:rPr>
                <w:rFonts w:ascii="IBM Plex Mono" w:cs="IBM Plex Mono" w:eastAsia="IBM Plex Mono" w:hAnsi="IBM Plex Mono"/>
                <w:color w:val="1F2937"/>
                <w:sz w:val="15"/>
                <w:szCs w:val="15"/>
              </w:rPr>
              <w:t xml:space="preserve">7. One duration formatter and one currency formatter across the product. Never two</w:t>
            </w:r>
          </w:p>
          <w:p>
            <w:pPr>
              <w:spacing w:after="0" w:line="230"/>
            </w:pPr>
            <w:r>
              <w:rPr>
                <w:rFonts w:ascii="IBM Plex Mono" w:cs="IBM Plex Mono" w:eastAsia="IBM Plex Mono" w:hAnsi="IBM Plex Mono"/>
                <w:color w:val="1F2937"/>
                <w:sz w:val="15"/>
                <w:szCs w:val="15"/>
              </w:rPr>
              <w:t xml:space="preserve">   notations for the same quantity on one screen.</w:t>
            </w:r>
          </w:p>
          <w:p>
            <w:pPr>
              <w:spacing w:after="0" w:line="230"/>
            </w:pPr>
            <w:r>
              <w:rPr>
                <w:rFonts w:ascii="IBM Plex Mono" w:cs="IBM Plex Mono" w:eastAsia="IBM Plex Mono" w:hAnsi="IBM Plex Mono"/>
                <w:color w:val="1F2937"/>
                <w:sz w:val="15"/>
                <w:szCs w:val="15"/>
              </w:rPr>
              <w:t xml:space="preserve">8. Separate direction from sentiment on trend indicators. A rising document backlog is</w:t>
            </w:r>
          </w:p>
          <w:p>
            <w:pPr>
              <w:spacing w:after="0" w:line="230"/>
            </w:pPr>
            <w:r>
              <w:rPr>
                <w:rFonts w:ascii="IBM Plex Mono" w:cs="IBM Plex Mono" w:eastAsia="IBM Plex Mono" w:hAnsi="IBM Plex Mono"/>
                <w:color w:val="1F2937"/>
                <w:sz w:val="15"/>
                <w:szCs w:val="15"/>
              </w:rPr>
              <w:t xml:space="preserve">   not an improvement.</w:t>
            </w:r>
          </w:p>
          <w:p>
            <w:pPr>
              <w:spacing w:after="0" w:line="230"/>
            </w:pPr>
            <w:r>
              <w:rPr>
                <w:rFonts w:ascii="IBM Plex Mono" w:cs="IBM Plex Mono" w:eastAsia="IBM Plex Mono" w:hAnsi="IBM Plex Mono"/>
                <w:color w:val="1F2937"/>
                <w:sz w:val="15"/>
                <w:szCs w:val="15"/>
              </w:rPr>
              <w:t xml:space="preserve">9. Label the confidence chips on the documents screen, set a threshold below which a</w:t>
            </w:r>
          </w:p>
          <w:p>
            <w:pPr>
              <w:spacing w:after="0" w:line="230"/>
            </w:pPr>
            <w:r>
              <w:rPr>
                <w:rFonts w:ascii="IBM Plex Mono" w:cs="IBM Plex Mono" w:eastAsia="IBM Plex Mono" w:hAnsi="IBM Plex Mono"/>
                <w:color w:val="1F2937"/>
                <w:sz w:val="15"/>
                <w:szCs w:val="15"/>
              </w:rPr>
              <w:t xml:space="preserve">   human must confirm, and show the threshold.</w:t>
            </w:r>
          </w:p>
          <w:p>
            <w:pPr>
              <w:spacing w:after="0" w:line="230"/>
            </w:pPr>
            <w:r>
              <w:rPr>
                <w:rFonts w:ascii="IBM Plex Mono" w:cs="IBM Plex Mono" w:eastAsia="IBM Plex Mono" w:hAnsi="IBM Plex Mono"/>
                <w:color w:val="1F2937"/>
                <w:sz w:val="15"/>
                <w:szCs w:val="15"/>
              </w:rPr>
              <w:t xml:space="preserve">10. Design and implement empty, loading and error states for every list and panel. The</w:t>
            </w:r>
          </w:p>
          <w:p>
            <w:pPr>
              <w:spacing w:after="0" w:line="230"/>
            </w:pPr>
            <w:r>
              <w:rPr>
                <w:rFonts w:ascii="IBM Plex Mono" w:cs="IBM Plex Mono" w:eastAsia="IBM Plex Mono" w:hAnsi="IBM Plex Mono"/>
                <w:color w:val="1F2937"/>
                <w:sz w:val="15"/>
                <w:szCs w:val="15"/>
              </w:rPr>
              <w:t xml:space="preserve">    error state matters most here: distinguish "nothing happened" from "we could not</w:t>
            </w:r>
          </w:p>
          <w:p>
            <w:pPr>
              <w:spacing w:after="0" w:line="230"/>
            </w:pPr>
            <w:r>
              <w:rPr>
                <w:rFonts w:ascii="IBM Plex Mono" w:cs="IBM Plex Mono" w:eastAsia="IBM Plex Mono" w:hAnsi="IBM Plex Mono"/>
                <w:color w:val="1F2937"/>
                <w:sz w:val="15"/>
                <w:szCs w:val="15"/>
              </w:rPr>
              <w:t xml:space="preserve">    find out".</w:t>
            </w:r>
          </w:p>
          <w:p>
            <w:pPr>
              <w:spacing w:after="0" w:line="230"/>
            </w:pPr>
            <w:r>
              <w:rPr>
                <w:rFonts w:ascii="IBM Plex Mono" w:cs="IBM Plex Mono" w:eastAsia="IBM Plex Mono" w:hAnsi="IBM Plex Mono"/>
                <w:color w:val="1F2937"/>
                <w:sz w:val="15"/>
                <w:szCs w:val="15"/>
              </w:rPr>
              <w:t xml:space="preserve">11. Settle the job-versus-declaration vocabulary and apply it everywhere, including</w:t>
            </w:r>
          </w:p>
          <w:p>
            <w:pPr>
              <w:spacing w:after="0" w:line="230"/>
            </w:pPr>
            <w:r>
              <w:rPr>
                <w:rFonts w:ascii="IBM Plex Mono" w:cs="IBM Plex Mono" w:eastAsia="IBM Plex Mono" w:hAnsi="IBM Plex Mono"/>
                <w:color w:val="1F2937"/>
                <w:sz w:val="15"/>
                <w:szCs w:val="15"/>
              </w:rPr>
              <w:t xml:space="preserve">    the New declaration button that lands on Create new job.</w:t>
            </w:r>
          </w:p>
          <w:p>
            <w:pPr>
              <w:spacing w:after="0" w:line="230"/>
            </w:pPr>
            <w:r>
              <w:rPr>
                <w:rFonts w:ascii="IBM Plex Mono" w:cs="IBM Plex Mono" w:eastAsia="IBM Plex Mono" w:hAnsi="IBM Plex Mono"/>
                <w:color w:val="1F2937"/>
                <w:sz w:val="15"/>
                <w:szCs w:val="15"/>
              </w:rPr>
              <w:t xml:space="preserve">12. Label the header signing indicator and make it link to agent status.</w:t>
            </w:r>
          </w:p>
          <w:p>
            <w:pPr>
              <w:spacing w:after="0" w:line="230"/>
            </w:pPr>
            <w:r>
              <w:rPr>
                <w:rFonts w:ascii="IBM Plex Mono" w:cs="IBM Plex Mono" w:eastAsia="IBM Plex Mono" w:hAnsi="IBM Plex Mono"/>
                <w:color w:val="1F2937"/>
                <w:sz w:val="15"/>
                <w:szCs w:val="15"/>
              </w:rPr>
              <w:t xml:space="preserve">13. Mark the mandatory document code directory provisional until Q7 closes, cite each</w:t>
            </w:r>
          </w:p>
          <w:p>
            <w:pPr>
              <w:spacing w:after="0" w:line="230"/>
            </w:pPr>
            <w:r>
              <w:rPr>
                <w:rFonts w:ascii="IBM Plex Mono" w:cs="IBM Plex Mono" w:eastAsia="IBM Plex Mono" w:hAnsi="IBM Plex Mono"/>
                <w:color w:val="1F2937"/>
                <w:sz w:val="15"/>
                <w:szCs w:val="15"/>
              </w:rPr>
              <w:t xml:space="preserve">    code, and allow the six-character documentTypeCode the BE and SB schemas permit.</w:t>
            </w:r>
          </w:p>
          <w:p>
            <w:pPr>
              <w:spacing w:after="0" w:line="230"/>
            </w:pPr>
            <w:r>
              <w:rPr>
                <w:rFonts w:ascii="IBM Plex Mono" w:cs="IBM Plex Mono" w:eastAsia="IBM Plex Mono" w:hAnsi="IBM Plex Mono"/>
                <w:color w:val="1F2937"/>
                <w:sz w:val="15"/>
                <w:szCs w:val="15"/>
              </w:rPr>
              <w:t xml:space="preserve"/>
            </w:r>
          </w:p>
          <w:p>
            <w:pPr>
              <w:spacing w:after="0" w:line="230"/>
            </w:pPr>
            <w:r>
              <w:rPr>
                <w:rFonts w:ascii="IBM Plex Mono" w:cs="IBM Plex Mono" w:eastAsia="IBM Plex Mono" w:hAnsi="IBM Plex Mono"/>
                <w:color w:val="1F2937"/>
                <w:sz w:val="15"/>
                <w:szCs w:val="15"/>
              </w:rPr>
              <w:t xml:space="preserve">Acceptance:</w:t>
            </w:r>
          </w:p>
          <w:p>
            <w:pPr>
              <w:spacing w:after="0" w:line="230"/>
            </w:pPr>
            <w:r>
              <w:rPr>
                <w:rFonts w:ascii="IBM Plex Mono" w:cs="IBM Plex Mono" w:eastAsia="IBM Plex Mono" w:hAnsi="IBM Plex Mono"/>
                <w:color w:val="1F2937"/>
                <w:sz w:val="15"/>
                <w:szCs w:val="15"/>
              </w:rPr>
              <w:t xml:space="preserve">- An automated accessibility pass reports zero unlabelled controls and zero unnamed</w:t>
            </w:r>
          </w:p>
          <w:p>
            <w:pPr>
              <w:spacing w:after="0" w:line="230"/>
            </w:pPr>
            <w:r>
              <w:rPr>
                <w:rFonts w:ascii="IBM Plex Mono" w:cs="IBM Plex Mono" w:eastAsia="IBM Plex Mono" w:hAnsi="IBM Plex Mono"/>
                <w:color w:val="1F2937"/>
                <w:sz w:val="15"/>
                <w:szCs w:val="15"/>
              </w:rPr>
              <w:t xml:space="preserve">  buttons on every route.</w:t>
            </w:r>
          </w:p>
          <w:p>
            <w:pPr>
              <w:spacing w:after="0" w:line="230"/>
            </w:pPr>
            <w:r>
              <w:rPr>
                <w:rFonts w:ascii="IBM Plex Mono" w:cs="IBM Plex Mono" w:eastAsia="IBM Plex Mono" w:hAnsi="IBM Plex Mono"/>
                <w:color w:val="1F2937"/>
                <w:sz w:val="15"/>
                <w:szCs w:val="15"/>
              </w:rPr>
              <w:t xml:space="preserve">- No screen shows two formats for the same quantity.</w:t>
            </w:r>
          </w:p>
        </w:tc>
      </w:tr>
    </w:tbl>
    <w:p>
      <w:pPr>
        <w:spacing w:after="160"/>
      </w:pPr>
    </w:p>
    <w:p>
      <w:pPr>
        <w:pStyle w:val="Heading1"/>
        <w:pageBreakBefore/>
        <w:pBdr>
          <w:bottom w:val="single" w:color="E8641B" w:sz="12" w:space="6"/>
        </w:pBdr>
        <w:spacing w:after="200" w:before="0"/>
      </w:pPr>
      <w:r>
        <w:rPr>
          <w:rFonts w:ascii="IBM Plex Sans" w:cs="IBM Plex Sans" w:eastAsia="IBM Plex Sans" w:hAnsi="IBM Plex Sans"/>
          <w:b/>
          <w:bCs/>
          <w:color w:val="1B2A4A"/>
          <w:sz w:val="34"/>
          <w:szCs w:val="34"/>
        </w:rPr>
        <w:t xml:space="preserve">12. Sequencing and definition of done</w:t>
      </w:r>
    </w:p>
    <w:p>
      <w:pPr>
        <w:pStyle w:val="Heading2"/>
        <w:keepNext/>
        <w:spacing w:after="120" w:before="280"/>
      </w:pPr>
      <w:r>
        <w:rPr>
          <w:rFonts w:ascii="IBM Plex Sans" w:cs="IBM Plex Sans" w:eastAsia="IBM Plex Sans" w:hAnsi="IBM Plex Sans"/>
          <w:b/>
          <w:bCs/>
          <w:color w:val="1B2A4A"/>
          <w:sz w:val="26"/>
          <w:szCs w:val="26"/>
        </w:rPr>
        <w:t xml:space="preserve">12.1 Suggested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9"/>
        <w:gridCol w:w="1899"/>
        <w:gridCol w:w="6448"/>
      </w:tblGrid>
      <w:tr>
        <w:trPr>
          <w:cantSplit/>
          <w:tblHeader/>
        </w:trPr>
        <w:tc>
          <w:tcPr>
            <w:tcW w:type="dxa" w:w="13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Wave</w:t>
            </w:r>
          </w:p>
        </w:tc>
        <w:tc>
          <w:tcPr>
            <w:tcW w:type="dxa" w:w="1899"/>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Prompts</w:t>
            </w:r>
          </w:p>
        </w:tc>
        <w:tc>
          <w:tcPr>
            <w:tcW w:type="dxa" w:w="6448"/>
            <w:tcBorders>
              <w:top w:val="single" w:color="D1D5DB" w:sz="4"/>
              <w:left w:val="single" w:color="D1D5DB" w:sz="4"/>
              <w:bottom w:val="single" w:color="D1D5DB" w:sz="4"/>
              <w:right w:val="single" w:color="D1D5DB" w:sz="4"/>
            </w:tcBorders>
            <w:shd w:fill="1B2A4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b/>
                <w:bCs/>
                <w:color w:val="FFFFFF"/>
                <w:sz w:val="17"/>
                <w:szCs w:val="17"/>
              </w:rPr>
              <w:t xml:space="preserve">Why this order</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1 — Make it true</w:t>
            </w:r>
          </w:p>
        </w:tc>
        <w:tc>
          <w:tcPr>
            <w:tcW w:type="dxa" w:w="18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P-02, P-04, P-06</w:t>
            </w:r>
          </w:p>
        </w:tc>
        <w:tc>
          <w:tcPr>
            <w:tcW w:type="dxa" w:w="64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Correct what the product asserts before building more on top of it. These are small, and two of them are largely deletions</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2 — Make it whole</w:t>
            </w:r>
          </w:p>
        </w:tc>
        <w:tc>
          <w:tcPr>
            <w:tcW w:type="dxa" w:w="18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P-01, P-03, P-05</w:t>
            </w:r>
          </w:p>
        </w:tc>
        <w:tc>
          <w:tcPr>
            <w:tcW w:type="dxa" w:w="64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The three missing or mismodelled surfaces. P-01 is the largest single piece of work in this list and everything else links into it</w:t>
            </w:r>
          </w:p>
        </w:tc>
      </w:tr>
      <w:tr>
        <w:trPr>
          <w:cantSplit/>
        </w:trPr>
        <w:tc>
          <w:tcPr>
            <w:tcW w:type="dxa" w:w="13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3 — Make it usable</w:t>
            </w:r>
          </w:p>
        </w:tc>
        <w:tc>
          <w:tcPr>
            <w:tcW w:type="dxa" w:w="1899"/>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P-07, P-08</w:t>
            </w:r>
          </w:p>
        </w:tc>
        <w:tc>
          <w:tcPr>
            <w:tcW w:type="dxa" w:w="6448"/>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Completion and interaction, once the surfaces they act on exist</w:t>
            </w:r>
          </w:p>
        </w:tc>
      </w:tr>
      <w:tr>
        <w:trPr>
          <w:cantSplit/>
        </w:trPr>
        <w:tc>
          <w:tcPr>
            <w:tcW w:type="dxa" w:w="13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4 — Make it presentable</w:t>
            </w:r>
          </w:p>
        </w:tc>
        <w:tc>
          <w:tcPr>
            <w:tcW w:type="dxa" w:w="1899"/>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P-09, P-10</w:t>
            </w:r>
          </w:p>
        </w:tc>
        <w:tc>
          <w:tcPr>
            <w:tcW w:type="dxa" w:w="6448"/>
            <w:tcBorders>
              <w:top w:val="single" w:color="D1D5DB" w:sz="4"/>
              <w:left w:val="single" w:color="D1D5DB" w:sz="4"/>
              <w:bottom w:val="single" w:color="D1D5DB" w:sz="4"/>
              <w:right w:val="single" w:color="D1D5DB" w:sz="4"/>
            </w:tcBorders>
            <w:shd w:fill="FAFAFA" w:color="auto" w:val="clear"/>
            <w:tcMar>
              <w:top w:type="dxa" w:w="60"/>
              <w:left w:type="dxa" w:w="100"/>
              <w:bottom w:type="dxa" w:w="60"/>
              <w:right w:type="dxa" w:w="100"/>
            </w:tcMar>
            <w:vAlign w:val="top"/>
          </w:tcPr>
          <w:p>
            <w:pPr>
              <w:spacing w:after="30" w:line="250"/>
            </w:pPr>
            <w:r>
              <w:rPr>
                <w:rFonts w:ascii="IBM Plex Sans" w:cs="IBM Plex Sans" w:eastAsia="IBM Plex Sans" w:hAnsi="IBM Plex Sans"/>
                <w:color w:val="1F2937"/>
                <w:sz w:val="17"/>
                <w:szCs w:val="17"/>
              </w:rPr>
              <w:t xml:space="preserve">Reporting and the consistency pass, last because they touch every screen and should be done once</w:t>
            </w:r>
          </w:p>
        </w:tc>
      </w:tr>
    </w:tbl>
    <w:p>
      <w:pPr>
        <w:spacing w:after="140"/>
      </w:pPr>
    </w:p>
    <w:p>
      <w:pPr>
        <w:pStyle w:val="Heading2"/>
        <w:keepNext/>
        <w:spacing w:after="120" w:before="280"/>
      </w:pPr>
      <w:r>
        <w:rPr>
          <w:rFonts w:ascii="IBM Plex Sans" w:cs="IBM Plex Sans" w:eastAsia="IBM Plex Sans" w:hAnsi="IBM Plex Sans"/>
          <w:b/>
          <w:bCs/>
          <w:color w:val="1B2A4A"/>
          <w:sz w:val="26"/>
          <w:szCs w:val="26"/>
        </w:rPr>
        <w:t xml:space="preserve">12.2 Definition of done for this review</w:t>
      </w:r>
    </w:p>
    <w:p>
      <w:pPr>
        <w:pStyle w:val="ListParagraph"/>
        <w:numPr>
          <w:ilvl w:val="0"/>
          <w:numId w:val="3"/>
        </w:numPr>
        <w:spacing w:after="60" w:line="264"/>
      </w:pPr>
      <w:r>
        <w:rPr>
          <w:rFonts w:ascii="IBM Plex Sans" w:cs="IBM Plex Sans" w:eastAsia="IBM Plex Sans" w:hAnsi="IBM Plex Sans"/>
          <w:color w:val="1F2937"/>
          <w:sz w:val="20"/>
          <w:szCs w:val="20"/>
        </w:rPr>
        <w:t xml:space="preserve">Every finding in sections 5 to 9 is either closed by a merged prompt, or explicitly deferred with an owner and a reason recorded against its ID.</w:t>
      </w:r>
    </w:p>
    <w:p>
      <w:pPr>
        <w:pStyle w:val="ListParagraph"/>
        <w:numPr>
          <w:ilvl w:val="0"/>
          <w:numId w:val="3"/>
        </w:numPr>
        <w:spacing w:after="60" w:line="264"/>
      </w:pPr>
      <w:r>
        <w:rPr>
          <w:rFonts w:ascii="IBM Plex Sans" w:cs="IBM Plex Sans" w:eastAsia="IBM Plex Sans" w:hAnsi="IBM Plex Sans"/>
          <w:color w:val="1F2937"/>
          <w:sz w:val="20"/>
          <w:szCs w:val="20"/>
        </w:rPr>
        <w:t xml:space="preserve">A link crawl over every internal href returns no 404.</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duty ledger still reconciles to the rupee after every fixture change.</w:t>
      </w:r>
    </w:p>
    <w:p>
      <w:pPr>
        <w:pStyle w:val="ListParagraph"/>
        <w:numPr>
          <w:ilvl w:val="0"/>
          <w:numId w:val="3"/>
        </w:numPr>
        <w:spacing w:after="60" w:line="264"/>
      </w:pPr>
      <w:r>
        <w:rPr>
          <w:rFonts w:ascii="IBM Plex Sans" w:cs="IBM Plex Sans" w:eastAsia="IBM Plex Sans" w:hAnsi="IBM Plex Sans"/>
          <w:color w:val="1F2937"/>
          <w:sz w:val="20"/>
          <w:szCs w:val="20"/>
        </w:rPr>
        <w:t xml:space="preserve">No number, code, limit or deadline appears in the UI that cannot be traced to the cleaned schema set, an ICES format document, or a cited published specification — and the citation is visible to the user where the claim is made.</w:t>
      </w:r>
    </w:p>
    <w:p>
      <w:pPr>
        <w:pStyle w:val="ListParagraph"/>
        <w:numPr>
          <w:ilvl w:val="0"/>
          <w:numId w:val="3"/>
        </w:numPr>
        <w:spacing w:after="60" w:line="264"/>
      </w:pPr>
      <w:r>
        <w:rPr>
          <w:rFonts w:ascii="IBM Plex Sans" w:cs="IBM Plex Sans" w:eastAsia="IBM Plex Sans" w:hAnsi="IBM Plex Sans"/>
          <w:color w:val="1F2937"/>
          <w:sz w:val="20"/>
          <w:szCs w:val="20"/>
        </w:rPr>
        <w:t xml:space="preserve">An automated accessibility pass is green on every route and runs in CI.</w:t>
      </w:r>
    </w:p>
    <w:p>
      <w:pPr>
        <w:pStyle w:val="ListParagraph"/>
        <w:numPr>
          <w:ilvl w:val="0"/>
          <w:numId w:val="3"/>
        </w:numPr>
        <w:spacing w:after="60" w:line="264"/>
      </w:pPr>
      <w:r>
        <w:rPr>
          <w:rFonts w:ascii="IBM Plex Sans" w:cs="IBM Plex Sans" w:eastAsia="IBM Plex Sans" w:hAnsi="IBM Plex Sans"/>
          <w:color w:val="1F2937"/>
          <w:sz w:val="20"/>
          <w:szCs w:val="20"/>
        </w:rPr>
        <w:t xml:space="preserve">The four screens marked as strengths in section 4 are unchanged in substance.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B2A4A" w:sz="36"/>
              <w:bottom w:val="none" w:color="FFFFFF" w:sz="0"/>
              <w:right w:val="none" w:color="FFFFFF" w:sz="0"/>
            </w:tcBorders>
            <w:shd w:fill="EEF1F7" w:color="auto" w:val="clear"/>
            <w:tcMar>
              <w:top w:type="dxa" w:w="120"/>
              <w:left w:type="dxa" w:w="200"/>
              <w:bottom w:type="dxa" w:w="120"/>
              <w:right w:type="dxa" w:w="200"/>
            </w:tcMar>
          </w:tcPr>
          <w:p>
            <w:pPr>
              <w:spacing w:after="80"/>
            </w:pPr>
            <w:r>
              <w:rPr>
                <w:rFonts w:ascii="IBM Plex Sans" w:cs="IBM Plex Sans" w:eastAsia="IBM Plex Sans" w:hAnsi="IBM Plex Sans"/>
                <w:b/>
                <w:bCs/>
                <w:color w:val="1B2A4A"/>
                <w:sz w:val="20"/>
                <w:szCs w:val="20"/>
              </w:rPr>
              <w:t xml:space="preserve">The test to apply before the next demo</w:t>
            </w:r>
          </w:p>
          <w:p>
            <w:pPr>
              <w:spacing w:after="60" w:line="260"/>
            </w:pPr>
            <w:r>
              <w:rPr>
                <w:rFonts w:ascii="IBM Plex Sans" w:cs="IBM Plex Sans" w:eastAsia="IBM Plex Sans" w:hAnsi="IBM Plex Sans"/>
                <w:color w:val="1F2937"/>
                <w:sz w:val="19"/>
                <w:szCs w:val="19"/>
              </w:rPr>
              <w:t xml:space="preserve">Put the mock in front of one working customs broker and ask them to walk a single bill of entry from an email of documents to out of charge. Today that walk stops at the first click, because the declaration workspace does not exist. When it can be completed end to end without the broker asking what a screen means, the mock has become a product.</w:t>
            </w:r>
          </w:p>
        </w:tc>
      </w:tr>
    </w:tbl>
    <w:p>
      <w:pPr>
        <w:spacing w:after="160"/>
      </w:pP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IBM Plex Sans" w:cs="IBM Plex Sans" w:eastAsia="IBM Plex Sans" w:hAnsi="IBM Plex Sans"/>
        <w:color w:val="6B7280"/>
        <w:sz w:val="16"/>
        <w:szCs w:val="16"/>
      </w:rPr>
      <w:t xml:space="preserve">VoltusFreight · VoltusWave Technologies</w:t>
    </w:r>
    <w:r>
      <w:rPr>
        <w:rFonts w:ascii="IBM Plex Sans" w:cs="IBM Plex Sans" w:eastAsia="IBM Plex Sans" w:hAnsi="IBM Plex Sans"/>
        <w:color w:val="6B7280"/>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746"/>
      </w:tabs>
    </w:pPr>
    <w:r>
      <w:rPr>
        <w:rFonts w:ascii="IBM Plex Sans" w:cs="IBM Plex Sans" w:eastAsia="IBM Plex Sans" w:hAnsi="IBM Plex Sans"/>
        <w:color w:val="6B7280"/>
        <w:sz w:val="16"/>
        <w:szCs w:val="16"/>
      </w:rPr>
      <w:t xml:space="preserve">ICEGATE Suite UI Mock — Design &amp; Build Review v1.0</w:t>
    </w:r>
    <w:r>
      <w:rPr>
        <w:rFonts w:ascii="IBM Plex Sans" w:cs="IBM Plex Sans" w:eastAsia="IBM Plex Sans" w:hAnsi="IBM Plex Sans"/>
        <w:color w:val="E8641B"/>
        <w:sz w:val="16"/>
        <w:szCs w:val="16"/>
      </w:rPr>
      <w:t xml:space="preserve">	Confidential —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abstractNum w:abstractNumId="43" w15:restartNumberingAfterBreak="0">
    <w:multiLevelType w:val="hybridMultilevel"/>
    <w:lvl w:ilvl="0" w15:tentative="1">
      <w:start w:val="1"/>
      <w:numFmt w:val="decimal"/>
      <w:lvlText w:val="%1."/>
      <w:lvlJc w:val="left"/>
      <w:pPr>
        <w:ind w:left="400" w:hanging="300"/>
      </w:pPr>
    </w:lvl>
  </w:abstractNum>
  <w:abstractNum w:abstractNumId="44" w15:restartNumberingAfterBreak="0">
    <w:multiLevelType w:val="hybridMultilevel"/>
    <w:lvl w:ilvl="0" w15:tentative="1">
      <w:start w:val="1"/>
      <w:numFmt w:val="decimal"/>
      <w:lvlText w:val="%1."/>
      <w:lvlJc w:val="left"/>
      <w:pPr>
        <w:ind w:left="400" w:hanging="300"/>
      </w:pPr>
    </w:lvl>
  </w:abstractNum>
  <w:abstractNum w:abstractNumId="45" w15:restartNumberingAfterBreak="0">
    <w:multiLevelType w:val="hybridMultilevel"/>
    <w:lvl w:ilvl="0" w15:tentative="1">
      <w:start w:val="1"/>
      <w:numFmt w:val="decimal"/>
      <w:lvlText w:val="%1."/>
      <w:lvlJc w:val="left"/>
      <w:pPr>
        <w:ind w:left="400" w:hanging="300"/>
      </w:pPr>
    </w:lvl>
  </w:abstractNum>
  <w:abstractNum w:abstractNumId="46" w15:restartNumberingAfterBreak="0">
    <w:multiLevelType w:val="hybridMultilevel"/>
    <w:lvl w:ilvl="0" w15:tentative="1">
      <w:start w:val="1"/>
      <w:numFmt w:val="decimal"/>
      <w:lvlText w:val="%1."/>
      <w:lvlJc w:val="left"/>
      <w:pPr>
        <w:ind w:left="400" w:hanging="300"/>
      </w:pPr>
    </w:lvl>
  </w:abstractNum>
  <w:abstractNum w:abstractNumId="47" w15:restartNumberingAfterBreak="0">
    <w:multiLevelType w:val="hybridMultilevel"/>
    <w:lvl w:ilvl="0" w15:tentative="1">
      <w:start w:val="1"/>
      <w:numFmt w:val="decimal"/>
      <w:lvlText w:val="%1."/>
      <w:lvlJc w:val="left"/>
      <w:pPr>
        <w:ind w:left="400" w:hanging="300"/>
      </w:pPr>
    </w:lvl>
  </w:abstractNum>
  <w:abstractNum w:abstractNumId="48" w15:restartNumberingAfterBreak="0">
    <w:multiLevelType w:val="hybridMultilevel"/>
    <w:lvl w:ilvl="0" w15:tentative="1">
      <w:start w:val="1"/>
      <w:numFmt w:val="decimal"/>
      <w:lvlText w:val="%1."/>
      <w:lvlJc w:val="left"/>
      <w:pPr>
        <w:ind w:left="400" w:hanging="300"/>
      </w:pPr>
    </w:lvl>
  </w:abstractNum>
  <w:abstractNum w:abstractNumId="49" w15:restartNumberingAfterBreak="0">
    <w:multiLevelType w:val="hybridMultilevel"/>
    <w:lvl w:ilvl="0" w15:tentative="1">
      <w:start w:val="1"/>
      <w:numFmt w:val="decimal"/>
      <w:lvlText w:val="%1."/>
      <w:lvlJc w:val="left"/>
      <w:pPr>
        <w:ind w:left="400" w:hanging="300"/>
      </w:pPr>
    </w:lvl>
  </w:abstractNum>
  <w:abstractNum w:abstractNumId="50" w15:restartNumberingAfterBreak="0">
    <w:multiLevelType w:val="hybridMultilevel"/>
    <w:lvl w:ilvl="0" w15:tentative="1">
      <w:start w:val="1"/>
      <w:numFmt w:val="decimal"/>
      <w:lvlText w:val="%1."/>
      <w:lvlJc w:val="left"/>
      <w:pPr>
        <w:ind w:left="400" w:hanging="300"/>
      </w:pPr>
    </w:lvl>
  </w:abstractNum>
  <w:abstractNum w:abstractNumId="51" w15:restartNumberingAfterBreak="0">
    <w:multiLevelType w:val="hybridMultilevel"/>
    <w:lvl w:ilvl="0" w15:tentative="1">
      <w:start w:val="1"/>
      <w:numFmt w:val="decimal"/>
      <w:lvlText w:val="%1."/>
      <w:lvlJc w:val="left"/>
      <w:pPr>
        <w:ind w:left="400" w:hanging="300"/>
      </w:pPr>
    </w:lvl>
  </w:abstractNum>
  <w:abstractNum w:abstractNumId="52" w15:restartNumberingAfterBreak="0">
    <w:multiLevelType w:val="hybridMultilevel"/>
    <w:lvl w:ilvl="0" w15:tentative="1">
      <w:start w:val="1"/>
      <w:numFmt w:val="decimal"/>
      <w:lvlText w:val="%1."/>
      <w:lvlJc w:val="left"/>
      <w:pPr>
        <w:ind w:left="400" w:hanging="300"/>
      </w:pPr>
    </w:lvl>
  </w:abstractNum>
  <w:abstractNum w:abstractNumId="53" w15:restartNumberingAfterBreak="0">
    <w:multiLevelType w:val="hybridMultilevel"/>
    <w:lvl w:ilvl="0" w15:tentative="1">
      <w:start w:val="1"/>
      <w:numFmt w:val="decimal"/>
      <w:lvlText w:val="%1."/>
      <w:lvlJc w:val="left"/>
      <w:pPr>
        <w:ind w:left="400" w:hanging="300"/>
      </w:pPr>
    </w:lvl>
  </w:abstractNum>
  <w:abstractNum w:abstractNumId="54" w15:restartNumberingAfterBreak="0">
    <w:multiLevelType w:val="hybridMultilevel"/>
    <w:lvl w:ilvl="0" w15:tentative="1">
      <w:start w:val="1"/>
      <w:numFmt w:val="decimal"/>
      <w:lvlText w:val="%1."/>
      <w:lvlJc w:val="left"/>
      <w:pPr>
        <w:ind w:left="400" w:hanging="300"/>
      </w:pPr>
    </w:lvl>
  </w:abstractNum>
  <w:abstractNum w:abstractNumId="55" w15:restartNumberingAfterBreak="0">
    <w:multiLevelType w:val="hybridMultilevel"/>
    <w:lvl w:ilvl="0" w15:tentative="1">
      <w:start w:val="1"/>
      <w:numFmt w:val="decimal"/>
      <w:lvlText w:val="%1."/>
      <w:lvlJc w:val="left"/>
      <w:pPr>
        <w:ind w:left="400" w:hanging="300"/>
      </w:pPr>
    </w:lvl>
  </w:abstractNum>
  <w:abstractNum w:abstractNumId="56" w15:restartNumberingAfterBreak="0">
    <w:multiLevelType w:val="hybridMultilevel"/>
    <w:lvl w:ilvl="0" w15:tentative="1">
      <w:start w:val="1"/>
      <w:numFmt w:val="decimal"/>
      <w:lvlText w:val="%1."/>
      <w:lvlJc w:val="left"/>
      <w:pPr>
        <w:ind w:left="400" w:hanging="300"/>
      </w:pPr>
    </w:lvl>
  </w:abstractNum>
  <w:abstractNum w:abstractNumId="57" w15:restartNumberingAfterBreak="0">
    <w:multiLevelType w:val="hybridMultilevel"/>
    <w:lvl w:ilvl="0" w15:tentative="1">
      <w:start w:val="1"/>
      <w:numFmt w:val="decimal"/>
      <w:lvlText w:val="%1."/>
      <w:lvlJc w:val="left"/>
      <w:pPr>
        <w:ind w:left="400" w:hanging="300"/>
      </w:pPr>
    </w:lvl>
  </w:abstractNum>
  <w:abstractNum w:abstractNumId="58" w15:restartNumberingAfterBreak="0">
    <w:multiLevelType w:val="hybridMultilevel"/>
    <w:lvl w:ilvl="0" w15:tentative="1">
      <w:start w:val="1"/>
      <w:numFmt w:val="decimal"/>
      <w:lvlText w:val="%1."/>
      <w:lvlJc w:val="left"/>
      <w:pPr>
        <w:ind w:left="400" w:hanging="300"/>
      </w:pPr>
    </w:lvl>
  </w:abstractNum>
  <w:abstractNum w:abstractNumId="59" w15:restartNumberingAfterBreak="0">
    <w:multiLevelType w:val="hybridMultilevel"/>
    <w:lvl w:ilvl="0" w15:tentative="1">
      <w:start w:val="1"/>
      <w:numFmt w:val="decimal"/>
      <w:lvlText w:val="%1."/>
      <w:lvlJc w:val="left"/>
      <w:pPr>
        <w:ind w:left="400" w:hanging="300"/>
      </w:pPr>
    </w:lvl>
  </w:abstractNum>
  <w:abstractNum w:abstractNumId="60" w15:restartNumberingAfterBreak="0">
    <w:multiLevelType w:val="hybridMultilevel"/>
    <w:lvl w:ilvl="0" w15:tentative="1">
      <w:start w:val="1"/>
      <w:numFmt w:val="decimal"/>
      <w:lvlText w:val="%1."/>
      <w:lvlJc w:val="left"/>
      <w:pPr>
        <w:ind w:left="400" w:hanging="300"/>
      </w:pPr>
    </w:lvl>
  </w:abstractNum>
  <w:abstractNum w:abstractNumId="61" w15:restartNumberingAfterBreak="0">
    <w:multiLevelType w:val="hybridMultilevel"/>
    <w:lvl w:ilvl="0" w15:tentative="1">
      <w:start w:val="1"/>
      <w:numFmt w:val="decimal"/>
      <w:lvlText w:val="%1."/>
      <w:lvlJc w:val="left"/>
      <w:pPr>
        <w:ind w:left="400" w:hanging="300"/>
      </w:pPr>
    </w:lvl>
  </w:abstractNum>
  <w:abstractNum w:abstractNumId="62" w15:restartNumberingAfterBreak="0">
    <w:multiLevelType w:val="hybridMultilevel"/>
    <w:lvl w:ilvl="0" w15:tentative="1">
      <w:start w:val="1"/>
      <w:numFmt w:val="decimal"/>
      <w:lvlText w:val="%1."/>
      <w:lvlJc w:val="left"/>
      <w:pPr>
        <w:ind w:left="400" w:hanging="300"/>
      </w:pPr>
    </w:lvl>
  </w:abstractNum>
  <w:abstractNum w:abstractNumId="63" w15:restartNumberingAfterBreak="0">
    <w:multiLevelType w:val="hybridMultilevel"/>
    <w:lvl w:ilvl="0" w15:tentative="1">
      <w:start w:val="1"/>
      <w:numFmt w:val="decimal"/>
      <w:lvlText w:val="%1."/>
      <w:lvlJc w:val="left"/>
      <w:pPr>
        <w:ind w:left="400" w:hanging="300"/>
      </w:pPr>
    </w:lvl>
  </w:abstractNum>
  <w:abstractNum w:abstractNumId="64" w15:restartNumberingAfterBreak="0">
    <w:multiLevelType w:val="hybridMultilevel"/>
    <w:lvl w:ilvl="0" w15:tentative="1">
      <w:start w:val="1"/>
      <w:numFmt w:val="decimal"/>
      <w:lvlText w:val="%1."/>
      <w:lvlJc w:val="left"/>
      <w:pPr>
        <w:ind w:left="400" w:hanging="300"/>
      </w:pPr>
    </w:lvl>
  </w:abstractNum>
  <w:abstractNum w:abstractNumId="65" w15:restartNumberingAfterBreak="0">
    <w:multiLevelType w:val="hybridMultilevel"/>
    <w:lvl w:ilvl="0" w15:tentative="1">
      <w:start w:val="1"/>
      <w:numFmt w:val="decimal"/>
      <w:lvlText w:val="%1."/>
      <w:lvlJc w:val="left"/>
      <w:pPr>
        <w:ind w:left="400" w:hanging="300"/>
      </w:pPr>
    </w:lvl>
  </w:abstractNum>
  <w:abstractNum w:abstractNumId="66" w15:restartNumberingAfterBreak="0">
    <w:multiLevelType w:val="hybridMultilevel"/>
    <w:lvl w:ilvl="0" w15:tentative="1">
      <w:start w:val="1"/>
      <w:numFmt w:val="decimal"/>
      <w:lvlText w:val="%1."/>
      <w:lvlJc w:val="left"/>
      <w:pPr>
        <w:ind w:left="400" w:hanging="300"/>
      </w:pPr>
    </w:lvl>
  </w:abstractNum>
  <w:abstractNum w:abstractNumId="67" w15:restartNumberingAfterBreak="0">
    <w:multiLevelType w:val="hybridMultilevel"/>
    <w:lvl w:ilvl="0" w15:tentative="1">
      <w:start w:val="1"/>
      <w:numFmt w:val="decimal"/>
      <w:lvlText w:val="%1."/>
      <w:lvlJc w:val="left"/>
      <w:pPr>
        <w:ind w:left="400" w:hanging="300"/>
      </w:pPr>
    </w:lvl>
  </w:abstractNum>
  <w:abstractNum w:abstractNumId="68" w15:restartNumberingAfterBreak="0">
    <w:multiLevelType w:val="hybridMultilevel"/>
    <w:lvl w:ilvl="0" w15:tentative="1">
      <w:start w:val="1"/>
      <w:numFmt w:val="decimal"/>
      <w:lvlText w:val="%1."/>
      <w:lvlJc w:val="left"/>
      <w:pPr>
        <w:ind w:left="400" w:hanging="300"/>
      </w:pPr>
    </w:lvl>
  </w:abstractNum>
  <w:abstractNum w:abstractNumId="69" w15:restartNumberingAfterBreak="0">
    <w:multiLevelType w:val="hybridMultilevel"/>
    <w:lvl w:ilvl="0" w15:tentative="1">
      <w:start w:val="1"/>
      <w:numFmt w:val="decimal"/>
      <w:lvlText w:val="%1."/>
      <w:lvlJc w:val="left"/>
      <w:pPr>
        <w:ind w:left="400" w:hanging="300"/>
      </w:pPr>
    </w:lvl>
  </w:abstractNum>
  <w:abstractNum w:abstractNumId="70" w15:restartNumberingAfterBreak="0">
    <w:multiLevelType w:val="hybridMultilevel"/>
    <w:lvl w:ilvl="0" w15:tentative="1">
      <w:start w:val="1"/>
      <w:numFmt w:val="decimal"/>
      <w:lvlText w:val="%1."/>
      <w:lvlJc w:val="left"/>
      <w:pPr>
        <w:ind w:left="400" w:hanging="300"/>
      </w:pPr>
    </w:lvl>
  </w:abstractNum>
  <w:abstractNum w:abstractNumId="71" w15:restartNumberingAfterBreak="0">
    <w:multiLevelType w:val="hybridMultilevel"/>
    <w:lvl w:ilvl="0" w15:tentative="1">
      <w:start w:val="1"/>
      <w:numFmt w:val="decimal"/>
      <w:lvlText w:val="%1."/>
      <w:lvlJc w:val="left"/>
      <w:pPr>
        <w:ind w:left="400" w:hanging="300"/>
      </w:pPr>
    </w:lvl>
  </w:abstractNum>
  <w:abstractNum w:abstractNumId="72" w15:restartNumberingAfterBreak="0">
    <w:multiLevelType w:val="hybridMultilevel"/>
    <w:lvl w:ilvl="0" w15:tentative="1">
      <w:start w:val="1"/>
      <w:numFmt w:val="decimal"/>
      <w:lvlText w:val="%1."/>
      <w:lvlJc w:val="left"/>
      <w:pPr>
        <w:ind w:left="400" w:hanging="300"/>
      </w:pPr>
    </w:lvl>
  </w:abstractNum>
  <w:abstractNum w:abstractNumId="73" w15:restartNumberingAfterBreak="0">
    <w:multiLevelType w:val="hybridMultilevel"/>
    <w:lvl w:ilvl="0" w15:tentative="1">
      <w:start w:val="1"/>
      <w:numFmt w:val="decimal"/>
      <w:lvlText w:val="%1."/>
      <w:lvlJc w:val="left"/>
      <w:pPr>
        <w:ind w:left="400" w:hanging="300"/>
      </w:pPr>
    </w:lvl>
  </w:abstractNum>
  <w:abstractNum w:abstractNumId="74" w15:restartNumberingAfterBreak="0">
    <w:multiLevelType w:val="hybridMultilevel"/>
    <w:lvl w:ilvl="0" w15:tentative="1">
      <w:start w:val="1"/>
      <w:numFmt w:val="decimal"/>
      <w:lvlText w:val="%1."/>
      <w:lvlJc w:val="left"/>
      <w:pPr>
        <w:ind w:left="400" w:hanging="300"/>
      </w:pPr>
    </w:lvl>
  </w:abstractNum>
  <w:abstractNum w:abstractNumId="75" w15:restartNumberingAfterBreak="0">
    <w:multiLevelType w:val="hybridMultilevel"/>
    <w:lvl w:ilvl="0" w15:tentative="1">
      <w:start w:val="1"/>
      <w:numFmt w:val="decimal"/>
      <w:lvlText w:val="%1."/>
      <w:lvlJc w:val="left"/>
      <w:pPr>
        <w:ind w:left="400" w:hanging="300"/>
      </w:pPr>
    </w:lvl>
  </w:abstractNum>
  <w:abstractNum w:abstractNumId="76" w15:restartNumberingAfterBreak="0">
    <w:multiLevelType w:val="hybridMultilevel"/>
    <w:lvl w:ilvl="0" w15:tentative="1">
      <w:start w:val="1"/>
      <w:numFmt w:val="decimal"/>
      <w:lvlText w:val="%1."/>
      <w:lvlJc w:val="left"/>
      <w:pPr>
        <w:ind w:left="400" w:hanging="300"/>
      </w:pPr>
    </w:lvl>
  </w:abstractNum>
  <w:abstractNum w:abstractNumId="77" w15:restartNumberingAfterBreak="0">
    <w:multiLevelType w:val="hybridMultilevel"/>
    <w:lvl w:ilvl="0" w15:tentative="1">
      <w:start w:val="1"/>
      <w:numFmt w:val="decimal"/>
      <w:lvlText w:val="%1."/>
      <w:lvlJc w:val="left"/>
      <w:pPr>
        <w:ind w:left="400" w:hanging="300"/>
      </w:pPr>
    </w:lvl>
  </w:abstractNum>
  <w:abstractNum w:abstractNumId="78" w15:restartNumberingAfterBreak="0">
    <w:multiLevelType w:val="hybridMultilevel"/>
    <w:lvl w:ilvl="0" w15:tentative="1">
      <w:start w:val="1"/>
      <w:numFmt w:val="decimal"/>
      <w:lvlText w:val="%1."/>
      <w:lvlJc w:val="left"/>
      <w:pPr>
        <w:ind w:left="400" w:hanging="300"/>
      </w:pPr>
    </w:lvl>
  </w:abstractNum>
  <w:abstractNum w:abstractNumId="79" w15:restartNumberingAfterBreak="0">
    <w:multiLevelType w:val="hybridMultilevel"/>
    <w:lvl w:ilvl="0" w15:tentative="1">
      <w:start w:val="1"/>
      <w:numFmt w:val="decimal"/>
      <w:lvlText w:val="%1."/>
      <w:lvlJc w:val="left"/>
      <w:pPr>
        <w:ind w:left="400" w:hanging="300"/>
      </w:pPr>
    </w:lvl>
  </w:abstractNum>
  <w:abstractNum w:abstractNumId="80" w15:restartNumberingAfterBreak="0">
    <w:multiLevelType w:val="hybridMultilevel"/>
    <w:lvl w:ilvl="0" w15:tentative="1">
      <w:start w:val="1"/>
      <w:numFmt w:val="decimal"/>
      <w:lvlText w:val="%1."/>
      <w:lvlJc w:val="left"/>
      <w:pPr>
        <w:ind w:left="400" w:hanging="300"/>
      </w:pPr>
    </w:lvl>
  </w:abstractNum>
  <w:abstractNum w:abstractNumId="81" w15:restartNumberingAfterBreak="0">
    <w:multiLevelType w:val="hybridMultilevel"/>
    <w:lvl w:ilvl="0" w15:tentative="1">
      <w:start w:val="1"/>
      <w:numFmt w:val="decimal"/>
      <w:lvlText w:val="%1."/>
      <w:lvlJc w:val="left"/>
      <w:pPr>
        <w:ind w:left="400" w:hanging="300"/>
      </w:pPr>
    </w:lvl>
  </w:abstractNum>
  <w:abstractNum w:abstractNumId="82" w15:restartNumberingAfterBreak="0">
    <w:multiLevelType w:val="hybridMultilevel"/>
    <w:lvl w:ilvl="0" w15:tentative="1">
      <w:start w:val="1"/>
      <w:numFmt w:val="decimal"/>
      <w:lvlText w:val="%1."/>
      <w:lvlJc w:val="left"/>
      <w:pPr>
        <w:ind w:left="400" w:hanging="300"/>
      </w:pPr>
    </w:lvl>
  </w:abstractNum>
  <w:abstractNum w:abstractNumId="83" w15:restartNumberingAfterBreak="0">
    <w:multiLevelType w:val="hybridMultilevel"/>
    <w:lvl w:ilvl="0" w15:tentative="1">
      <w:start w:val="1"/>
      <w:numFmt w:val="decimal"/>
      <w:lvlText w:val="%1."/>
      <w:lvlJc w:val="left"/>
      <w:pPr>
        <w:ind w:left="400" w:hanging="300"/>
      </w:pPr>
    </w:lvl>
  </w:abstractNum>
  <w:abstractNum w:abstractNumId="84" w15:restartNumberingAfterBreak="0">
    <w:multiLevelType w:val="hybridMultilevel"/>
    <w:lvl w:ilvl="0" w15:tentative="1">
      <w:start w:val="1"/>
      <w:numFmt w:val="decimal"/>
      <w:lvlText w:val="%1."/>
      <w:lvlJc w:val="left"/>
      <w:pPr>
        <w:ind w:left="400" w:hanging="300"/>
      </w:pPr>
    </w:lvl>
  </w:abstractNum>
  <w:abstractNum w:abstractNumId="85" w15:restartNumberingAfterBreak="0">
    <w:multiLevelType w:val="hybridMultilevel"/>
    <w:lvl w:ilvl="0" w15:tentative="1">
      <w:start w:val="1"/>
      <w:numFmt w:val="decimal"/>
      <w:lvlText w:val="%1."/>
      <w:lvlJc w:val="left"/>
      <w:pPr>
        <w:ind w:left="400" w:hanging="300"/>
      </w:pPr>
    </w:lvl>
  </w:abstractNum>
  <w:abstractNum w:abstractNumId="86" w15:restartNumberingAfterBreak="0">
    <w:multiLevelType w:val="hybridMultilevel"/>
    <w:lvl w:ilvl="0" w15:tentative="1">
      <w:start w:val="1"/>
      <w:numFmt w:val="decimal"/>
      <w:lvlText w:val="%1."/>
      <w:lvlJc w:val="left"/>
      <w:pPr>
        <w:ind w:left="400" w:hanging="300"/>
      </w:pPr>
    </w:lvl>
  </w:abstractNum>
  <w:abstractNum w:abstractNumId="87" w15:restartNumberingAfterBreak="0">
    <w:multiLevelType w:val="hybridMultilevel"/>
    <w:lvl w:ilvl="0" w15:tentative="1">
      <w:start w:val="1"/>
      <w:numFmt w:val="decimal"/>
      <w:lvlText w:val="%1."/>
      <w:lvlJc w:val="left"/>
      <w:pPr>
        <w:ind w:left="400" w:hanging="300"/>
      </w:pPr>
    </w:lvl>
  </w:abstractNum>
  <w:abstractNum w:abstractNumId="88" w15:restartNumberingAfterBreak="0">
    <w:multiLevelType w:val="hybridMultilevel"/>
    <w:lvl w:ilvl="0" w15:tentative="1">
      <w:start w:val="1"/>
      <w:numFmt w:val="decimal"/>
      <w:lvlText w:val="%1."/>
      <w:lvlJc w:val="left"/>
      <w:pPr>
        <w:ind w:left="400" w:hanging="300"/>
      </w:pPr>
    </w:lvl>
  </w:abstractNum>
  <w:abstractNum w:abstractNumId="89" w15:restartNumberingAfterBreak="0">
    <w:multiLevelType w:val="hybridMultilevel"/>
    <w:lvl w:ilvl="0" w15:tentative="1">
      <w:start w:val="1"/>
      <w:numFmt w:val="decimal"/>
      <w:lvlText w:val="%1."/>
      <w:lvlJc w:val="left"/>
      <w:pPr>
        <w:ind w:left="400" w:hanging="300"/>
      </w:pPr>
    </w:lvl>
  </w:abstractNum>
  <w:abstractNum w:abstractNumId="90" w15:restartNumberingAfterBreak="0">
    <w:multiLevelType w:val="hybridMultilevel"/>
    <w:lvl w:ilvl="0" w15:tentative="1">
      <w:start w:val="1"/>
      <w:numFmt w:val="decimal"/>
      <w:lvlText w:val="%1."/>
      <w:lvlJc w:val="left"/>
      <w:pPr>
        <w:ind w:left="400" w:hanging="300"/>
      </w:pPr>
    </w:lvl>
  </w:abstractNum>
  <w:abstractNum w:abstractNumId="91" w15:restartNumberingAfterBreak="0">
    <w:multiLevelType w:val="hybridMultilevel"/>
    <w:lvl w:ilvl="0" w15:tentative="1">
      <w:start w:val="1"/>
      <w:numFmt w:val="decimal"/>
      <w:lvlText w:val="%1."/>
      <w:lvlJc w:val="left"/>
      <w:pPr>
        <w:ind w:left="400" w:hanging="300"/>
      </w:pPr>
    </w:lvl>
  </w:abstractNum>
  <w:abstractNum w:abstractNumId="92" w15:restartNumberingAfterBreak="0">
    <w:multiLevelType w:val="hybridMultilevel"/>
    <w:lvl w:ilvl="0" w15:tentative="1">
      <w:start w:val="1"/>
      <w:numFmt w:val="decimal"/>
      <w:lvlText w:val="%1."/>
      <w:lvlJc w:val="left"/>
      <w:pPr>
        <w:ind w:left="400" w:hanging="300"/>
      </w:pPr>
    </w:lvl>
  </w:abstractNum>
  <w:abstractNum w:abstractNumId="93" w15:restartNumberingAfterBreak="0">
    <w:multiLevelType w:val="hybridMultilevel"/>
    <w:lvl w:ilvl="0" w15:tentative="1">
      <w:start w:val="1"/>
      <w:numFmt w:val="decimal"/>
      <w:lvlText w:val="%1."/>
      <w:lvlJc w:val="left"/>
      <w:pPr>
        <w:ind w:left="400" w:hanging="300"/>
      </w:pPr>
    </w:lvl>
  </w:abstractNum>
  <w:abstractNum w:abstractNumId="94" w15:restartNumberingAfterBreak="0">
    <w:multiLevelType w:val="hybridMultilevel"/>
    <w:lvl w:ilvl="0" w15:tentative="1">
      <w:start w:val="1"/>
      <w:numFmt w:val="decimal"/>
      <w:lvlText w:val="%1."/>
      <w:lvlJc w:val="left"/>
      <w:pPr>
        <w:ind w:left="400" w:hanging="300"/>
      </w:pPr>
    </w:lvl>
  </w:abstractNum>
  <w:abstractNum w:abstractNumId="95" w15:restartNumberingAfterBreak="0">
    <w:multiLevelType w:val="hybridMultilevel"/>
    <w:lvl w:ilvl="0" w15:tentative="1">
      <w:start w:val="1"/>
      <w:numFmt w:val="decimal"/>
      <w:lvlText w:val="%1."/>
      <w:lvlJc w:val="left"/>
      <w:pPr>
        <w:ind w:left="400" w:hanging="300"/>
      </w:pPr>
    </w:lvl>
  </w:abstractNum>
  <w:abstractNum w:abstractNumId="96" w15:restartNumberingAfterBreak="0">
    <w:multiLevelType w:val="hybridMultilevel"/>
    <w:lvl w:ilvl="0" w15:tentative="1">
      <w:start w:val="1"/>
      <w:numFmt w:val="decimal"/>
      <w:lvlText w:val="%1."/>
      <w:lvlJc w:val="left"/>
      <w:pPr>
        <w:ind w:left="400" w:hanging="300"/>
      </w:pPr>
    </w:lvl>
  </w:abstractNum>
  <w:abstractNum w:abstractNumId="97" w15:restartNumberingAfterBreak="0">
    <w:multiLevelType w:val="hybridMultilevel"/>
    <w:lvl w:ilvl="0" w15:tentative="1">
      <w:start w:val="1"/>
      <w:numFmt w:val="decimal"/>
      <w:lvlText w:val="%1."/>
      <w:lvlJc w:val="left"/>
      <w:pPr>
        <w:ind w:left="400" w:hanging="300"/>
      </w:pPr>
    </w:lvl>
  </w:abstractNum>
  <w:abstractNum w:abstractNumId="98" w15:restartNumberingAfterBreak="0">
    <w:multiLevelType w:val="hybridMultilevel"/>
    <w:lvl w:ilvl="0" w15:tentative="1">
      <w:start w:val="1"/>
      <w:numFmt w:val="decimal"/>
      <w:lvlText w:val="%1."/>
      <w:lvlJc w:val="left"/>
      <w:pPr>
        <w:ind w:left="400" w:hanging="300"/>
      </w:pPr>
    </w:lvl>
  </w:abstractNum>
  <w:abstractNum w:abstractNumId="99" w15:restartNumberingAfterBreak="0">
    <w:multiLevelType w:val="hybridMultilevel"/>
    <w:lvl w:ilvl="0" w15:tentative="1">
      <w:start w:val="1"/>
      <w:numFmt w:val="decimal"/>
      <w:lvlText w:val="%1."/>
      <w:lvlJc w:val="left"/>
      <w:pPr>
        <w:ind w:left="400" w:hanging="300"/>
      </w:pPr>
    </w:lvl>
  </w:abstractNum>
  <w:abstractNum w:abstractNumId="100" w15:restartNumberingAfterBreak="0">
    <w:multiLevelType w:val="hybridMultilevel"/>
    <w:lvl w:ilvl="0" w15:tentative="1">
      <w:start w:val="1"/>
      <w:numFmt w:val="decimal"/>
      <w:lvlText w:val="%1."/>
      <w:lvlJc w:val="left"/>
      <w:pPr>
        <w:ind w:left="400" w:hanging="300"/>
      </w:pPr>
    </w:lvl>
  </w:abstractNum>
  <w:abstractNum w:abstractNumId="101" w15:restartNumberingAfterBreak="0">
    <w:multiLevelType w:val="hybridMultilevel"/>
    <w:lvl w:ilvl="0" w15:tentative="1">
      <w:start w:val="1"/>
      <w:numFmt w:val="decimal"/>
      <w:lvlText w:val="%1."/>
      <w:lvlJc w:val="left"/>
      <w:pPr>
        <w:ind w:left="400" w:hanging="300"/>
      </w:pPr>
    </w:lvl>
  </w:abstractNum>
  <w:abstractNum w:abstractNumId="102" w15:restartNumberingAfterBreak="0">
    <w:multiLevelType w:val="hybridMultilevel"/>
    <w:lvl w:ilvl="0" w15:tentative="1">
      <w:start w:val="1"/>
      <w:numFmt w:val="decimal"/>
      <w:lvlText w:val="%1."/>
      <w:lvlJc w:val="left"/>
      <w:pPr>
        <w:ind w:left="400" w:hanging="300"/>
      </w:pPr>
    </w:lvl>
  </w:abstractNum>
  <w:abstractNum w:abstractNumId="103" w15:restartNumberingAfterBreak="0">
    <w:multiLevelType w:val="hybridMultilevel"/>
    <w:lvl w:ilvl="0" w15:tentative="1">
      <w:start w:val="1"/>
      <w:numFmt w:val="decimal"/>
      <w:lvlText w:val="%1."/>
      <w:lvlJc w:val="left"/>
      <w:pPr>
        <w:ind w:left="400" w:hanging="300"/>
      </w:pPr>
    </w:lvl>
  </w:abstractNum>
  <w:abstractNum w:abstractNumId="104" w15:restartNumberingAfterBreak="0">
    <w:multiLevelType w:val="hybridMultilevel"/>
    <w:lvl w:ilvl="0" w15:tentative="1">
      <w:start w:val="1"/>
      <w:numFmt w:val="decimal"/>
      <w:lvlText w:val="%1."/>
      <w:lvlJc w:val="left"/>
      <w:pPr>
        <w:ind w:left="400" w:hanging="300"/>
      </w:pPr>
    </w:lvl>
  </w:abstractNum>
  <w:abstractNum w:abstractNumId="105" w15:restartNumberingAfterBreak="0">
    <w:multiLevelType w:val="hybridMultilevel"/>
    <w:lvl w:ilvl="0" w15:tentative="1">
      <w:start w:val="1"/>
      <w:numFmt w:val="decimal"/>
      <w:lvlText w:val="%1."/>
      <w:lvlJc w:val="left"/>
      <w:pPr>
        <w:ind w:left="400" w:hanging="300"/>
      </w:pPr>
    </w:lvl>
  </w:abstractNum>
  <w:abstractNum w:abstractNumId="106" w15:restartNumberingAfterBreak="0">
    <w:multiLevelType w:val="hybridMultilevel"/>
    <w:lvl w:ilvl="0" w15:tentative="1">
      <w:start w:val="1"/>
      <w:numFmt w:val="decimal"/>
      <w:lvlText w:val="%1."/>
      <w:lvlJc w:val="left"/>
      <w:pPr>
        <w:ind w:left="400" w:hanging="300"/>
      </w:pPr>
    </w:lvl>
  </w:abstractNum>
  <w:abstractNum w:abstractNumId="107" w15:restartNumberingAfterBreak="0">
    <w:multiLevelType w:val="hybridMultilevel"/>
    <w:lvl w:ilvl="0" w15:tentative="1">
      <w:start w:val="1"/>
      <w:numFmt w:val="decimal"/>
      <w:lvlText w:val="%1."/>
      <w:lvlJc w:val="left"/>
      <w:pPr>
        <w:ind w:left="400" w:hanging="300"/>
      </w:pPr>
    </w:lvl>
  </w:abstractNum>
  <w:abstractNum w:abstractNumId="108" w15:restartNumberingAfterBreak="0">
    <w:multiLevelType w:val="hybridMultilevel"/>
    <w:lvl w:ilvl="0" w15:tentative="1">
      <w:start w:val="1"/>
      <w:numFmt w:val="decimal"/>
      <w:lvlText w:val="%1."/>
      <w:lvlJc w:val="left"/>
      <w:pPr>
        <w:ind w:left="400" w:hanging="300"/>
      </w:pPr>
    </w:lvl>
  </w:abstractNum>
  <w:abstractNum w:abstractNumId="109" w15:restartNumberingAfterBreak="0">
    <w:multiLevelType w:val="hybridMultilevel"/>
    <w:lvl w:ilvl="0" w15:tentative="1">
      <w:start w:val="1"/>
      <w:numFmt w:val="decimal"/>
      <w:lvlText w:val="%1."/>
      <w:lvlJc w:val="left"/>
      <w:pPr>
        <w:ind w:left="400" w:hanging="300"/>
      </w:pPr>
    </w:lvl>
  </w:abstractNum>
  <w:abstractNum w:abstractNumId="110" w15:restartNumberingAfterBreak="0">
    <w:multiLevelType w:val="hybridMultilevel"/>
    <w:lvl w:ilvl="0" w15:tentative="1">
      <w:start w:val="1"/>
      <w:numFmt w:val="decimal"/>
      <w:lvlText w:val="%1."/>
      <w:lvlJc w:val="left"/>
      <w:pPr>
        <w:ind w:left="400" w:hanging="300"/>
      </w:pPr>
    </w:lvl>
  </w:abstractNum>
  <w:abstractNum w:abstractNumId="111" w15:restartNumberingAfterBreak="0">
    <w:multiLevelType w:val="hybridMultilevel"/>
    <w:lvl w:ilvl="0" w15:tentative="1">
      <w:start w:val="1"/>
      <w:numFmt w:val="decimal"/>
      <w:lvlText w:val="%1."/>
      <w:lvlJc w:val="left"/>
      <w:pPr>
        <w:ind w:left="400" w:hanging="300"/>
      </w:pPr>
    </w:lvl>
  </w:abstractNum>
  <w:abstractNum w:abstractNumId="112" w15:restartNumberingAfterBreak="0">
    <w:multiLevelType w:val="hybridMultilevel"/>
    <w:lvl w:ilvl="0" w15:tentative="1">
      <w:start w:val="1"/>
      <w:numFmt w:val="decimal"/>
      <w:lvlText w:val="%1."/>
      <w:lvlJc w:val="left"/>
      <w:pPr>
        <w:ind w:left="400" w:hanging="300"/>
      </w:pPr>
    </w:lvl>
  </w:abstractNum>
  <w:abstractNum w:abstractNumId="113" w15:restartNumberingAfterBreak="0">
    <w:multiLevelType w:val="hybridMultilevel"/>
    <w:lvl w:ilvl="0" w15:tentative="1">
      <w:start w:val="1"/>
      <w:numFmt w:val="decimal"/>
      <w:lvlText w:val="%1."/>
      <w:lvlJc w:val="left"/>
      <w:pPr>
        <w:ind w:left="400" w:hanging="300"/>
      </w:pPr>
    </w:lvl>
  </w:abstractNum>
  <w:abstractNum w:abstractNumId="114" w15:restartNumberingAfterBreak="0">
    <w:multiLevelType w:val="hybridMultilevel"/>
    <w:lvl w:ilvl="0" w15:tentative="1">
      <w:start w:val="1"/>
      <w:numFmt w:val="decimal"/>
      <w:lvlText w:val="%1."/>
      <w:lvlJc w:val="left"/>
      <w:pPr>
        <w:ind w:left="400" w:hanging="300"/>
      </w:pPr>
    </w:lvl>
  </w:abstractNum>
  <w:abstractNum w:abstractNumId="115" w15:restartNumberingAfterBreak="0">
    <w:multiLevelType w:val="hybridMultilevel"/>
    <w:lvl w:ilvl="0" w15:tentative="1">
      <w:start w:val="1"/>
      <w:numFmt w:val="decimal"/>
      <w:lvlText w:val="%1."/>
      <w:lvlJc w:val="left"/>
      <w:pPr>
        <w:ind w:left="400" w:hanging="300"/>
      </w:pPr>
    </w:lvl>
  </w:abstractNum>
  <w:abstractNum w:abstractNumId="116" w15:restartNumberingAfterBreak="0">
    <w:multiLevelType w:val="hybridMultilevel"/>
    <w:lvl w:ilvl="0" w15:tentative="1">
      <w:start w:val="1"/>
      <w:numFmt w:val="decimal"/>
      <w:lvlText w:val="%1."/>
      <w:lvlJc w:val="left"/>
      <w:pPr>
        <w:ind w:left="400" w:hanging="300"/>
      </w:pPr>
    </w:lvl>
  </w:abstractNum>
  <w:abstractNum w:abstractNumId="117" w15:restartNumberingAfterBreak="0">
    <w:multiLevelType w:val="hybridMultilevel"/>
    <w:lvl w:ilvl="0" w15:tentative="1">
      <w:start w:val="1"/>
      <w:numFmt w:val="decimal"/>
      <w:lvlText w:val="%1."/>
      <w:lvlJc w:val="left"/>
      <w:pPr>
        <w:ind w:left="400" w:hanging="300"/>
      </w:pPr>
    </w:lvl>
  </w:abstractNum>
  <w:abstractNum w:abstractNumId="118" w15:restartNumberingAfterBreak="0">
    <w:multiLevelType w:val="hybridMultilevel"/>
    <w:lvl w:ilvl="0" w15:tentative="1">
      <w:start w:val="1"/>
      <w:numFmt w:val="decimal"/>
      <w:lvlText w:val="%1."/>
      <w:lvlJc w:val="left"/>
      <w:pPr>
        <w:ind w:left="400" w:hanging="300"/>
      </w:pPr>
    </w:lvl>
  </w:abstractNum>
  <w:abstractNum w:abstractNumId="119" w15:restartNumberingAfterBreak="0">
    <w:multiLevelType w:val="hybridMultilevel"/>
    <w:lvl w:ilvl="0" w15:tentative="1">
      <w:start w:val="1"/>
      <w:numFmt w:val="decimal"/>
      <w:lvlText w:val="%1."/>
      <w:lvlJc w:val="left"/>
      <w:pPr>
        <w:ind w:left="400" w:hanging="300"/>
      </w:pPr>
    </w:lvl>
  </w:abstractNum>
  <w:abstractNum w:abstractNumId="120" w15:restartNumberingAfterBreak="0">
    <w:multiLevelType w:val="hybridMultilevel"/>
    <w:lvl w:ilvl="0" w15:tentative="1">
      <w:start w:val="1"/>
      <w:numFmt w:val="decimal"/>
      <w:lvlText w:val="%1."/>
      <w:lvlJc w:val="left"/>
      <w:pPr>
        <w:ind w:left="400" w:hanging="300"/>
      </w:pPr>
    </w:lvl>
  </w:abstractNum>
  <w:abstractNum w:abstractNumId="121" w15:restartNumberingAfterBreak="0">
    <w:multiLevelType w:val="hybridMultilevel"/>
    <w:lvl w:ilvl="0" w15:tentative="1">
      <w:start w:val="1"/>
      <w:numFmt w:val="decimal"/>
      <w:lvlText w:val="%1."/>
      <w:lvlJc w:val="left"/>
      <w:pPr>
        <w:ind w:left="400" w:hanging="300"/>
      </w:pPr>
    </w:lvl>
  </w:abstractNum>
  <w:abstractNum w:abstractNumId="122" w15:restartNumberingAfterBreak="0">
    <w:multiLevelType w:val="hybridMultilevel"/>
    <w:lvl w:ilvl="0" w15:tentative="1">
      <w:start w:val="1"/>
      <w:numFmt w:val="decimal"/>
      <w:lvlText w:val="%1."/>
      <w:lvlJc w:val="left"/>
      <w:pPr>
        <w:ind w:left="400" w:hanging="300"/>
      </w:pPr>
    </w:lvl>
  </w:abstractNum>
  <w:abstractNum w:abstractNumId="12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w:cs="IBM Plex Sans" w:eastAsia="IBM Plex Sans" w:hAnsi="IBM Plex Sans"/>
      <w:b/>
      <w:bCs/>
      <w:color w:val="1B2A4A"/>
      <w:sz w:val="34"/>
      <w:szCs w:val="34"/>
    </w:rPr>
  </w:style>
  <w:style w:type="paragraph" w:styleId="Heading2">
    <w:name w:val="Heading 2"/>
    <w:basedOn w:val="Normal"/>
    <w:next w:val="Normal"/>
    <w:qFormat/>
    <w:pPr>
      <w:outlineLvl w:val="1"/>
    </w:pPr>
    <w:rPr>
      <w:rFonts w:ascii="IBM Plex Sans" w:cs="IBM Plex Sans" w:eastAsia="IBM Plex Sans" w:hAnsi="IBM Plex Sans"/>
      <w:b/>
      <w:bCs/>
      <w:color w:val="1B2A4A"/>
      <w:sz w:val="26"/>
      <w:szCs w:val="26"/>
    </w:rPr>
  </w:style>
  <w:style w:type="paragraph" w:styleId="Heading3">
    <w:name w:val="Heading 3"/>
    <w:basedOn w:val="Normal"/>
    <w:next w:val="Normal"/>
    <w:qFormat/>
    <w:pPr>
      <w:outlineLvl w:val="2"/>
    </w:pPr>
    <w:rPr>
      <w:rFonts w:ascii="IBM Plex Sans" w:cs="IBM Plex Sans" w:eastAsia="IBM Plex Sans" w:hAnsi="IBM Plex Sans"/>
      <w:b/>
      <w:bCs/>
      <w:color w:val="E864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ICEGATE Suite UI Mock — Design &amp; Build Review v1.0</dc:title>
  <dc:creator>VoltusFreight</dc:creator>
  <cp:lastModifiedBy>Un-named</cp:lastModifiedBy>
  <cp:revision>1</cp:revision>
  <dcterms:created xsi:type="dcterms:W3CDTF">2026-09-19T10:47:59.851Z</dcterms:created>
  <dcterms:modified xsi:type="dcterms:W3CDTF">2026-09-19T10:47:59.851Z</dcterms:modified>
</cp:coreProperties>
</file>

<file path=docProps/custom.xml><?xml version="1.0" encoding="utf-8"?>
<Properties xmlns="http://schemas.openxmlformats.org/officeDocument/2006/custom-properties" xmlns:vt="http://schemas.openxmlformats.org/officeDocument/2006/docPropsVTypes"/>
</file>