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pStyle w:val="Title"/>
      </w:pPr>
      <w:r>
        <w:t xml:space="preserve">SATIP – SAP Cloud ALM</w:t>
      </w:r>
    </w:p>
    <w:p>
      <w:pPr>
        <w:pStyle w:val="Title"/>
      </w:pPr>
      <w:r>
        <w:t xml:space="preserve">Integration Data Cluster</w:t>
      </w:r>
    </w:p>
    <w:p>
      <w:pPr>
        <w:spacing w:after="60" w:before="120"/>
      </w:pPr>
      <w:r>
        <w:rPr>
          <w:color w:val="555555"/>
          <w:sz w:val="26"/>
          <w:szCs w:val="26"/>
        </w:rPr>
        <w:t xml:space="preserve">Schema design — tip_calm_* tables for TIP_Platform_dev</w:t>
      </w:r>
    </w:p>
    <w:p>
      <w:pPr>
        <w:spacing w:before="600"/>
      </w:pPr>
      <w:r>
        <w:rPr>
          <w:b/>
          <w:bCs/>
          <w:sz w:val="22"/>
          <w:szCs w:val="22"/>
        </w:rPr>
        <w:t xml:space="preserve">VoltusWave Technologies</w:t>
      </w:r>
    </w:p>
    <w:p>
      <w:r>
        <w:rPr>
          <w:color w:val="777777"/>
          <w:sz w:val="20"/>
          <w:szCs w:val="20"/>
        </w:rPr>
        <w:t xml:space="preserve">Confidential — Engineering Design Document</w:t>
      </w:r>
    </w:p>
    <w:p>
      <w:r>
        <w:br w:type="page"/>
      </w:r>
    </w:p>
    <w:p>
      <w:pPr>
        <w:pStyle w:val="Heading1"/>
      </w:pPr>
      <w:r>
        <w:t xml:space="preserve">1. Purpose &amp; scope</w:t>
      </w:r>
    </w:p>
    <w:p>
      <w:pPr>
        <w:spacing w:after="140"/>
      </w:pPr>
      <w:r>
        <w:t xml:space="preserve">This document specifies the data cluster that connects SATIP to SAP Cloud ALM (CALM). It is designed to slot into the existing TIP_Platform_dev schema, matching its established conventions exactly so the new tables sit naturally alongside the ~130 tip_* tables already in place.</w:t>
      </w:r>
    </w:p>
    <w:p>
      <w:pPr>
        <w:spacing w:after="140"/>
      </w:pPr>
      <w:r>
        <w:t xml:space="preserve">The cluster captures three things the existing schema does not yet model: (1) CALM tenant/connection configuration including the outbound OAuth client reference and the inbound provider-endpoint registration; (2) the binding and reconciliation layer that maps SATIP test artifacts to CALM entities via a canonical key and lifecycle state; and (3) result/defect projection plus a transactional outbox for the Phase 2 outbound path.</w:t>
      </w:r>
    </w:p>
    <w:p>
      <w:pPr>
        <w:spacing w:after="140"/>
      </w:pPr>
      <w:r>
        <w:t xml:space="preserve">Design stance, carried from the integration architecture: CALM remains the authoritative system of record for traceability and compliance. SATIP enriches CALM; it never forks it. Accordingly these tables track projection and sync STATE rather than re-owning CALM's data. The provider-side test-automation API is inbound (CALM calls SATIP); results flow back to CALM by executionhistory pull, so the projection tables record what was exposed and its acknowledgement state, not a second copy of the verdict CALM stores.</w:t>
      </w:r>
    </w:p>
    <w:p>
      <w:pPr>
        <w:pStyle w:val="Heading1"/>
      </w:pPr>
      <w:r>
        <w:t xml:space="preserve">2. Conventions matched</w:t>
      </w:r>
    </w:p>
    <w:p>
      <w:pPr>
        <w:spacing w:after="140"/>
      </w:pPr>
      <w:r>
        <w:t xml:space="preserve">Every table follows the conventions confirmed directly from the live core tables (tip_test_case, tip_test_case_execution, tip_test_run, tip_defect, tip_sap_system, tip_tenant_config):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Primary key: char(36) UUID named &lt;table&gt;_id.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Tenancy triple on every table: account_id char(36) NOT NULL, workspace_id char(36) NOT NULL, control_unit_id char(36) NULL.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quad: created_by, created_at, updated_by, updated_at (CURRENT_TIMESTAMP defaults; updated_at ON UPDATE).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Soft-delete triple on lifecycle tables: deleted_at, deleted_by, delete_reason_id.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Lookups as _master tables with tinyint PK; junctions as _xref; flexible payloads as json columns; paired varchar status + *_id tinyint where applicable.</w:t>
      </w:r>
    </w:p>
    <w:p>
      <w:pPr>
        <w:pStyle w:val="Heading1"/>
      </w:pPr>
      <w:r>
        <w:t xml:space="preserve">3. Cluster overview</w:t>
      </w:r>
    </w:p>
    <w:p>
      <w:pPr>
        <w:spacing w:after="140"/>
      </w:pPr>
      <w:r>
        <w:t xml:space="preserve">Nineteen tables: eight master lookups, two configuration tables, one CALM-entity reference cache, two binding tables, three projection tables, one transactional outbox, one sync log, and one versioned field-mapping table.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777777"/>
          <w:sz w:val="18"/>
          <w:szCs w:val="18"/>
        </w:rPr>
        <w:t xml:space="preserve">Figure 1 — CALM cluster and its bindings into existing tip_* tables</w:t>
      </w:r>
    </w:p>
    <w:p>
      <w:pPr>
        <w:pStyle w:val="Heading1"/>
      </w:pPr>
      <w:r>
        <w:t xml:space="preserve">4. Table-by-table</w:t>
      </w:r>
    </w:p>
    <w:p>
      <w:pPr>
        <w:pStyle w:val="Heading2"/>
      </w:pPr>
      <w:r>
        <w:t xml:space="preserve">4.1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26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26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tip_calm_tenant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One row per registered CALM tenant. Holds CALM host/region/API base, the inbound provider endpoint registered in CALM LMS, and the outbound OAuth client (id + secret reference + scopes). Secrets stored by reference only.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tip_calm_project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CALM projects under a tenant; caches CALM project global id and optional link to a SATIP migration.</w:t>
            </w:r>
          </w:p>
        </w:tc>
      </w:tr>
    </w:tbl>
    <w:p>
      <w:pPr>
        <w:pStyle w:val="Heading2"/>
      </w:pPr>
      <w:r>
        <w:t xml:space="preserve">4.2 Entity reference cache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26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26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tip_calm_entity_ref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internal handle for any CALM-side entity SATIP references (Process, Requirement, Feature, CALM Test Case, Test Plan, Defect). Bindings and projections FK here instead of scattering raw CALM ids.</w:t>
            </w:r>
          </w:p>
        </w:tc>
      </w:tr>
    </w:tbl>
    <w:p>
      <w:pPr>
        <w:pStyle w:val="Heading2"/>
      </w:pPr>
      <w:r>
        <w:t xml:space="preserve">4.3 Binding / reconciliation</w:t>
      </w:r>
    </w:p>
    <w:p>
      <w:pPr>
        <w:spacing w:after="140"/>
      </w:pPr>
      <w:r>
        <w:t xml:space="preserve">The vocabulary bridge is explicit: a CALM “Test Case” corresponds to a SATIP test scenario, and a CALM “Test Step” corresponds to a SATIP test case. Two binding tables capture both levels.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26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26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tip_calm_scenario_binding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Binds tip_test_scenario to a CALM Test Case. Carries canonical_key = hash(project, scope, processGlobalId, surface-signature), binding state (PRE_GENERATED → CALM_REQUESTED → BOUND → READY, plus STALE/RETIRED), match method, scope linkage (bp_scope_item, business_process, CALM process/requirement refs), and the is_write_back_enabled gate.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tip_calm_case_binding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Binds tip_test_case to a CALM Test Step under a scenario binding. test_case_id is preserved across regeneration so CALM history stays continuous.</w:t>
            </w:r>
          </w:p>
        </w:tc>
      </w:tr>
    </w:tbl>
    <w:p>
      <w:pPr>
        <w:pStyle w:val="Heading2"/>
      </w:pPr>
      <w:r>
        <w:t xml:space="preserve">4.4 Projection / sync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26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26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tip_calm_run_projection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 (run, tenant): what SATIP exposed for a test run and the CALM pull/ack state, including the CALM-issued execute job id and last executionhistory pull served.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tip_calm_execution_projection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 (execution, tenant): the unit CALM consumes as a result. Maps a SATIP execution to its scenario binding with a mapped CALM verdict and evidence references.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tip_calm_defect_projection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 (defect, tenant): maps a tip_defect to a CALM defect entity (Phase 2).</w:t>
            </w:r>
          </w:p>
        </w:tc>
      </w:tr>
    </w:tbl>
    <w:p>
      <w:pPr>
        <w:pStyle w:val="Heading2"/>
      </w:pPr>
      <w:r>
        <w:t xml:space="preserve">4.5 Outbox &amp; observability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26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26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tip_calm_outbox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Transactional outbox. Each intended outbound CALM mutation is written in the same DB transaction as the domain change, with an idempotency key (e.g. satip-def-{runId}), then dispatched by a worker with backoff. Poll index on (outbox_state_id, next_attempt_at).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tip_calm_sync_log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Append-only history of every CALM interaction (inbound served + outbound sent) for diagnostics, audit, and replay. Not the source of truth for state.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tip_calm_field_mapping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Versioned, declarative CALM↔SATIP attribute map referenced by bindings, so mapping can evolve without code changes.</w:t>
            </w:r>
          </w:p>
        </w:tc>
      </w:tr>
    </w:tbl>
    <w:p>
      <w:pPr>
        <w:pStyle w:val="Heading1"/>
      </w:pPr>
      <w:r>
        <w:t xml:space="preserve">5. Master tables (seed values)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26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Master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26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entity_kind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PROCESS, REQUIREMENT, FEATURE, USER_STORY, TEST_CASE, TEST_STEP, TEST_PLAN, DEFECT, SCOPE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sync_direction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INBOUND, OUTBOUND, BIDIRECTIONAL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binding_state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PRE_GENERATED, CALM_REQUESTED, BOUND, READY, STALE, RETIRED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sync_state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PENDING, IN_PROGRESS, SUCCEEDED, FAILED, SKIPPED, DEAD_LETTER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outbox_state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NEW, CLAIMED, DISPATCHED, CONFIRMED, FAILED, DEAD_LETTER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operation_kind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RAISE_DEFECT, UPDATE_DEFECT, UPDATE_REQUIREMENT_STATUS, ATTACH_EVIDENCE, UPDATE_TASK_STATUS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auth_grant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CLIENT_CREDENTIALS, AUTH_CODE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match_method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CANONICAL_KEY, CALM_ID, MANUAL, HEURISTIC</w:t>
            </w:r>
          </w:p>
        </w:tc>
      </w:tr>
    </w:tbl>
    <w:p>
      <w:pPr>
        <w:pStyle w:val="Heading1"/>
      </w:pPr>
      <w:r>
        <w:t xml:space="preserve">6. Foreign keys into existing tables</w:t>
      </w:r>
    </w:p>
    <w:p>
      <w:pPr>
        <w:spacing w:after="140"/>
      </w:pPr>
      <w:r>
        <w:t xml:space="preserve">All FK targets were verified against the live schema; column types match exactly.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26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CALM column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26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References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tip_calm_tenant.sap_system_id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tip_sap_system.sap_system_id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tip_calm_project.migration_id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tip_migration.migration_id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tip_calm_scenario_binding.test_scenario_id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tip_test_scenario.test_scenario_id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tip_calm_scenario_binding.bp_scope_item_id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tip_bp_scope_item.bp_scope_item_id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tip_calm_scenario_binding.business_process_id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tip_business_process_master.business_process_id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tip_calm_case_binding.test_case_id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tip_test_case.test_case_id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tip_calm_run_projection.run_id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tip_test_run.run_id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tip_calm_execution_projection.execution_id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tip_test_case_execution.execution_id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tip_calm_defect_projection.defect_id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tip_defect.defect_id</w:t>
            </w:r>
          </w:p>
        </w:tc>
      </w:tr>
    </w:tbl>
    <w:p>
      <w:pPr>
        <w:pStyle w:val="Heading1"/>
      </w:pPr>
      <w:r>
        <w:t xml:space="preserve">7. Operational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Secrets: oauth_client_secret_ref and inbound_auth_secret_ref hold a handle into the secret manager, never the secret itself — consistent with not storing credentials in plaintext.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Write-back gate: only bindings in BOUND/READY with is_write_back_enabled = 1 should project to CALM; SATIP retains all runs, but only bound-case runs are exposed.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Idempotency: the outbox unique key (calm_tenant_id, operation_kind_id, idempotency_key) guarantees at-least-once dispatch without duplicates.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Soft-delete-aware uniqueness: unique keys include deleted_at so a soft-deleted row does not block a new active binding; this is deliberate MySQL NULL-distinct behavior.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Apply order: master tables first (Section 1), then config, entity_ref, bindings, projections, outbox, log, field_mapping — the file is already ordered this way and seeds masters at the 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MCP connection is read-only; this DDL is delivered as a migration file for the team to apply.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60"/>
      <w:outlineLvl w:val="0"/>
    </w:pPr>
    <w:rPr>
      <w:rFonts w:ascii="Arial" w:cs="Arial" w:eastAsia="Arial" w:hAnsi="Arial"/>
      <w:b/>
      <w:bCs/>
      <w:color w:val="E7262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22222"/>
      <w:sz w:val="24"/>
      <w:szCs w:val="24"/>
    </w:rPr>
  </w:style>
  <w:style w:type="paragraph" w:styleId="Title">
    <w:name w:val="Title"/>
    <w:basedOn w:val="Normal"/>
    <w:next w:val="Normal"/>
    <w:pPr>
      <w:spacing w:after="120"/>
    </w:pPr>
    <w:rPr>
      <w:rFonts w:ascii="Arial" w:cs="Arial" w:eastAsia="Arial" w:hAnsi="Arial"/>
      <w:b/>
      <w:bCs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29451ffbaf80c54d76f678dc1f649eb511b683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2026-06-02T08:55:10.083Z</dcterms:created>
  <dcterms:modified xsi:type="dcterms:W3CDTF">2026-06-02T08:55:10.083Z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