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1E3A5F"/>
          <w:sz w:val="52"/>
          <w:szCs w:val="52"/>
        </w:rPr>
        <w:t xml:space="preserve">VoltusFreight WMS</w:t>
      </w:r>
    </w:p>
    <w:p>
      <w:pPr>
        <w:pBdr>
          <w:bottom w:val="single" w:color="F7941D" w:sz="24" w:space="8"/>
        </w:pBdr>
        <w:spacing w:after="200"/>
      </w:pPr>
      <w:r>
        <w:rPr>
          <w:rFonts w:ascii="Calibri" w:cs="Calibri" w:eastAsia="Calibri" w:hAnsi="Calibri"/>
          <w:color w:val="F7941D"/>
          <w:sz w:val="26"/>
          <w:szCs w:val="26"/>
        </w:rPr>
        <w:t xml:space="preserve">Mock Review &amp; Correction Guide — v2 Prototype</w:t>
      </w:r>
    </w:p>
    <w:p>
      <w:pPr>
        <w:spacing w:after="200"/>
      </w:pPr>
      <w:r>
        <w:rPr>
          <w:sz w:val="4"/>
          <w:szCs w:val="4"/>
        </w:rPr>
        <w:t xml:space="preserve"/>
      </w:r>
    </w:p>
    <w:p>
      <w:pPr>
        <w:spacing w:after="40"/>
      </w:pPr>
      <w:r>
        <w:rPr>
          <w:rFonts w:ascii="Calibri" w:cs="Calibri" w:eastAsia="Calibri" w:hAnsi="Calibri"/>
          <w:b/>
          <w:bCs/>
          <w:color w:val="1E3A5F"/>
          <w:sz w:val="20"/>
          <w:szCs w:val="20"/>
        </w:rPr>
        <w:t xml:space="preserve">Document ID:  </w:t>
      </w:r>
      <w:r>
        <w:rPr>
          <w:rFonts w:ascii="Calibri" w:cs="Calibri" w:eastAsia="Calibri" w:hAnsi="Calibri"/>
          <w:color w:val="333333"/>
          <w:sz w:val="20"/>
          <w:szCs w:val="20"/>
        </w:rPr>
        <w:t xml:space="preserve">VF-REV-WMS-001</w:t>
      </w:r>
    </w:p>
    <w:p>
      <w:pPr>
        <w:spacing w:after="40"/>
      </w:pPr>
      <w:r>
        <w:rPr>
          <w:rFonts w:ascii="Calibri" w:cs="Calibri" w:eastAsia="Calibri" w:hAnsi="Calibri"/>
          <w:b/>
          <w:bCs/>
          <w:color w:val="1E3A5F"/>
          <w:sz w:val="20"/>
          <w:szCs w:val="20"/>
        </w:rPr>
        <w:t xml:space="preserve">Reviewed build:  </w:t>
      </w:r>
      <w:r>
        <w:rPr>
          <w:rFonts w:ascii="Calibri" w:cs="Calibri" w:eastAsia="Calibri" w:hAnsi="Calibri"/>
          <w:color w:val="333333"/>
          <w:sz w:val="20"/>
          <w:szCs w:val="20"/>
        </w:rPr>
        <w:t xml:space="preserve">https://wms-three-zeta.vercel.app</w:t>
      </w:r>
    </w:p>
    <w:p>
      <w:pPr>
        <w:spacing w:after="40"/>
      </w:pPr>
      <w:r>
        <w:rPr>
          <w:rFonts w:ascii="Calibri" w:cs="Calibri" w:eastAsia="Calibri" w:hAnsi="Calibri"/>
          <w:b/>
          <w:bCs/>
          <w:color w:val="1E3A5F"/>
          <w:sz w:val="20"/>
          <w:szCs w:val="20"/>
        </w:rPr>
        <w:t xml:space="preserve">Reviewed on:  </w:t>
      </w:r>
      <w:r>
        <w:rPr>
          <w:rFonts w:ascii="Calibri" w:cs="Calibri" w:eastAsia="Calibri" w:hAnsi="Calibri"/>
          <w:color w:val="333333"/>
          <w:sz w:val="20"/>
          <w:szCs w:val="20"/>
        </w:rPr>
        <w:t xml:space="preserve">Screens walked: Home, 3PL, LCL Console, LCL Consolidation Planner, Air Handling, Storage-as-a-Service, Customer Portal, Billing, Analytics</w:t>
      </w:r>
    </w:p>
    <w:p>
      <w:pPr>
        <w:spacing w:after="40"/>
      </w:pPr>
      <w:r>
        <w:rPr>
          <w:rFonts w:ascii="Calibri" w:cs="Calibri" w:eastAsia="Calibri" w:hAnsi="Calibri"/>
          <w:b/>
          <w:bCs/>
          <w:color w:val="1E3A5F"/>
          <w:sz w:val="20"/>
          <w:szCs w:val="20"/>
        </w:rPr>
        <w:t xml:space="preserve">Version:  </w:t>
      </w:r>
      <w:r>
        <w:rPr>
          <w:rFonts w:ascii="Calibri" w:cs="Calibri" w:eastAsia="Calibri" w:hAnsi="Calibri"/>
          <w:color w:val="333333"/>
          <w:sz w:val="20"/>
          <w:szCs w:val="20"/>
        </w:rPr>
        <w:t xml:space="preserve">1.0</w:t>
      </w:r>
    </w:p>
    <w:p>
      <w:pPr>
        <w:spacing w:after="40"/>
      </w:pPr>
      <w:r>
        <w:rPr>
          <w:rFonts w:ascii="Calibri" w:cs="Calibri" w:eastAsia="Calibri" w:hAnsi="Calibri"/>
          <w:b/>
          <w:bCs/>
          <w:color w:val="1E3A5F"/>
          <w:sz w:val="20"/>
          <w:szCs w:val="20"/>
        </w:rPr>
        <w:t xml:space="preserve">Purpose:  </w:t>
      </w:r>
      <w:r>
        <w:rPr>
          <w:rFonts w:ascii="Calibri" w:cs="Calibri" w:eastAsia="Calibri" w:hAnsi="Calibri"/>
          <w:color w:val="333333"/>
          <w:sz w:val="20"/>
          <w:szCs w:val="20"/>
        </w:rPr>
        <w:t xml:space="preserve">Structured feedback — what is good, what needs improvement, what is missing, what is wrong — with concrete fixes and copy-paste LLM prompts to correct each item.</w:t>
      </w:r>
    </w:p>
    <w:p>
      <w:pPr>
        <w:spacing w:after="40"/>
      </w:pPr>
      <w:r>
        <w:rPr>
          <w:rFonts w:ascii="Calibri" w:cs="Calibri" w:eastAsia="Calibri" w:hAnsi="Calibri"/>
          <w:b/>
          <w:bCs/>
          <w:color w:val="1E3A5F"/>
          <w:sz w:val="20"/>
          <w:szCs w:val="20"/>
        </w:rPr>
        <w:t xml:space="preserve">Reference PRDs:  </w:t>
      </w:r>
      <w:r>
        <w:rPr>
          <w:rFonts w:ascii="Calibri" w:cs="Calibri" w:eastAsia="Calibri" w:hAnsi="Calibri"/>
          <w:color w:val="333333"/>
          <w:sz w:val="20"/>
          <w:szCs w:val="20"/>
        </w:rPr>
        <w:t xml:space="preserve">VF-PRD-3PL-001, SAAS-001, LCL-001, AIR-001, PORTAL-001, GAP-001</w:t>
      </w:r>
    </w:p>
    <w:p>
      <w:r>
        <w:br w:type="page"/>
      </w:r>
    </w:p>
    <w:p>
      <w:pPr>
        <w:pStyle w:val="Heading1"/>
        <w:spacing w:after="120" w:before="200"/>
      </w:pPr>
      <w:r>
        <w:rPr>
          <w:rFonts w:ascii="Calibri" w:cs="Calibri" w:eastAsia="Calibri" w:hAnsi="Calibri"/>
          <w:b/>
          <w:bCs/>
          <w:color w:val="1E3A5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3A5F" w:sz="12" w:space="6"/>
        </w:pBdr>
        <w:spacing w:after="140" w:before="320"/>
      </w:pPr>
      <w:r>
        <w:rPr>
          <w:rFonts w:ascii="Calibri" w:cs="Calibri" w:eastAsia="Calibri" w:hAnsi="Calibri"/>
          <w:b/>
          <w:bCs/>
          <w:color w:val="1E3A5F"/>
          <w:sz w:val="30"/>
          <w:szCs w:val="30"/>
        </w:rPr>
        <w:t xml:space="preserve">1. Executive Summary</w:t>
      </w:r>
    </w:p>
    <w:p>
      <w:pPr>
        <w:spacing w:after="100" w:line="276"/>
      </w:pPr>
      <w:r>
        <w:rPr>
          <w:rFonts w:ascii="Calibri" w:cs="Calibri" w:eastAsia="Calibri" w:hAnsi="Calibri"/>
          <w:color w:val="2A2A2A"/>
          <w:sz w:val="20"/>
          <w:szCs w:val="20"/>
        </w:rPr>
        <w:t xml:space="preserve">This is a strong second-iteration prototype. The build has clearly absorbed the PRD set: all five new capability areas — 3PL, LCL, Air, Storage-as-a-Service and the Customer Portal — are present as first-class modules, and several screens (the LCL Consolidation Planner, the Air routing split, the Storage-as-a-Service dashboard) are genuinely close to production intent rather than static shells.</w:t>
      </w:r>
    </w:p>
    <w:p>
      <w:pPr>
        <w:spacing w:after="100" w:line="276"/>
      </w:pPr>
      <w:r>
        <w:rPr>
          <w:rFonts w:ascii="Calibri" w:cs="Calibri" w:eastAsia="Calibri" w:hAnsi="Calibri"/>
          <w:color w:val="2A2A2A"/>
          <w:sz w:val="20"/>
          <w:szCs w:val="20"/>
        </w:rPr>
        <w:t xml:space="preserve">The gaps are now less about </w:t>
      </w:r>
      <w:r>
        <w:rPr>
          <w:rFonts w:ascii="Calibri" w:cs="Calibri" w:eastAsia="Calibri" w:hAnsi="Calibri"/>
          <w:i/>
          <w:iCs/>
          <w:color w:val="2A2A2A"/>
          <w:sz w:val="20"/>
          <w:szCs w:val="20"/>
        </w:rPr>
        <w:t xml:space="preserve">missing screens</w:t>
      </w:r>
      <w:r>
        <w:rPr>
          <w:rFonts w:ascii="Calibri" w:cs="Calibri" w:eastAsia="Calibri" w:hAnsi="Calibri"/>
          <w:color w:val="2A2A2A"/>
          <w:sz w:val="20"/>
          <w:szCs w:val="20"/>
        </w:rPr>
        <w:t xml:space="preserve"> and more about </w:t>
      </w:r>
      <w:r>
        <w:rPr>
          <w:rFonts w:ascii="Calibri" w:cs="Calibri" w:eastAsia="Calibri" w:hAnsi="Calibri"/>
          <w:b/>
          <w:bCs/>
          <w:color w:val="2A2A2A"/>
          <w:sz w:val="20"/>
          <w:szCs w:val="20"/>
        </w:rPr>
        <w:t xml:space="preserve">data integrity, workflow depth, and a few PRD-specified behaviours that were simplified away</w:t>
      </w:r>
      <w:r>
        <w:rPr>
          <w:rFonts w:ascii="Calibri" w:cs="Calibri" w:eastAsia="Calibri" w:hAnsi="Calibri"/>
          <w:color w:val="2A2A2A"/>
          <w:sz w:val="20"/>
          <w:szCs w:val="20"/>
        </w:rPr>
        <w:t xml:space="preserve">. The single highest-impact issue is that each screen appears to use its own independent mock dataset, so the same client shows different numbers on different screens. Fixing the shared data layer will make the whole prototype feel coherent and demo-safe.</w:t>
      </w:r>
    </w:p>
    <w:tbl>
      <w:tblPr>
        <w:tblW w:type="dxa" w:w="9360"/>
        <w:tblBorders>
          <w:top w:val="single" w:color="E4E9F0" w:sz="2"/>
          <w:left w:val="single" w:color="1E3A5F" w:sz="30"/>
          <w:bottom w:val="single" w:color="E4E9F0" w:sz="2"/>
          <w:right w:val="single" w:color="E4E9F0" w:sz="2"/>
          <w:insideH w:val="none"/>
          <w:insideV w:val="none"/>
        </w:tblBorders>
      </w:tblPr>
      <w:tblGrid>
        <w:gridCol w:w="9360"/>
      </w:tblGrid>
      <w:tr>
        <w:tc>
          <w:tcPr>
            <w:tcW w:type="dxa" w:w="9360"/>
            <w:shd w:fill="F7F9FC" w:color="auto" w:val="clear"/>
            <w:tcMar>
              <w:top w:type="dxa" w:w="120"/>
              <w:left w:type="dxa" w:w="160"/>
              <w:bottom w:type="dxa" w:w="120"/>
              <w:right w:type="dxa" w:w="140"/>
            </w:tcMar>
          </w:tcPr>
          <w:p>
            <w:pPr>
              <w:spacing w:after="60"/>
            </w:pPr>
            <w:r>
              <w:rPr>
                <w:rFonts w:ascii="Calibri" w:cs="Calibri" w:eastAsia="Calibri" w:hAnsi="Calibri"/>
                <w:b/>
                <w:bCs/>
                <w:color w:val="1E3A5F"/>
                <w:sz w:val="19"/>
                <w:szCs w:val="19"/>
              </w:rPr>
              <w:t xml:space="preserve">Overall verdict</w:t>
            </w:r>
          </w:p>
          <w:p>
            <w:pPr>
              <w:spacing w:after="30" w:line="258"/>
            </w:pPr>
            <w:r>
              <w:rPr>
                <w:rFonts w:ascii="Calibri" w:cs="Calibri" w:eastAsia="Calibri" w:hAnsi="Calibri"/>
                <w:b/>
                <w:bCs/>
                <w:color w:val="2A2A2A"/>
                <w:sz w:val="20"/>
                <w:szCs w:val="20"/>
              </w:rPr>
              <w:t xml:space="preserve">Coverage: </w:t>
            </w:r>
            <w:r>
              <w:rPr>
                <w:rFonts w:ascii="Calibri" w:cs="Calibri" w:eastAsia="Calibri" w:hAnsi="Calibri"/>
                <w:color w:val="2A2A2A"/>
                <w:sz w:val="20"/>
                <w:szCs w:val="20"/>
              </w:rPr>
              <w:t xml:space="preserve">Excellent — every PRD module is represented.</w:t>
            </w:r>
          </w:p>
          <w:p>
            <w:pPr>
              <w:spacing w:after="30" w:line="258"/>
            </w:pPr>
            <w:r>
              <w:rPr>
                <w:rFonts w:ascii="Calibri" w:cs="Calibri" w:eastAsia="Calibri" w:hAnsi="Calibri"/>
                <w:b/>
                <w:bCs/>
                <w:color w:val="2A2A2A"/>
                <w:sz w:val="20"/>
                <w:szCs w:val="20"/>
              </w:rPr>
              <w:t xml:space="preserve">Fidelity: </w:t>
            </w:r>
            <w:r>
              <w:rPr>
                <w:rFonts w:ascii="Calibri" w:cs="Calibri" w:eastAsia="Calibri" w:hAnsi="Calibri"/>
                <w:color w:val="2A2A2A"/>
                <w:sz w:val="20"/>
                <w:szCs w:val="20"/>
              </w:rPr>
              <w:t xml:space="preserve">Good — KPI cards, tables and builders match the UI prompt packs closely.</w:t>
            </w:r>
          </w:p>
          <w:p>
            <w:pPr>
              <w:spacing w:after="30" w:line="258"/>
            </w:pPr>
            <w:r>
              <w:rPr>
                <w:rFonts w:ascii="Calibri" w:cs="Calibri" w:eastAsia="Calibri" w:hAnsi="Calibri"/>
                <w:b/>
                <w:bCs/>
                <w:color w:val="2A2A2A"/>
                <w:sz w:val="20"/>
                <w:szCs w:val="20"/>
              </w:rPr>
              <w:t xml:space="preserve">Coherence: </w:t>
            </w:r>
            <w:r>
              <w:rPr>
                <w:rFonts w:ascii="Calibri" w:cs="Calibri" w:eastAsia="Calibri" w:hAnsi="Calibri"/>
                <w:color w:val="2A2A2A"/>
                <w:sz w:val="20"/>
                <w:szCs w:val="20"/>
              </w:rPr>
              <w:t xml:space="preserve">Needs work — cross-screen data does not reconcile; a few workflow steps are stubs.</w:t>
            </w:r>
          </w:p>
          <w:p>
            <w:pPr>
              <w:spacing w:after="30" w:line="258"/>
            </w:pPr>
            <w:r>
              <w:rPr>
                <w:rFonts w:ascii="Calibri" w:cs="Calibri" w:eastAsia="Calibri" w:hAnsi="Calibri"/>
                <w:b/>
                <w:bCs/>
                <w:color w:val="2A2A2A"/>
                <w:sz w:val="20"/>
                <w:szCs w:val="20"/>
              </w:rPr>
              <w:t xml:space="preserve">Readiness: </w:t>
            </w:r>
            <w:r>
              <w:rPr>
                <w:rFonts w:ascii="Calibri" w:cs="Calibri" w:eastAsia="Calibri" w:hAnsi="Calibri"/>
                <w:color w:val="2A2A2A"/>
                <w:sz w:val="20"/>
                <w:szCs w:val="20"/>
              </w:rPr>
              <w:t xml:space="preserve">Demo-ready for a guided walkthrough; not yet ready for an unscripted click-through.</w:t>
            </w:r>
          </w:p>
        </w:tc>
      </w:tr>
    </w:tbl>
    <w:p>
      <w:pPr>
        <w:pStyle w:val="Heading2"/>
        <w:spacing w:after="100" w:before="240"/>
      </w:pPr>
      <w:r>
        <w:rPr>
          <w:rFonts w:ascii="Calibri" w:cs="Calibri" w:eastAsia="Calibri" w:hAnsi="Calibri"/>
          <w:color w:val="F7941D"/>
          <w:sz w:val="24"/>
          <w:szCs w:val="24"/>
        </w:rPr>
        <w:t xml:space="preserve">▍ </w:t>
      </w:r>
      <w:r>
        <w:rPr>
          <w:rFonts w:ascii="Calibri" w:cs="Calibri" w:eastAsia="Calibri" w:hAnsi="Calibri"/>
          <w:b/>
          <w:bCs/>
          <w:color w:val="1E3A5F"/>
          <w:sz w:val="24"/>
          <w:szCs w:val="24"/>
        </w:rPr>
        <w:t xml:space="preserve">1.1 Scorecard</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600"/>
        <w:gridCol w:w="1400"/>
        <w:gridCol w:w="5360"/>
      </w:tblGrid>
      <w:tr>
        <w:trPr>
          <w:tblHeader/>
        </w:trPr>
        <w:tc>
          <w:tcPr>
            <w:tcW w:type="dxa" w:w="2600"/>
            <w:shd w:fill="1E3A5F" w:color="auto"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Area</w:t>
            </w:r>
          </w:p>
        </w:tc>
        <w:tc>
          <w:tcPr>
            <w:tcW w:type="dxa" w:w="1400"/>
            <w:shd w:fill="1E3A5F" w:color="auto"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Score</w:t>
            </w:r>
          </w:p>
        </w:tc>
        <w:tc>
          <w:tcPr>
            <w:tcW w:type="dxa" w:w="5360"/>
            <w:shd w:fill="1E3A5F" w:color="auto"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One-line assessment</w:t>
            </w:r>
          </w:p>
        </w:tc>
      </w:tr>
      <w:tr>
        <w:tc>
          <w:tcPr>
            <w:tcW w:type="dxa" w:w="26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Module coverage</w:t>
            </w:r>
          </w:p>
        </w:tc>
        <w:tc>
          <w:tcPr>
            <w:tcW w:type="dxa" w:w="1400"/>
            <w:tcMar>
              <w:top w:type="dxa" w:w="50"/>
              <w:left w:type="dxa" w:w="90"/>
              <w:bottom w:type="dxa" w:w="50"/>
              <w:right w:type="dxa" w:w="90"/>
            </w:tcMar>
            <w:vAlign w:val="center"/>
          </w:tcPr>
          <w:p>
            <w:pPr>
              <w:spacing w:after="0" w:line="240"/>
            </w:pPr>
            <w:r>
              <w:rPr>
                <w:rFonts w:ascii="Calibri" w:cs="Calibri" w:eastAsia="Calibri" w:hAnsi="Calibri"/>
                <w:b/>
                <w:bCs/>
                <w:color w:val="2E9E5B"/>
                <w:sz w:val="20"/>
                <w:szCs w:val="20"/>
              </w:rPr>
              <w:t xml:space="preserve">Strong</w:t>
            </w:r>
          </w:p>
        </w:tc>
        <w:tc>
          <w:tcPr>
            <w:tcW w:type="dxa" w:w="536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All 5 new modules + existing WMS present.</w:t>
            </w:r>
          </w:p>
        </w:tc>
      </w:tr>
      <w:tr>
        <w:tc>
          <w:tcPr>
            <w:tcW w:type="dxa" w:w="26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Navigation &amp; IA</w:t>
            </w:r>
          </w:p>
        </w:tc>
        <w:tc>
          <w:tcPr>
            <w:tcW w:type="dxa" w:w="1400"/>
            <w:shd w:fill="F2F5F9" w:color="auto" w:val="clear"/>
            <w:tcMar>
              <w:top w:type="dxa" w:w="50"/>
              <w:left w:type="dxa" w:w="90"/>
              <w:bottom w:type="dxa" w:w="50"/>
              <w:right w:type="dxa" w:w="90"/>
            </w:tcMar>
            <w:vAlign w:val="center"/>
          </w:tcPr>
          <w:p>
            <w:pPr>
              <w:spacing w:after="0" w:line="240"/>
            </w:pPr>
            <w:r>
              <w:rPr>
                <w:rFonts w:ascii="Calibri" w:cs="Calibri" w:eastAsia="Calibri" w:hAnsi="Calibri"/>
                <w:b/>
                <w:bCs/>
                <w:color w:val="2E9E5B"/>
                <w:sz w:val="20"/>
                <w:szCs w:val="20"/>
              </w:rPr>
              <w:t xml:space="preserve">Strong</w:t>
            </w:r>
          </w:p>
        </w:tc>
        <w:tc>
          <w:tcPr>
            <w:tcW w:type="dxa" w:w="536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Clear module rail, sub-nav, breadcrumbs, command-K.</w:t>
            </w:r>
          </w:p>
        </w:tc>
      </w:tr>
      <w:tr>
        <w:tc>
          <w:tcPr>
            <w:tcW w:type="dxa" w:w="26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Visual / brand</w:t>
            </w:r>
          </w:p>
        </w:tc>
        <w:tc>
          <w:tcPr>
            <w:tcW w:type="dxa" w:w="1400"/>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Good</w:t>
            </w:r>
          </w:p>
        </w:tc>
        <w:tc>
          <w:tcPr>
            <w:tcW w:type="dxa" w:w="536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Consistent dark theme; brand-accent use is thin; portal theme not differentiated.</w:t>
            </w:r>
          </w:p>
        </w:tc>
      </w:tr>
      <w:tr>
        <w:tc>
          <w:tcPr>
            <w:tcW w:type="dxa" w:w="26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Data integrity</w:t>
            </w:r>
          </w:p>
        </w:tc>
        <w:tc>
          <w:tcPr>
            <w:tcW w:type="dxa" w:w="1400"/>
            <w:shd w:fill="F2F5F9" w:color="auto" w:val="clear"/>
            <w:tcMar>
              <w:top w:type="dxa" w:w="50"/>
              <w:left w:type="dxa" w:w="90"/>
              <w:bottom w:type="dxa" w:w="50"/>
              <w:right w:type="dxa" w:w="90"/>
            </w:tcMar>
            <w:vAlign w:val="center"/>
          </w:tcPr>
          <w:p>
            <w:pPr>
              <w:spacing w:after="0" w:line="240"/>
            </w:pPr>
            <w:r>
              <w:rPr>
                <w:rFonts w:ascii="Calibri" w:cs="Calibri" w:eastAsia="Calibri" w:hAnsi="Calibri"/>
                <w:b/>
                <w:bCs/>
                <w:color w:val="C0392B"/>
                <w:sz w:val="20"/>
                <w:szCs w:val="20"/>
              </w:rPr>
              <w:t xml:space="preserve">Weak</w:t>
            </w:r>
          </w:p>
        </w:tc>
        <w:tc>
          <w:tcPr>
            <w:tcW w:type="dxa" w:w="536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Client/number mismatches across screens; stale dates.</w:t>
            </w:r>
          </w:p>
        </w:tc>
      </w:tr>
      <w:tr>
        <w:tc>
          <w:tcPr>
            <w:tcW w:type="dxa" w:w="26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Workflow depth</w:t>
            </w:r>
          </w:p>
        </w:tc>
        <w:tc>
          <w:tcPr>
            <w:tcW w:type="dxa" w:w="1400"/>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Mixed</w:t>
            </w:r>
          </w:p>
        </w:tc>
        <w:tc>
          <w:tcPr>
            <w:tcW w:type="dxa" w:w="536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Planner is deep; capture forms &amp; doc generation appear shallow.</w:t>
            </w:r>
          </w:p>
        </w:tc>
      </w:tr>
      <w:tr>
        <w:tc>
          <w:tcPr>
            <w:tcW w:type="dxa" w:w="26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PRD fidelity</w:t>
            </w:r>
          </w:p>
        </w:tc>
        <w:tc>
          <w:tcPr>
            <w:tcW w:type="dxa" w:w="1400"/>
            <w:shd w:fill="F2F5F9" w:color="auto" w:val="clear"/>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Good</w:t>
            </w:r>
          </w:p>
        </w:tc>
        <w:tc>
          <w:tcPr>
            <w:tcW w:type="dxa" w:w="536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Most behaviours present; some specified ones simplified or dropped.</w:t>
            </w:r>
          </w:p>
        </w:tc>
      </w:tr>
    </w:tbl>
    <w:p>
      <w:pPr>
        <w:pStyle w:val="Heading1"/>
        <w:pBdr>
          <w:bottom w:val="single" w:color="1E3A5F" w:sz="12" w:space="6"/>
        </w:pBdr>
        <w:spacing w:after="140" w:before="320"/>
      </w:pPr>
      <w:r>
        <w:rPr>
          <w:rFonts w:ascii="Calibri" w:cs="Calibri" w:eastAsia="Calibri" w:hAnsi="Calibri"/>
          <w:b/>
          <w:bCs/>
          <w:color w:val="1E3A5F"/>
          <w:sz w:val="30"/>
          <w:szCs w:val="30"/>
        </w:rPr>
        <w:t xml:space="preserve">2. What Is Good (Keep / Build On)</w:t>
      </w:r>
    </w:p>
    <w:p>
      <w:pPr>
        <w:spacing w:after="100" w:line="276"/>
      </w:pPr>
      <w:r>
        <w:rPr>
          <w:rFonts w:ascii="Calibri" w:cs="Calibri" w:eastAsia="Calibri" w:hAnsi="Calibri"/>
          <w:color w:val="2A2A2A"/>
          <w:sz w:val="20"/>
          <w:szCs w:val="20"/>
        </w:rPr>
        <w:t xml:space="preserve">These are working well and should be preserved as the pattern for the rest of the build.</w:t>
      </w:r>
    </w:p>
    <w:p>
      <w:pPr>
        <w:pStyle w:val="ListParagraph"/>
        <w:numPr>
          <w:ilvl w:val="0"/>
          <w:numId w:val="2"/>
        </w:numPr>
        <w:spacing w:after="50" w:line="264"/>
      </w:pPr>
      <w:r>
        <w:rPr>
          <w:rFonts w:ascii="Calibri" w:cs="Calibri" w:eastAsia="Calibri" w:hAnsi="Calibri"/>
          <w:b/>
          <w:bCs/>
          <w:color w:val="2E9E5B"/>
          <w:sz w:val="18"/>
          <w:szCs w:val="18"/>
        </w:rPr>
        <w:t xml:space="preserve">✓ </w:t>
      </w:r>
      <w:r>
        <w:rPr>
          <w:rFonts w:ascii="Calibri" w:cs="Calibri" w:eastAsia="Calibri" w:hAnsi="Calibri"/>
          <w:color w:val="2A2A2A"/>
          <w:sz w:val="18"/>
          <w:szCs w:val="18"/>
        </w:rPr>
        <w:t xml:space="preserve">All PRD modules landed. 3PL, LCL, Air, Storage-as-a-Service and Customer Portal are all present, with sensible sub-navigation matching the screen inventories in the prompt packs.</w:t>
      </w:r>
    </w:p>
    <w:p>
      <w:pPr>
        <w:pStyle w:val="ListParagraph"/>
        <w:numPr>
          <w:ilvl w:val="0"/>
          <w:numId w:val="2"/>
        </w:numPr>
        <w:spacing w:after="50" w:line="264"/>
      </w:pPr>
      <w:r>
        <w:rPr>
          <w:rFonts w:ascii="Calibri" w:cs="Calibri" w:eastAsia="Calibri" w:hAnsi="Calibri"/>
          <w:b/>
          <w:bCs/>
          <w:color w:val="2E9E5B"/>
          <w:sz w:val="18"/>
          <w:szCs w:val="18"/>
        </w:rPr>
        <w:t xml:space="preserve">✓ </w:t>
      </w:r>
      <w:r>
        <w:rPr>
          <w:rFonts w:ascii="Calibri" w:cs="Calibri" w:eastAsia="Calibri" w:hAnsi="Calibri"/>
          <w:color w:val="2A2A2A"/>
          <w:sz w:val="18"/>
          <w:szCs w:val="18"/>
        </w:rPr>
        <w:t xml:space="preserve">LCL Consolidation Planner is excellent. Split-panel cargo pool + active consolidation, "Add / Remove", live CBM and Weight fill gauges (correctly showing different values), DG flags, POD and dwell columns. This is the reference-quality screen — hold every other builder to it.</w:t>
      </w:r>
    </w:p>
    <w:p>
      <w:pPr>
        <w:pStyle w:val="ListParagraph"/>
        <w:numPr>
          <w:ilvl w:val="0"/>
          <w:numId w:val="2"/>
        </w:numPr>
        <w:spacing w:after="50" w:line="264"/>
      </w:pPr>
      <w:r>
        <w:rPr>
          <w:rFonts w:ascii="Calibri" w:cs="Calibri" w:eastAsia="Calibri" w:hAnsi="Calibri"/>
          <w:b/>
          <w:bCs/>
          <w:color w:val="2E9E5B"/>
          <w:sz w:val="18"/>
          <w:szCs w:val="18"/>
        </w:rPr>
        <w:t xml:space="preserve">✓ </w:t>
      </w:r>
      <w:r>
        <w:rPr>
          <w:rFonts w:ascii="Calibri" w:cs="Calibri" w:eastAsia="Calibri" w:hAnsi="Calibri"/>
          <w:color w:val="2A2A2A"/>
          <w:sz w:val="18"/>
          <w:szCs w:val="18"/>
        </w:rPr>
        <w:t xml:space="preserve">Air Handling two-branch model is right. The Local Delivery vs Export split is visually central, chargeable weight is shown with a (vol) tag where volumetric wins, and routing statuses (Awaiting Routing / Out-for-Delivery / RTO / In ULD / Handed to Airline) are all present.</w:t>
      </w:r>
    </w:p>
    <w:p>
      <w:pPr>
        <w:pStyle w:val="ListParagraph"/>
        <w:numPr>
          <w:ilvl w:val="0"/>
          <w:numId w:val="2"/>
        </w:numPr>
        <w:spacing w:after="50" w:line="264"/>
      </w:pPr>
      <w:r>
        <w:rPr>
          <w:rFonts w:ascii="Calibri" w:cs="Calibri" w:eastAsia="Calibri" w:hAnsi="Calibri"/>
          <w:b/>
          <w:bCs/>
          <w:color w:val="2E9E5B"/>
          <w:sz w:val="18"/>
          <w:szCs w:val="18"/>
        </w:rPr>
        <w:t xml:space="preserve">✓ </w:t>
      </w:r>
      <w:r>
        <w:rPr>
          <w:rFonts w:ascii="Calibri" w:cs="Calibri" w:eastAsia="Calibri" w:hAnsi="Calibri"/>
          <w:color w:val="2A2A2A"/>
          <w:sz w:val="18"/>
          <w:szCs w:val="18"/>
        </w:rPr>
        <w:t xml:space="preserve">Storage-as-a-Service captures the Prasad model faithfully — Own vs Leased-In occupancy, cost vs revenue, margin figure, and Own/Leased-In tags on the activity feed. This is the hardest concept and it reads correctly.</w:t>
      </w:r>
    </w:p>
    <w:p>
      <w:pPr>
        <w:pStyle w:val="ListParagraph"/>
        <w:numPr>
          <w:ilvl w:val="0"/>
          <w:numId w:val="2"/>
        </w:numPr>
        <w:spacing w:after="50" w:line="264"/>
      </w:pPr>
      <w:r>
        <w:rPr>
          <w:rFonts w:ascii="Calibri" w:cs="Calibri" w:eastAsia="Calibri" w:hAnsi="Calibri"/>
          <w:b/>
          <w:bCs/>
          <w:color w:val="2E9E5B"/>
          <w:sz w:val="18"/>
          <w:szCs w:val="18"/>
        </w:rPr>
        <w:t xml:space="preserve">✓ </w:t>
      </w:r>
      <w:r>
        <w:rPr>
          <w:rFonts w:ascii="Calibri" w:cs="Calibri" w:eastAsia="Calibri" w:hAnsi="Calibri"/>
          <w:color w:val="2A2A2A"/>
          <w:sz w:val="18"/>
          <w:szCs w:val="18"/>
        </w:rPr>
        <w:t xml:space="preserve">Customer Portal is genuinely separated — its own brand slot ("Storage Portal"), client identity (Apex Pharma), scoped nav, quick actions, alerts, and a mobile bottom-tab bar. The isolation intent from the PRD comes through.</w:t>
      </w:r>
    </w:p>
    <w:p>
      <w:pPr>
        <w:pStyle w:val="ListParagraph"/>
        <w:numPr>
          <w:ilvl w:val="0"/>
          <w:numId w:val="2"/>
        </w:numPr>
        <w:spacing w:after="50" w:line="264"/>
      </w:pPr>
      <w:r>
        <w:rPr>
          <w:rFonts w:ascii="Calibri" w:cs="Calibri" w:eastAsia="Calibri" w:hAnsi="Calibri"/>
          <w:b/>
          <w:bCs/>
          <w:color w:val="2E9E5B"/>
          <w:sz w:val="18"/>
          <w:szCs w:val="18"/>
        </w:rPr>
        <w:t xml:space="preserve">✓ </w:t>
      </w:r>
      <w:r>
        <w:rPr>
          <w:rFonts w:ascii="Calibri" w:cs="Calibri" w:eastAsia="Calibri" w:hAnsi="Calibri"/>
          <w:color w:val="2A2A2A"/>
          <w:sz w:val="18"/>
          <w:szCs w:val="18"/>
        </w:rPr>
        <w:t xml:space="preserve">KPI-card + table pattern is consistent and on-spec across operator screens, matching the list-screen skeleton in the UI prompt packs.</w:t>
      </w:r>
    </w:p>
    <w:p>
      <w:pPr>
        <w:pStyle w:val="ListParagraph"/>
        <w:numPr>
          <w:ilvl w:val="0"/>
          <w:numId w:val="2"/>
        </w:numPr>
        <w:spacing w:after="50" w:line="264"/>
      </w:pPr>
      <w:r>
        <w:rPr>
          <w:rFonts w:ascii="Calibri" w:cs="Calibri" w:eastAsia="Calibri" w:hAnsi="Calibri"/>
          <w:b/>
          <w:bCs/>
          <w:color w:val="2E9E5B"/>
          <w:sz w:val="18"/>
          <w:szCs w:val="18"/>
        </w:rPr>
        <w:t xml:space="preserve">✓ </w:t>
      </w:r>
      <w:r>
        <w:rPr>
          <w:rFonts w:ascii="Calibri" w:cs="Calibri" w:eastAsia="Calibri" w:hAnsi="Calibri"/>
          <w:color w:val="2A2A2A"/>
          <w:sz w:val="18"/>
          <w:szCs w:val="18"/>
        </w:rPr>
        <w:t xml:space="preserve">Global chrome is solid — command-K, Control Unit Scope ("Hyderabad, IN · Main Warehouse · CFS Zone A"), notifications, live status footer, collapsible sidebar.</w:t>
      </w:r>
    </w:p>
    <w:p>
      <w:pPr>
        <w:pStyle w:val="Heading1"/>
        <w:pBdr>
          <w:bottom w:val="single" w:color="1E3A5F" w:sz="12" w:space="6"/>
        </w:pBdr>
        <w:spacing w:after="140" w:before="320"/>
      </w:pPr>
      <w:r>
        <w:rPr>
          <w:rFonts w:ascii="Calibri" w:cs="Calibri" w:eastAsia="Calibri" w:hAnsi="Calibri"/>
          <w:b/>
          <w:bCs/>
          <w:color w:val="1E3A5F"/>
          <w:sz w:val="30"/>
          <w:szCs w:val="30"/>
        </w:rPr>
        <w:t xml:space="preserve">3. What Is Wrong (Defects to Fix)</w:t>
      </w:r>
    </w:p>
    <w:p>
      <w:pPr>
        <w:spacing w:after="100" w:line="276"/>
      </w:pPr>
      <w:r>
        <w:rPr>
          <w:rFonts w:ascii="Calibri" w:cs="Calibri" w:eastAsia="Calibri" w:hAnsi="Calibri"/>
          <w:color w:val="2A2A2A"/>
          <w:sz w:val="20"/>
          <w:szCs w:val="20"/>
        </w:rPr>
        <w:t xml:space="preserve">These are correctness problems — things a viewer would notice as broken or contradictory. Ordered by severity.</w:t>
      </w:r>
    </w:p>
    <w:p>
      <w:pPr>
        <w:pStyle w:val="Heading2"/>
        <w:spacing w:after="100" w:before="240"/>
      </w:pPr>
      <w:r>
        <w:rPr>
          <w:rFonts w:ascii="Calibri" w:cs="Calibri" w:eastAsia="Calibri" w:hAnsi="Calibri"/>
          <w:color w:val="F7941D"/>
          <w:sz w:val="24"/>
          <w:szCs w:val="24"/>
        </w:rPr>
        <w:t xml:space="preserve">▍ </w:t>
      </w:r>
      <w:r>
        <w:rPr>
          <w:rFonts w:ascii="Calibri" w:cs="Calibri" w:eastAsia="Calibri" w:hAnsi="Calibri"/>
          <w:b/>
          <w:bCs/>
          <w:color w:val="1E3A5F"/>
          <w:sz w:val="24"/>
          <w:szCs w:val="24"/>
        </w:rPr>
        <w:t xml:space="preserve">3.1 CRITICAL — Cross-screen data does not reconcile</w:t>
      </w:r>
    </w:p>
    <w:p>
      <w:pPr>
        <w:spacing w:after="100" w:line="276"/>
      </w:pPr>
      <w:r>
        <w:rPr>
          <w:rFonts w:ascii="Calibri" w:cs="Calibri" w:eastAsia="Calibri" w:hAnsi="Calibri"/>
          <w:color w:val="2A2A2A"/>
          <w:sz w:val="20"/>
          <w:szCs w:val="20"/>
        </w:rPr>
        <w:t xml:space="preserve">The same entities carry different numbers on different screens, and the client universe changes between modules. Examples observed:</w:t>
      </w:r>
    </w:p>
    <w:p>
      <w:pPr>
        <w:pStyle w:val="ListParagraph"/>
        <w:numPr>
          <w:ilvl w:val="0"/>
          <w:numId w:val="2"/>
        </w:numPr>
        <w:spacing w:after="50" w:line="264"/>
      </w:pPr>
      <w:r>
        <w:rPr>
          <w:rFonts w:ascii="Calibri" w:cs="Calibri" w:eastAsia="Calibri" w:hAnsi="Calibri"/>
          <w:b/>
          <w:bCs/>
          <w:color w:val="C0392B"/>
          <w:sz w:val="18"/>
          <w:szCs w:val="18"/>
        </w:rPr>
        <w:t xml:space="preserve">✕ </w:t>
      </w:r>
      <w:r>
        <w:rPr>
          <w:rFonts w:ascii="Calibri" w:cs="Calibri" w:eastAsia="Calibri" w:hAnsi="Calibri"/>
          <w:color w:val="2A2A2A"/>
          <w:sz w:val="18"/>
          <w:szCs w:val="18"/>
        </w:rPr>
        <w:t xml:space="preserve">Apex Pharma shows 234 SKUs on the 3PL directory but 342 SKUs on the Customer Portal home.</w:t>
      </w:r>
    </w:p>
    <w:p>
      <w:pPr>
        <w:pStyle w:val="ListParagraph"/>
        <w:numPr>
          <w:ilvl w:val="0"/>
          <w:numId w:val="2"/>
        </w:numPr>
        <w:spacing w:after="50" w:line="264"/>
      </w:pPr>
      <w:r>
        <w:rPr>
          <w:rFonts w:ascii="Calibri" w:cs="Calibri" w:eastAsia="Calibri" w:hAnsi="Calibri"/>
          <w:b/>
          <w:bCs/>
          <w:color w:val="C0392B"/>
          <w:sz w:val="18"/>
          <w:szCs w:val="18"/>
        </w:rPr>
        <w:t xml:space="preserve">✕ </w:t>
      </w:r>
      <w:r>
        <w:rPr>
          <w:rFonts w:ascii="Calibri" w:cs="Calibri" w:eastAsia="Calibri" w:hAnsi="Calibri"/>
          <w:color w:val="2A2A2A"/>
          <w:sz w:val="18"/>
          <w:szCs w:val="18"/>
        </w:rPr>
        <w:t xml:space="preserve">The 3PL / Portal client universe is pharma/electronics (Apex Pharma, Sunrise Electronics, GlobalTex…), but Billing and Analytics use an entirely different food-industry universe (Acme Foods, Global Oils, Salt Works, Agro Corp…).</w:t>
      </w:r>
    </w:p>
    <w:p>
      <w:pPr>
        <w:pStyle w:val="ListParagraph"/>
        <w:numPr>
          <w:ilvl w:val="0"/>
          <w:numId w:val="2"/>
        </w:numPr>
        <w:spacing w:after="50" w:line="264"/>
      </w:pPr>
      <w:r>
        <w:rPr>
          <w:rFonts w:ascii="Calibri" w:cs="Calibri" w:eastAsia="Calibri" w:hAnsi="Calibri"/>
          <w:b/>
          <w:bCs/>
          <w:color w:val="C0392B"/>
          <w:sz w:val="18"/>
          <w:szCs w:val="18"/>
        </w:rPr>
        <w:t xml:space="preserve">✕ </w:t>
      </w:r>
      <w:r>
        <w:rPr>
          <w:rFonts w:ascii="Calibri" w:cs="Calibri" w:eastAsia="Calibri" w:hAnsi="Calibri"/>
          <w:color w:val="2A2A2A"/>
          <w:sz w:val="18"/>
          <w:szCs w:val="18"/>
        </w:rPr>
        <w:t xml:space="preserve">Billing invoices are dated 2024 (e.g. "Dec 1–15, 2024") while the app "today" is Monday, 20 July 2026. The Portal also mixes "Jul 1–15, 2025" into a 2026 context.</w:t>
      </w:r>
    </w:p>
    <w:tbl>
      <w:tblPr>
        <w:tblW w:type="dxa" w:w="9360"/>
        <w:tblBorders>
          <w:top w:val="single" w:color="E4E9F0" w:sz="2"/>
          <w:left w:val="single" w:color="C0392B" w:sz="30"/>
          <w:bottom w:val="single" w:color="E4E9F0" w:sz="2"/>
          <w:right w:val="single" w:color="E4E9F0" w:sz="2"/>
          <w:insideH w:val="none"/>
          <w:insideV w:val="none"/>
        </w:tblBorders>
      </w:tblPr>
      <w:tblGrid>
        <w:gridCol w:w="9360"/>
      </w:tblGrid>
      <w:tr>
        <w:tc>
          <w:tcPr>
            <w:tcW w:type="dxa" w:w="9360"/>
            <w:shd w:fill="F7F9FC" w:color="auto" w:val="clear"/>
            <w:tcMar>
              <w:top w:type="dxa" w:w="120"/>
              <w:left w:type="dxa" w:w="160"/>
              <w:bottom w:type="dxa" w:w="120"/>
              <w:right w:type="dxa" w:w="140"/>
            </w:tcMar>
          </w:tcPr>
          <w:p>
            <w:pPr>
              <w:spacing w:after="60"/>
            </w:pPr>
            <w:r>
              <w:rPr>
                <w:rFonts w:ascii="Calibri" w:cs="Calibri" w:eastAsia="Calibri" w:hAnsi="Calibri"/>
                <w:b/>
                <w:bCs/>
                <w:color w:val="1E3A5F"/>
                <w:sz w:val="19"/>
                <w:szCs w:val="19"/>
              </w:rPr>
              <w:t xml:space="preserve">Why this matters</w:t>
            </w:r>
          </w:p>
          <w:p>
            <w:pPr>
              <w:spacing w:after="30" w:line="258"/>
            </w:pPr>
            <w:r>
              <w:rPr>
                <w:rFonts w:ascii="Calibri" w:cs="Calibri" w:eastAsia="Calibri" w:hAnsi="Calibri"/>
                <w:color w:val="333333"/>
                <w:sz w:val="18"/>
                <w:szCs w:val="18"/>
              </w:rPr>
              <w:t xml:space="default"/>
            </w:r>
          </w:p>
        </w:tc>
      </w:tr>
    </w:tbl>
    <w:tbl>
      <w:tblPr>
        <w:tblW w:type="dxa" w:w="9360"/>
        <w:tblBorders>
          <w:top w:val="single" w:color="2A3A4F" w:sz="2"/>
          <w:left w:val="single" w:color="F7941D" w:sz="30"/>
          <w:bottom w:val="single" w:color="2A3A4F" w:sz="2"/>
          <w:right w:val="single" w:color="2A3A4F" w:sz="2"/>
          <w:insideH w:val="none"/>
          <w:insideV w:val="none"/>
        </w:tblBorders>
      </w:tblPr>
      <w:tblGrid>
        <w:gridCol w:w="9360"/>
      </w:tblGrid>
      <w:tr>
        <w:tc>
          <w:tcPr>
            <w:tcW w:type="dxa" w:w="9360"/>
            <w:shd w:fill="1E2A3A" w:color="auto" w:val="clear"/>
            <w:tcMar>
              <w:top w:type="dxa" w:w="120"/>
              <w:left w:type="dxa" w:w="160"/>
              <w:bottom w:type="dxa" w:w="120"/>
              <w:right w:type="dxa" w:w="140"/>
            </w:tcMar>
          </w:tcPr>
          <w:p>
            <w:pPr>
              <w:spacing w:after="60"/>
            </w:pPr>
            <w:r>
              <w:rPr>
                <w:rFonts w:ascii="Calibri" w:cs="Calibri" w:eastAsia="Calibri" w:hAnsi="Calibri"/>
                <w:b/>
                <w:bCs/>
                <w:color w:val="FFFFFF"/>
                <w:sz w:val="16"/>
                <w:szCs w:val="16"/>
              </w:rPr>
              <w:t xml:space="preserve">LLM CORRECTION PROMPT — FIX 3.1</w:t>
            </w:r>
          </w:p>
          <w:p>
            <w:pPr>
              <w:spacing w:after="20" w:line="250"/>
            </w:pPr>
            <w:r>
              <w:rPr>
                <w:rFonts w:ascii="Consolas" w:cs="Consolas" w:eastAsia="Consolas" w:hAnsi="Consolas"/>
                <w:color w:val="E8ECF2"/>
                <w:sz w:val="16"/>
                <w:szCs w:val="16"/>
              </w:rPr>
              <w:t xml:space="preserve">Refactor the prototype to use a SINGLE shared mock-data module instead of per-page hardcoded data.</w:t>
            </w:r>
          </w:p>
          <w:p>
            <w:pPr>
              <w:spacing w:after="20" w:line="250"/>
            </w:pPr>
            <w:r>
              <w:rPr>
                <w:rFonts w:ascii="Consolas" w:cs="Consolas" w:eastAsia="Consolas" w:hAnsi="Consolas"/>
                <w:color w:val="E8ECF2"/>
                <w:sz w:val="16"/>
                <w:szCs w:val="16"/>
              </w:rPr>
              <w:t xml:space="preserve">Create /lib/mock-data.ts exporting one canonical dataset:</w:t>
            </w:r>
          </w:p>
          <w:p>
            <w:pPr>
              <w:spacing w:after="20" w:line="250"/>
            </w:pPr>
            <w:r>
              <w:rPr>
                <w:rFonts w:ascii="Consolas" w:cs="Consolas" w:eastAsia="Consolas" w:hAnsi="Consolas"/>
                <w:color w:val="E8ECF2"/>
                <w:sz w:val="16"/>
                <w:szCs w:val="16"/>
              </w:rPr>
              <w:t xml:space="preserve">- clients[]: id, name, gstin, kam, agreementStatus, spaceUsedPct, skuCount, openOrders, duesINR</w:t>
            </w:r>
          </w:p>
          <w:p>
            <w:pPr>
              <w:spacing w:after="20" w:line="250"/>
            </w:pPr>
            <w:r>
              <w:rPr>
                <w:rFonts w:ascii="Consolas" w:cs="Consolas" w:eastAsia="Consolas" w:hAnsi="Consolas"/>
                <w:color w:val="E8ECF2"/>
                <w:sz w:val="16"/>
                <w:szCs w:val="16"/>
              </w:rPr>
              <w:t xml:space="preserve">- skus[], stock[] (each stock row references clientId + skuId + qty + location)</w:t>
            </w:r>
          </w:p>
          <w:p>
            <w:pPr>
              <w:spacing w:after="20" w:line="250"/>
            </w:pPr>
            <w:r>
              <w:rPr>
                <w:rFonts w:ascii="Consolas" w:cs="Consolas" w:eastAsia="Consolas" w:hAnsi="Consolas"/>
                <w:color w:val="E8ECF2"/>
                <w:sz w:val="16"/>
                <w:szCs w:val="16"/>
              </w:rPr>
              <w:t xml:space="preserve">- invoices[] (each references clientId, period, lineItems, amount, status, dueDate)</w:t>
            </w:r>
          </w:p>
          <w:p>
            <w:pPr>
              <w:spacing w:after="20" w:line="250"/>
            </w:pPr>
            <w:r>
              <w:rPr>
                <w:rFonts w:ascii="Consolas" w:cs="Consolas" w:eastAsia="Consolas" w:hAnsi="Consolas"/>
                <w:color w:val="E8ECF2"/>
                <w:sz w:val="16"/>
                <w:szCs w:val="16"/>
              </w:rPr>
              <w:t xml:space="preserve">- cargoReceipts[], consolidations[], airPackages[], dropOffs[]</w:t>
            </w:r>
          </w:p>
          <w:p>
            <w:pPr>
              <w:spacing w:after="20" w:line="250"/>
            </w:pPr>
            <w:r>
              <w:rPr>
                <w:rFonts w:ascii="Consolas" w:cs="Consolas" w:eastAsia="Consolas" w:hAnsi="Consolas"/>
                <w:color w:val="E8ECF2"/>
                <w:sz w:val="16"/>
                <w:szCs w:val="16"/>
              </w:rPr>
              <w:t xml:space="preserve">Every screen (Home, 3PL, LCL, Air, Storage, Portal, Billing, Analytics) must import from this</w:t>
            </w:r>
          </w:p>
          <w:p>
            <w:pPr>
              <w:spacing w:after="20" w:line="250"/>
            </w:pPr>
            <w:r>
              <w:rPr>
                <w:rFonts w:ascii="Consolas" w:cs="Consolas" w:eastAsia="Consolas" w:hAnsi="Consolas"/>
                <w:color w:val="E8ECF2"/>
                <w:sz w:val="16"/>
                <w:szCs w:val="16"/>
              </w:rPr>
              <w:t xml:space="preserve">module and DERIVE its KPI numbers by aggregating the shared arrays (sum, count, filter) rather</w:t>
            </w:r>
          </w:p>
          <w:p>
            <w:pPr>
              <w:spacing w:after="20" w:line="250"/>
            </w:pPr>
            <w:r>
              <w:rPr>
                <w:rFonts w:ascii="Consolas" w:cs="Consolas" w:eastAsia="Consolas" w:hAnsi="Consolas"/>
                <w:color w:val="E8ECF2"/>
                <w:sz w:val="16"/>
                <w:szCs w:val="16"/>
              </w:rPr>
              <w:t xml:space="preserve">than restating literals. Use ONE client universe across all modules. Ensure a given client (e.g.</w:t>
            </w:r>
          </w:p>
          <w:p>
            <w:pPr>
              <w:spacing w:after="20" w:line="250"/>
            </w:pPr>
            <w:r>
              <w:rPr>
                <w:rFonts w:ascii="Consolas" w:cs="Consolas" w:eastAsia="Consolas" w:hAnsi="Consolas"/>
                <w:color w:val="E8ECF2"/>
                <w:sz w:val="16"/>
                <w:szCs w:val="16"/>
              </w:rPr>
              <w:t xml:space="preserve">Apex Pharma) shows the SAME sku count, dues and order count on every screen that mentions it.</w:t>
            </w:r>
          </w:p>
          <w:p>
            <w:pPr>
              <w:spacing w:after="20" w:line="250"/>
            </w:pPr>
            <w:r>
              <w:rPr>
                <w:rFonts w:ascii="Consolas" w:cs="Consolas" w:eastAsia="Consolas" w:hAnsi="Consolas"/>
                <w:color w:val="E8ECF2"/>
                <w:sz w:val="16"/>
                <w:szCs w:val="16"/>
              </w:rPr>
              <w:t xml:space="preserve">Set all sample dates relative to a single TODAY constant = 2026-07-20 (invoices within the last</w:t>
            </w:r>
          </w:p>
          <w:p>
            <w:pPr>
              <w:spacing w:after="20" w:line="250"/>
            </w:pPr>
            <w:r>
              <w:rPr>
                <w:rFonts w:ascii="Consolas" w:cs="Consolas" w:eastAsia="Consolas" w:hAnsi="Consolas"/>
                <w:color w:val="E8ECF2"/>
                <w:sz w:val="16"/>
                <w:szCs w:val="16"/>
              </w:rPr>
              <w:t xml:space="preserve">1-3 periods, ETAs in the near future). Do not leave any 2024 or 2025 dates.</w:t>
            </w:r>
          </w:p>
        </w:tc>
      </w:tr>
    </w:tbl>
    <w:p>
      <w:pPr>
        <w:pStyle w:val="Heading2"/>
        <w:spacing w:after="100" w:before="240"/>
      </w:pPr>
      <w:r>
        <w:rPr>
          <w:rFonts w:ascii="Calibri" w:cs="Calibri" w:eastAsia="Calibri" w:hAnsi="Calibri"/>
          <w:color w:val="F7941D"/>
          <w:sz w:val="24"/>
          <w:szCs w:val="24"/>
        </w:rPr>
        <w:t xml:space="preserve">▍ </w:t>
      </w:r>
      <w:r>
        <w:rPr>
          <w:rFonts w:ascii="Calibri" w:cs="Calibri" w:eastAsia="Calibri" w:hAnsi="Calibri"/>
          <w:b/>
          <w:bCs/>
          <w:color w:val="1E3A5F"/>
          <w:sz w:val="24"/>
          <w:szCs w:val="24"/>
        </w:rPr>
        <w:t xml:space="preserve">3.2 HIGH — Routing logic inconsistencies</w:t>
      </w:r>
    </w:p>
    <w:p>
      <w:pPr>
        <w:pStyle w:val="ListParagraph"/>
        <w:numPr>
          <w:ilvl w:val="0"/>
          <w:numId w:val="2"/>
        </w:numPr>
        <w:spacing w:after="50" w:line="264"/>
      </w:pPr>
      <w:r>
        <w:rPr>
          <w:rFonts w:ascii="Calibri" w:cs="Calibri" w:eastAsia="Calibri" w:hAnsi="Calibri"/>
          <w:b/>
          <w:bCs/>
          <w:color w:val="C0392B"/>
          <w:sz w:val="18"/>
          <w:szCs w:val="18"/>
        </w:rPr>
        <w:t xml:space="preserve">✕ </w:t>
      </w:r>
      <w:r>
        <w:rPr>
          <w:rFonts w:ascii="Calibri" w:cs="Calibri" w:eastAsia="Calibri" w:hAnsi="Calibri"/>
          <w:color w:val="2A2A2A"/>
          <w:sz w:val="18"/>
          <w:szCs w:val="18"/>
        </w:rPr>
        <w:t xml:space="preserve">In the LCL Consolidation Planner, consolidation CON-001 is labelled destination CNSHA, yet it contains CR-0898 (Orient Spices) whose POD is SGSIN. A consolidation should only accept cargo receipts whose destination matches the consolidation route.</w:t>
      </w:r>
    </w:p>
    <w:p>
      <w:pPr>
        <w:pStyle w:val="ListParagraph"/>
        <w:numPr>
          <w:ilvl w:val="0"/>
          <w:numId w:val="2"/>
        </w:numPr>
        <w:spacing w:after="50" w:line="264"/>
      </w:pPr>
      <w:r>
        <w:rPr>
          <w:rFonts w:ascii="Calibri" w:cs="Calibri" w:eastAsia="Calibri" w:hAnsi="Calibri"/>
          <w:b/>
          <w:bCs/>
          <w:color w:val="C0392B"/>
          <w:sz w:val="18"/>
          <w:szCs w:val="18"/>
        </w:rPr>
        <w:t xml:space="preserve">✕ </w:t>
      </w:r>
      <w:r>
        <w:rPr>
          <w:rFonts w:ascii="Calibri" w:cs="Calibri" w:eastAsia="Calibri" w:hAnsi="Calibri"/>
          <w:color w:val="2A2A2A"/>
          <w:sz w:val="18"/>
          <w:szCs w:val="18"/>
        </w:rPr>
        <w:t xml:space="preserve">On the LCL dashboard, several consolidation cards show identical CBM-fill % and Weight-fill % (57%/57%, 31%/31%, 80%/80%). CBM and weight fill are independent and should almost never be equal — the weight value is being derived from the CBM % rather than from actual cargo weight.</w:t>
      </w:r>
    </w:p>
    <w:tbl>
      <w:tblPr>
        <w:tblW w:type="dxa" w:w="9360"/>
        <w:tblBorders>
          <w:top w:val="single" w:color="2A3A4F" w:sz="2"/>
          <w:left w:val="single" w:color="F7941D" w:sz="30"/>
          <w:bottom w:val="single" w:color="2A3A4F" w:sz="2"/>
          <w:right w:val="single" w:color="2A3A4F" w:sz="2"/>
          <w:insideH w:val="none"/>
          <w:insideV w:val="none"/>
        </w:tblBorders>
      </w:tblPr>
      <w:tblGrid>
        <w:gridCol w:w="9360"/>
      </w:tblGrid>
      <w:tr>
        <w:tc>
          <w:tcPr>
            <w:tcW w:type="dxa" w:w="9360"/>
            <w:shd w:fill="1E2A3A" w:color="auto" w:val="clear"/>
            <w:tcMar>
              <w:top w:type="dxa" w:w="120"/>
              <w:left w:type="dxa" w:w="160"/>
              <w:bottom w:type="dxa" w:w="120"/>
              <w:right w:type="dxa" w:w="140"/>
            </w:tcMar>
          </w:tcPr>
          <w:p>
            <w:pPr>
              <w:spacing w:after="60"/>
            </w:pPr>
            <w:r>
              <w:rPr>
                <w:rFonts w:ascii="Calibri" w:cs="Calibri" w:eastAsia="Calibri" w:hAnsi="Calibri"/>
                <w:b/>
                <w:bCs/>
                <w:color w:val="FFFFFF"/>
                <w:sz w:val="16"/>
                <w:szCs w:val="16"/>
              </w:rPr>
              <w:t xml:space="preserve">LLM CORRECTION PROMPT — FIX 3.2</w:t>
            </w:r>
          </w:p>
          <w:p>
            <w:pPr>
              <w:spacing w:after="20" w:line="250"/>
            </w:pPr>
            <w:r>
              <w:rPr>
                <w:rFonts w:ascii="Consolas" w:cs="Consolas" w:eastAsia="Consolas" w:hAnsi="Consolas"/>
                <w:color w:val="E8ECF2"/>
                <w:sz w:val="16"/>
                <w:szCs w:val="16"/>
              </w:rPr>
              <w:t xml:space="preserve">In the LCL module, enforce route consistency and independent fill math:</w:t>
            </w:r>
          </w:p>
          <w:p>
            <w:pPr>
              <w:spacing w:after="20" w:line="250"/>
            </w:pPr>
            <w:r>
              <w:rPr>
                <w:rFonts w:ascii="Consolas" w:cs="Consolas" w:eastAsia="Consolas" w:hAnsi="Consolas"/>
                <w:color w:val="E8ECF2"/>
                <w:sz w:val="16"/>
                <w:szCs w:val="16"/>
              </w:rPr>
              <w:t xml:space="preserve">1. A cargo receipt can only be added to a consolidation whose POD/route matches the receipt's</w:t>
            </w:r>
          </w:p>
          <w:p>
            <w:pPr>
              <w:spacing w:after="20" w:line="250"/>
            </w:pPr>
            <w:r>
              <w:rPr>
                <w:rFonts w:ascii="Consolas" w:cs="Consolas" w:eastAsia="Consolas" w:hAnsi="Consolas"/>
                <w:color w:val="E8ECF2"/>
                <w:sz w:val="16"/>
                <w:szCs w:val="16"/>
              </w:rPr>
              <w:t xml:space="preserve">   destination. In the pool, disable or hide "Add to Consolidation" for receipts whose POD does</w:t>
            </w:r>
          </w:p>
          <w:p>
            <w:pPr>
              <w:spacing w:after="20" w:line="250"/>
            </w:pPr>
            <w:r>
              <w:rPr>
                <w:rFonts w:ascii="Consolas" w:cs="Consolas" w:eastAsia="Consolas" w:hAnsi="Consolas"/>
                <w:color w:val="E8ECF2"/>
                <w:sz w:val="16"/>
                <w:szCs w:val="16"/>
              </w:rPr>
              <w:t xml:space="preserve">   not match the open consolidation; show a tooltip "Destination mismatch".</w:t>
            </w:r>
          </w:p>
          <w:p>
            <w:pPr>
              <w:spacing w:after="20" w:line="250"/>
            </w:pPr>
            <w:r>
              <w:rPr>
                <w:rFonts w:ascii="Consolas" w:cs="Consolas" w:eastAsia="Consolas" w:hAnsi="Consolas"/>
                <w:color w:val="E8ECF2"/>
                <w:sz w:val="16"/>
                <w:szCs w:val="16"/>
              </w:rPr>
              <w:t xml:space="preserve">2. Compute CBM-fill = sum(receipt.cbm)/container.cbmMax and Weight-fill =</w:t>
            </w:r>
          </w:p>
          <w:p>
            <w:pPr>
              <w:spacing w:after="20" w:line="250"/>
            </w:pPr>
            <w:r>
              <w:rPr>
                <w:rFonts w:ascii="Consolas" w:cs="Consolas" w:eastAsia="Consolas" w:hAnsi="Consolas"/>
                <w:color w:val="E8ECF2"/>
                <w:sz w:val="16"/>
                <w:szCs w:val="16"/>
              </w:rPr>
              <w:t xml:space="preserve">   sum(receipt.weightKg)/container.weightMax INDEPENDENTLY from real per-receipt cbm and weight</w:t>
            </w:r>
          </w:p>
          <w:p>
            <w:pPr>
              <w:spacing w:after="20" w:line="250"/>
            </w:pPr>
            <w:r>
              <w:rPr>
                <w:rFonts w:ascii="Consolas" w:cs="Consolas" w:eastAsia="Consolas" w:hAnsi="Consolas"/>
                <w:color w:val="E8ECF2"/>
                <w:sz w:val="16"/>
                <w:szCs w:val="16"/>
              </w:rPr>
              <w:t xml:space="preserve">   values. They must not be the same number unless coincidental. Give each container type correct</w:t>
            </w:r>
          </w:p>
          <w:p>
            <w:pPr>
              <w:spacing w:after="20" w:line="250"/>
            </w:pPr>
            <w:r>
              <w:rPr>
                <w:rFonts w:ascii="Consolas" w:cs="Consolas" w:eastAsia="Consolas" w:hAnsi="Consolas"/>
                <w:color w:val="E8ECF2"/>
                <w:sz w:val="16"/>
                <w:szCs w:val="16"/>
              </w:rPr>
              <w:t xml:space="preserve">   cbmMax and weightMax (20' ~ 25-28 CBM / 18-22t payload; 40' ~ 55 CBM / 26-28t).</w:t>
            </w:r>
          </w:p>
        </w:tc>
      </w:tr>
    </w:tbl>
    <w:p>
      <w:pPr>
        <w:pStyle w:val="Heading2"/>
        <w:spacing w:after="100" w:before="240"/>
      </w:pPr>
      <w:r>
        <w:rPr>
          <w:rFonts w:ascii="Calibri" w:cs="Calibri" w:eastAsia="Calibri" w:hAnsi="Calibri"/>
          <w:color w:val="F7941D"/>
          <w:sz w:val="24"/>
          <w:szCs w:val="24"/>
        </w:rPr>
        <w:t xml:space="preserve">▍ </w:t>
      </w:r>
      <w:r>
        <w:rPr>
          <w:rFonts w:ascii="Calibri" w:cs="Calibri" w:eastAsia="Calibri" w:hAnsi="Calibri"/>
          <w:b/>
          <w:bCs/>
          <w:color w:val="1E3A5F"/>
          <w:sz w:val="24"/>
          <w:szCs w:val="24"/>
        </w:rPr>
        <w:t xml:space="preserve">3.3 MEDIUM — Display / formatting defects</w:t>
      </w:r>
    </w:p>
    <w:p>
      <w:pPr>
        <w:pStyle w:val="ListParagraph"/>
        <w:numPr>
          <w:ilvl w:val="0"/>
          <w:numId w:val="2"/>
        </w:numPr>
        <w:spacing w:after="50" w:line="264"/>
      </w:pPr>
      <w:r>
        <w:rPr>
          <w:rFonts w:ascii="Calibri" w:cs="Calibri" w:eastAsia="Calibri" w:hAnsi="Calibri"/>
          <w:b/>
          <w:bCs/>
          <w:color w:val="C0392B"/>
          <w:sz w:val="18"/>
          <w:szCs w:val="18"/>
        </w:rPr>
        <w:t xml:space="preserve">✕ </w:t>
      </w:r>
      <w:r>
        <w:rPr>
          <w:rFonts w:ascii="Calibri" w:cs="Calibri" w:eastAsia="Calibri" w:hAnsi="Calibri"/>
          <w:color w:val="2A2A2A"/>
          <w:sz w:val="18"/>
          <w:szCs w:val="18"/>
        </w:rPr>
        <w:t xml:space="preserve">Billing "Services" column concatenates values with no separator ("StorageHandlingTransport", "StoragePalletization"). Render as separate pills or comma-separated.</w:t>
      </w:r>
    </w:p>
    <w:p>
      <w:pPr>
        <w:pStyle w:val="ListParagraph"/>
        <w:numPr>
          <w:ilvl w:val="0"/>
          <w:numId w:val="2"/>
        </w:numPr>
        <w:spacing w:after="50" w:line="264"/>
      </w:pPr>
      <w:r>
        <w:rPr>
          <w:rFonts w:ascii="Calibri" w:cs="Calibri" w:eastAsia="Calibri" w:hAnsi="Calibri"/>
          <w:b/>
          <w:bCs/>
          <w:color w:val="E08A1E"/>
          <w:sz w:val="18"/>
          <w:szCs w:val="18"/>
        </w:rPr>
        <w:t xml:space="preserve">◐ </w:t>
      </w:r>
      <w:r>
        <w:rPr>
          <w:rFonts w:ascii="Calibri" w:cs="Calibri" w:eastAsia="Calibri" w:hAnsi="Calibri"/>
          <w:color w:val="2A2A2A"/>
          <w:sz w:val="18"/>
          <w:szCs w:val="18"/>
        </w:rPr>
        <w:t xml:space="preserve">Analytics chart bodies (Weekly Throughput, Order Fulfillment Trend, Inventory Value Trend) appear to render without visible data series. Verify the charts actually draw; if they are canvas/SVG, confirm they are not empty.</w:t>
      </w:r>
    </w:p>
    <w:p>
      <w:pPr>
        <w:pStyle w:val="ListParagraph"/>
        <w:numPr>
          <w:ilvl w:val="0"/>
          <w:numId w:val="2"/>
        </w:numPr>
        <w:spacing w:after="50" w:line="264"/>
      </w:pPr>
      <w:r>
        <w:rPr>
          <w:rFonts w:ascii="Calibri" w:cs="Calibri" w:eastAsia="Calibri" w:hAnsi="Calibri"/>
          <w:b/>
          <w:bCs/>
          <w:color w:val="E08A1E"/>
          <w:sz w:val="18"/>
          <w:szCs w:val="18"/>
        </w:rPr>
        <w:t xml:space="preserve">◐ </w:t>
      </w:r>
      <w:r>
        <w:rPr>
          <w:rFonts w:ascii="Calibri" w:cs="Calibri" w:eastAsia="Calibri" w:hAnsi="Calibri"/>
          <w:color w:val="2A2A2A"/>
          <w:sz w:val="18"/>
          <w:szCs w:val="18"/>
        </w:rPr>
        <w:t xml:space="preserve">3PL directory shows dues as literal "Nil" for some clients and "₹0" logic elsewhere — standardise on one representation (e.g. "—" for zero dues).</w:t>
      </w:r>
    </w:p>
    <w:tbl>
      <w:tblPr>
        <w:tblW w:type="dxa" w:w="9360"/>
        <w:tblBorders>
          <w:top w:val="single" w:color="2A3A4F" w:sz="2"/>
          <w:left w:val="single" w:color="F7941D" w:sz="30"/>
          <w:bottom w:val="single" w:color="2A3A4F" w:sz="2"/>
          <w:right w:val="single" w:color="2A3A4F" w:sz="2"/>
          <w:insideH w:val="none"/>
          <w:insideV w:val="none"/>
        </w:tblBorders>
      </w:tblPr>
      <w:tblGrid>
        <w:gridCol w:w="9360"/>
      </w:tblGrid>
      <w:tr>
        <w:tc>
          <w:tcPr>
            <w:tcW w:type="dxa" w:w="9360"/>
            <w:shd w:fill="1E2A3A" w:color="auto" w:val="clear"/>
            <w:tcMar>
              <w:top w:type="dxa" w:w="120"/>
              <w:left w:type="dxa" w:w="160"/>
              <w:bottom w:type="dxa" w:w="120"/>
              <w:right w:type="dxa" w:w="140"/>
            </w:tcMar>
          </w:tcPr>
          <w:p>
            <w:pPr>
              <w:spacing w:after="60"/>
            </w:pPr>
            <w:r>
              <w:rPr>
                <w:rFonts w:ascii="Calibri" w:cs="Calibri" w:eastAsia="Calibri" w:hAnsi="Calibri"/>
                <w:b/>
                <w:bCs/>
                <w:color w:val="FFFFFF"/>
                <w:sz w:val="16"/>
                <w:szCs w:val="16"/>
              </w:rPr>
              <w:t xml:space="preserve">LLM CORRECTION PROMPT — FIX 3.3</w:t>
            </w:r>
          </w:p>
          <w:p>
            <w:pPr>
              <w:spacing w:after="20" w:line="250"/>
            </w:pPr>
            <w:r>
              <w:rPr>
                <w:rFonts w:ascii="Consolas" w:cs="Consolas" w:eastAsia="Consolas" w:hAnsi="Consolas"/>
                <w:color w:val="E8ECF2"/>
                <w:sz w:val="16"/>
                <w:szCs w:val="16"/>
              </w:rPr>
              <w:t xml:space="preserve">Formatting cleanups:</w:t>
            </w:r>
          </w:p>
          <w:p>
            <w:pPr>
              <w:spacing w:after="20" w:line="250"/>
            </w:pPr>
            <w:r>
              <w:rPr>
                <w:rFonts w:ascii="Consolas" w:cs="Consolas" w:eastAsia="Consolas" w:hAnsi="Consolas"/>
                <w:color w:val="E8ECF2"/>
                <w:sz w:val="16"/>
                <w:szCs w:val="16"/>
              </w:rPr>
              <w:t xml:space="preserve">- Billing table: render the Services column as an array -&gt; a set of small pills (Storage,</w:t>
            </w:r>
          </w:p>
          <w:p>
            <w:pPr>
              <w:spacing w:after="20" w:line="250"/>
            </w:pPr>
            <w:r>
              <w:rPr>
                <w:rFonts w:ascii="Consolas" w:cs="Consolas" w:eastAsia="Consolas" w:hAnsi="Consolas"/>
                <w:color w:val="E8ECF2"/>
                <w:sz w:val="16"/>
                <w:szCs w:val="16"/>
              </w:rPr>
              <w:t xml:space="preserve">  Handling, Transport), not a concatenated string.</w:t>
            </w:r>
          </w:p>
          <w:p>
            <w:pPr>
              <w:spacing w:after="20" w:line="250"/>
            </w:pPr>
            <w:r>
              <w:rPr>
                <w:rFonts w:ascii="Consolas" w:cs="Consolas" w:eastAsia="Consolas" w:hAnsi="Consolas"/>
                <w:color w:val="E8ECF2"/>
                <w:sz w:val="16"/>
                <w:szCs w:val="16"/>
              </w:rPr>
              <w:t xml:space="preserve">- Standardise zero-dues display across all tables to an em dash "—".</w:t>
            </w:r>
          </w:p>
          <w:p>
            <w:pPr>
              <w:spacing w:after="20" w:line="250"/>
            </w:pPr>
            <w:r>
              <w:rPr>
                <w:rFonts w:ascii="Consolas" w:cs="Consolas" w:eastAsia="Consolas" w:hAnsi="Consolas"/>
                <w:color w:val="E8ECF2"/>
                <w:sz w:val="16"/>
                <w:szCs w:val="16"/>
              </w:rPr>
              <w:t xml:space="preserve">- Verify every Analytics chart renders a visible data series (bars/lines with axes). If using a</w:t>
            </w:r>
          </w:p>
          <w:p>
            <w:pPr>
              <w:spacing w:after="20" w:line="250"/>
            </w:pPr>
            <w:r>
              <w:rPr>
                <w:rFonts w:ascii="Consolas" w:cs="Consolas" w:eastAsia="Consolas" w:hAnsi="Consolas"/>
                <w:color w:val="E8ECF2"/>
                <w:sz w:val="16"/>
                <w:szCs w:val="16"/>
              </w:rPr>
              <w:t xml:space="preserve">  chart lib, confirm data props are populated from the shared mock dataset; no empty chart bodies.</w:t>
            </w:r>
          </w:p>
        </w:tc>
      </w:tr>
    </w:tbl>
    <w:p>
      <w:pPr>
        <w:pStyle w:val="Heading1"/>
        <w:pBdr>
          <w:bottom w:val="single" w:color="1E3A5F" w:sz="12" w:space="6"/>
        </w:pBdr>
        <w:spacing w:after="140" w:before="320"/>
      </w:pPr>
      <w:r>
        <w:rPr>
          <w:rFonts w:ascii="Calibri" w:cs="Calibri" w:eastAsia="Calibri" w:hAnsi="Calibri"/>
          <w:b/>
          <w:bCs/>
          <w:color w:val="1E3A5F"/>
          <w:sz w:val="30"/>
          <w:szCs w:val="30"/>
        </w:rPr>
        <w:t xml:space="preserve">4. What Needs Improvement</w:t>
      </w:r>
    </w:p>
    <w:p>
      <w:pPr>
        <w:spacing w:after="100" w:line="276"/>
      </w:pPr>
      <w:r>
        <w:rPr>
          <w:rFonts w:ascii="Calibri" w:cs="Calibri" w:eastAsia="Calibri" w:hAnsi="Calibri"/>
          <w:color w:val="2A2A2A"/>
          <w:sz w:val="20"/>
          <w:szCs w:val="20"/>
        </w:rPr>
        <w:t xml:space="preserve">These work but fall short of the PRD intent or of a polished demo.</w:t>
      </w:r>
    </w:p>
    <w:p>
      <w:pPr>
        <w:pStyle w:val="Heading2"/>
        <w:spacing w:after="100" w:before="240"/>
      </w:pPr>
      <w:r>
        <w:rPr>
          <w:rFonts w:ascii="Calibri" w:cs="Calibri" w:eastAsia="Calibri" w:hAnsi="Calibri"/>
          <w:color w:val="F7941D"/>
          <w:sz w:val="24"/>
          <w:szCs w:val="24"/>
        </w:rPr>
        <w:t xml:space="preserve">▍ </w:t>
      </w:r>
      <w:r>
        <w:rPr>
          <w:rFonts w:ascii="Calibri" w:cs="Calibri" w:eastAsia="Calibri" w:hAnsi="Calibri"/>
          <w:b/>
          <w:bCs/>
          <w:color w:val="1E3A5F"/>
          <w:sz w:val="24"/>
          <w:szCs w:val="24"/>
        </w:rPr>
        <w:t xml:space="preserve">4.1 Customer Portal should not wear the operator chrome</w:t>
      </w:r>
    </w:p>
    <w:p>
      <w:pPr>
        <w:spacing w:after="100" w:line="276"/>
      </w:pPr>
      <w:r>
        <w:rPr>
          <w:rFonts w:ascii="Calibri" w:cs="Calibri" w:eastAsia="Calibri" w:hAnsi="Calibri"/>
          <w:color w:val="2A2A2A"/>
          <w:sz w:val="20"/>
          <w:szCs w:val="20"/>
        </w:rPr>
        <w:t xml:space="preserve">The PRD (VF-PRD-PORTAL-001) specifies the portal as a </w:t>
      </w:r>
      <w:r>
        <w:rPr>
          <w:rFonts w:ascii="Calibri" w:cs="Calibri" w:eastAsia="Calibri" w:hAnsi="Calibri"/>
          <w:b/>
          <w:bCs/>
          <w:color w:val="2A2A2A"/>
          <w:sz w:val="20"/>
          <w:szCs w:val="20"/>
        </w:rPr>
        <w:t xml:space="preserve">deliberately different, lighter, operator-white-labelled</w:t>
      </w:r>
      <w:r>
        <w:rPr>
          <w:rFonts w:ascii="Calibri" w:cs="Calibri" w:eastAsia="Calibri" w:hAnsi="Calibri"/>
          <w:color w:val="2A2A2A"/>
          <w:sz w:val="20"/>
          <w:szCs w:val="20"/>
        </w:rPr>
        <w:t xml:space="preserve"> surface — so a client never feels they are inside the operator’s console. The current portal still renders inside the dark operator top bar (Control Unit Scope, warehouse selector, operator avatar). It should be visually its own product.</w:t>
      </w:r>
    </w:p>
    <w:tbl>
      <w:tblPr>
        <w:tblW w:type="dxa" w:w="9360"/>
        <w:tblBorders>
          <w:top w:val="single" w:color="2A3A4F" w:sz="2"/>
          <w:left w:val="single" w:color="F7941D" w:sz="30"/>
          <w:bottom w:val="single" w:color="2A3A4F" w:sz="2"/>
          <w:right w:val="single" w:color="2A3A4F" w:sz="2"/>
          <w:insideH w:val="none"/>
          <w:insideV w:val="none"/>
        </w:tblBorders>
      </w:tblPr>
      <w:tblGrid>
        <w:gridCol w:w="9360"/>
      </w:tblGrid>
      <w:tr>
        <w:tc>
          <w:tcPr>
            <w:tcW w:type="dxa" w:w="9360"/>
            <w:shd w:fill="1E2A3A" w:color="auto" w:val="clear"/>
            <w:tcMar>
              <w:top w:type="dxa" w:w="120"/>
              <w:left w:type="dxa" w:w="160"/>
              <w:bottom w:type="dxa" w:w="120"/>
              <w:right w:type="dxa" w:w="140"/>
            </w:tcMar>
          </w:tcPr>
          <w:p>
            <w:pPr>
              <w:spacing w:after="60"/>
            </w:pPr>
            <w:r>
              <w:rPr>
                <w:rFonts w:ascii="Calibri" w:cs="Calibri" w:eastAsia="Calibri" w:hAnsi="Calibri"/>
                <w:b/>
                <w:bCs/>
                <w:color w:val="FFFFFF"/>
                <w:sz w:val="16"/>
                <w:szCs w:val="16"/>
              </w:rPr>
              <w:t xml:space="preserve">LLM CORRECTION PROMPT — FIX 4.1</w:t>
            </w:r>
          </w:p>
          <w:p>
            <w:pPr>
              <w:spacing w:after="20" w:line="250"/>
            </w:pPr>
            <w:r>
              <w:rPr>
                <w:rFonts w:ascii="Consolas" w:cs="Consolas" w:eastAsia="Consolas" w:hAnsi="Consolas"/>
                <w:color w:val="E8ECF2"/>
                <w:sz w:val="16"/>
                <w:szCs w:val="16"/>
              </w:rPr>
              <w:t xml:space="preserve">Give the Customer Portal its own layout, distinct from the operator WMS:</w:t>
            </w:r>
          </w:p>
          <w:p>
            <w:pPr>
              <w:spacing w:after="20" w:line="250"/>
            </w:pPr>
            <w:r>
              <w:rPr>
                <w:rFonts w:ascii="Consolas" w:cs="Consolas" w:eastAsia="Consolas" w:hAnsi="Consolas"/>
                <w:color w:val="E8ECF2"/>
                <w:sz w:val="16"/>
                <w:szCs w:val="16"/>
              </w:rPr>
              <w:t xml:space="preserve">- Remove operator-only chrome (Control Unit Scope / warehouse selector, operator command-K,</w:t>
            </w:r>
          </w:p>
          <w:p>
            <w:pPr>
              <w:spacing w:after="20" w:line="250"/>
            </w:pPr>
            <w:r>
              <w:rPr>
                <w:rFonts w:ascii="Consolas" w:cs="Consolas" w:eastAsia="Consolas" w:hAnsi="Consolas"/>
                <w:color w:val="E8ECF2"/>
                <w:sz w:val="16"/>
                <w:szCs w:val="16"/>
              </w:rPr>
              <w:t xml:space="preserve">  operator module rail). The portal must NOT show operator internals.</w:t>
            </w:r>
          </w:p>
          <w:p>
            <w:pPr>
              <w:spacing w:after="20" w:line="250"/>
            </w:pPr>
            <w:r>
              <w:rPr>
                <w:rFonts w:ascii="Consolas" w:cs="Consolas" w:eastAsia="Consolas" w:hAnsi="Consolas"/>
                <w:color w:val="E8ECF2"/>
                <w:sz w:val="16"/>
                <w:szCs w:val="16"/>
              </w:rPr>
              <w:t xml:space="preserve">- Use a lighter, cleaner theme with an operator "brand slot" (logo + primary colour) in the</w:t>
            </w:r>
          </w:p>
          <w:p>
            <w:pPr>
              <w:spacing w:after="20" w:line="250"/>
            </w:pPr>
            <w:r>
              <w:rPr>
                <w:rFonts w:ascii="Consolas" w:cs="Consolas" w:eastAsia="Consolas" w:hAnsi="Consolas"/>
                <w:color w:val="E8ECF2"/>
                <w:sz w:val="16"/>
                <w:szCs w:val="16"/>
              </w:rPr>
              <w:t xml:space="preserve">  header, per VF-PRD-PORTAL-001. Keep Deep Navy #1E3A5F structure + Voltus Orange #F7941D actions.</w:t>
            </w:r>
          </w:p>
          <w:p>
            <w:pPr>
              <w:spacing w:after="20" w:line="250"/>
            </w:pPr>
            <w:r>
              <w:rPr>
                <w:rFonts w:ascii="Consolas" w:cs="Consolas" w:eastAsia="Consolas" w:hAnsi="Consolas"/>
                <w:color w:val="E8ECF2"/>
                <w:sz w:val="16"/>
                <w:szCs w:val="16"/>
              </w:rPr>
              <w:t xml:space="preserve">- Header shows only: operator brand, client company name, notifications, client-user avatar,</w:t>
            </w:r>
          </w:p>
          <w:p>
            <w:pPr>
              <w:spacing w:after="20" w:line="250"/>
            </w:pPr>
            <w:r>
              <w:rPr>
                <w:rFonts w:ascii="Consolas" w:cs="Consolas" w:eastAsia="Consolas" w:hAnsi="Consolas"/>
                <w:color w:val="E8ECF2"/>
                <w:sz w:val="16"/>
                <w:szCs w:val="16"/>
              </w:rPr>
              <w:t xml:space="preserve">  sign out. Keep the client module nav and the mobile bottom-tab bar.</w:t>
            </w:r>
          </w:p>
        </w:tc>
      </w:tr>
    </w:tbl>
    <w:p>
      <w:pPr>
        <w:pStyle w:val="Heading2"/>
        <w:spacing w:after="100" w:before="240"/>
      </w:pPr>
      <w:r>
        <w:rPr>
          <w:rFonts w:ascii="Calibri" w:cs="Calibri" w:eastAsia="Calibri" w:hAnsi="Calibri"/>
          <w:color w:val="F7941D"/>
          <w:sz w:val="24"/>
          <w:szCs w:val="24"/>
        </w:rPr>
        <w:t xml:space="preserve">▍ </w:t>
      </w:r>
      <w:r>
        <w:rPr>
          <w:rFonts w:ascii="Calibri" w:cs="Calibri" w:eastAsia="Calibri" w:hAnsi="Calibri"/>
          <w:b/>
          <w:bCs/>
          <w:color w:val="1E3A5F"/>
          <w:sz w:val="24"/>
          <w:szCs w:val="24"/>
        </w:rPr>
        <w:t xml:space="preserve">4.2 Capture forms &amp; document generation look shallow</w:t>
      </w:r>
    </w:p>
    <w:p>
      <w:pPr>
        <w:spacing w:after="100" w:line="276"/>
      </w:pPr>
      <w:r>
        <w:rPr>
          <w:rFonts w:ascii="Calibri" w:cs="Calibri" w:eastAsia="Calibri" w:hAnsi="Calibri"/>
          <w:color w:val="2A2A2A"/>
          <w:sz w:val="20"/>
          <w:szCs w:val="20"/>
        </w:rPr>
        <w:t xml:space="preserve">The dashboards and boards are strong, but the create/complete steps the PRDs specify were not evident: Cargo Receipt / Air Package capture (with live CBM and volumetric/chargeable auto-calc), the Ship-Out stepper, VAS input→output SKU transformation, and outbound document generation (tax invoice, e-way bill, packing list, AWB/manifest).</w:t>
      </w:r>
    </w:p>
    <w:p>
      <w:pPr>
        <w:pStyle w:val="ListParagraph"/>
        <w:numPr>
          <w:ilvl w:val="0"/>
          <w:numId w:val="2"/>
        </w:numPr>
        <w:spacing w:after="50" w:line="264"/>
      </w:pPr>
      <w:r>
        <w:rPr>
          <w:rFonts w:ascii="Calibri" w:cs="Calibri" w:eastAsia="Calibri" w:hAnsi="Calibri"/>
          <w:b/>
          <w:bCs/>
          <w:color w:val="E08A1E"/>
          <w:sz w:val="18"/>
          <w:szCs w:val="18"/>
        </w:rPr>
        <w:t xml:space="preserve">◐ </w:t>
      </w:r>
      <w:r>
        <w:rPr>
          <w:rFonts w:ascii="Calibri" w:cs="Calibri" w:eastAsia="Calibri" w:hAnsi="Calibri"/>
          <w:color w:val="2A2A2A"/>
          <w:sz w:val="18"/>
          <w:szCs w:val="18"/>
        </w:rPr>
        <w:t xml:space="preserve">Cargo Receipt / Air Package capture: needs the dimension→CBM and dimension→volumetric-weight live calculators specified in the LCL/Air prompt packs.</w:t>
      </w:r>
    </w:p>
    <w:p>
      <w:pPr>
        <w:pStyle w:val="ListParagraph"/>
        <w:numPr>
          <w:ilvl w:val="0"/>
          <w:numId w:val="2"/>
        </w:numPr>
        <w:spacing w:after="50" w:line="264"/>
      </w:pPr>
      <w:r>
        <w:rPr>
          <w:rFonts w:ascii="Calibri" w:cs="Calibri" w:eastAsia="Calibri" w:hAnsi="Calibri"/>
          <w:b/>
          <w:bCs/>
          <w:color w:val="E08A1E"/>
          <w:sz w:val="18"/>
          <w:szCs w:val="18"/>
        </w:rPr>
        <w:t xml:space="preserve">◐ </w:t>
      </w:r>
      <w:r>
        <w:rPr>
          <w:rFonts w:ascii="Calibri" w:cs="Calibri" w:eastAsia="Calibri" w:hAnsi="Calibri"/>
          <w:color w:val="2A2A2A"/>
          <w:sz w:val="18"/>
          <w:szCs w:val="18"/>
        </w:rPr>
        <w:t xml:space="preserve">Ship-Out request: PRD specifies a 4-step stepper (Items → Ship-To → Service/mode → Review); confirm it exists and enforces "own stock only".</w:t>
      </w:r>
    </w:p>
    <w:p>
      <w:pPr>
        <w:pStyle w:val="ListParagraph"/>
        <w:numPr>
          <w:ilvl w:val="0"/>
          <w:numId w:val="2"/>
        </w:numPr>
        <w:spacing w:after="50" w:line="264"/>
      </w:pPr>
      <w:r>
        <w:rPr>
          <w:rFonts w:ascii="Calibri" w:cs="Calibri" w:eastAsia="Calibri" w:hAnsi="Calibri"/>
          <w:b/>
          <w:bCs/>
          <w:color w:val="E08A1E"/>
          <w:sz w:val="18"/>
          <w:szCs w:val="18"/>
        </w:rPr>
        <w:t xml:space="preserve">◐ </w:t>
      </w:r>
      <w:r>
        <w:rPr>
          <w:rFonts w:ascii="Calibri" w:cs="Calibri" w:eastAsia="Calibri" w:hAnsi="Calibri"/>
          <w:color w:val="2A2A2A"/>
          <w:sz w:val="18"/>
          <w:szCs w:val="18"/>
        </w:rPr>
        <w:t xml:space="preserve">Document generation: manifest, MAWB, tax invoice, e-way bill, POD are referenced across PRDs but no document preview/download was visible.</w:t>
      </w:r>
    </w:p>
    <w:tbl>
      <w:tblPr>
        <w:tblW w:type="dxa" w:w="9360"/>
        <w:tblBorders>
          <w:top w:val="single" w:color="2A3A4F" w:sz="2"/>
          <w:left w:val="single" w:color="F7941D" w:sz="30"/>
          <w:bottom w:val="single" w:color="2A3A4F" w:sz="2"/>
          <w:right w:val="single" w:color="2A3A4F" w:sz="2"/>
          <w:insideH w:val="none"/>
          <w:insideV w:val="none"/>
        </w:tblBorders>
      </w:tblPr>
      <w:tblGrid>
        <w:gridCol w:w="9360"/>
      </w:tblGrid>
      <w:tr>
        <w:tc>
          <w:tcPr>
            <w:tcW w:type="dxa" w:w="9360"/>
            <w:shd w:fill="1E2A3A" w:color="auto" w:val="clear"/>
            <w:tcMar>
              <w:top w:type="dxa" w:w="120"/>
              <w:left w:type="dxa" w:w="160"/>
              <w:bottom w:type="dxa" w:w="120"/>
              <w:right w:type="dxa" w:w="140"/>
            </w:tcMar>
          </w:tcPr>
          <w:p>
            <w:pPr>
              <w:spacing w:after="60"/>
            </w:pPr>
            <w:r>
              <w:rPr>
                <w:rFonts w:ascii="Calibri" w:cs="Calibri" w:eastAsia="Calibri" w:hAnsi="Calibri"/>
                <w:b/>
                <w:bCs/>
                <w:color w:val="FFFFFF"/>
                <w:sz w:val="16"/>
                <w:szCs w:val="16"/>
              </w:rPr>
              <w:t xml:space="preserve">LLM CORRECTION PROMPT — FIX 4.2</w:t>
            </w:r>
          </w:p>
          <w:p>
            <w:pPr>
              <w:spacing w:after="20" w:line="250"/>
            </w:pPr>
            <w:r>
              <w:rPr>
                <w:rFonts w:ascii="Consolas" w:cs="Consolas" w:eastAsia="Consolas" w:hAnsi="Consolas"/>
                <w:color w:val="E8ECF2"/>
                <w:sz w:val="16"/>
                <w:szCs w:val="16"/>
              </w:rPr>
              <w:t xml:space="preserve">Deepen the create/complete flows to match the PRDs:</w:t>
            </w:r>
          </w:p>
          <w:p>
            <w:pPr>
              <w:spacing w:after="20" w:line="250"/>
            </w:pPr>
            <w:r>
              <w:rPr>
                <w:rFonts w:ascii="Consolas" w:cs="Consolas" w:eastAsia="Consolas" w:hAnsi="Consolas"/>
                <w:color w:val="E8ECF2"/>
                <w:sz w:val="16"/>
                <w:szCs w:val="16"/>
              </w:rPr>
              <w:t xml:space="preserve">1. Cargo Receipt &amp; Air Package capture forms: add live calculators - CBM = (L*W*H)/1,000,000 per</w:t>
            </w:r>
          </w:p>
          <w:p>
            <w:pPr>
              <w:spacing w:after="20" w:line="250"/>
            </w:pPr>
            <w:r>
              <w:rPr>
                <w:rFonts w:ascii="Consolas" w:cs="Consolas" w:eastAsia="Consolas" w:hAnsi="Consolas"/>
                <w:color w:val="E8ECF2"/>
                <w:sz w:val="16"/>
                <w:szCs w:val="16"/>
              </w:rPr>
              <w:t xml:space="preserve">   piece * pieces; volumetric weight = (L*W*H)/5000 (air) with a prominent "Chargeable Weight =</w:t>
            </w:r>
          </w:p>
          <w:p>
            <w:pPr>
              <w:spacing w:after="20" w:line="250"/>
            </w:pPr>
            <w:r>
              <w:rPr>
                <w:rFonts w:ascii="Consolas" w:cs="Consolas" w:eastAsia="Consolas" w:hAnsi="Consolas"/>
                <w:color w:val="E8ECF2"/>
                <w:sz w:val="16"/>
                <w:szCs w:val="16"/>
              </w:rPr>
              <w:t xml:space="preserve">   max(actual, volumetric)" chip. Auto-stamp Owner Party from the selected client (read-only).</w:t>
            </w:r>
          </w:p>
          <w:p>
            <w:pPr>
              <w:spacing w:after="20" w:line="250"/>
            </w:pPr>
            <w:r>
              <w:rPr>
                <w:rFonts w:ascii="Consolas" w:cs="Consolas" w:eastAsia="Consolas" w:hAnsi="Consolas"/>
                <w:color w:val="E8ECF2"/>
                <w:sz w:val="16"/>
                <w:szCs w:val="16"/>
              </w:rPr>
              <w:t xml:space="preserve">2. Ship-Out request: implement the 4-step stepper (Items -&gt; Ship-To -&gt; Service &amp; dispatch mode -&gt;</w:t>
            </w:r>
          </w:p>
          <w:p>
            <w:pPr>
              <w:spacing w:after="20" w:line="250"/>
            </w:pPr>
            <w:r>
              <w:rPr>
                <w:rFonts w:ascii="Consolas" w:cs="Consolas" w:eastAsia="Consolas" w:hAnsi="Consolas"/>
                <w:color w:val="E8ECF2"/>
                <w:sz w:val="16"/>
                <w:szCs w:val="16"/>
              </w:rPr>
              <w:t xml:space="preserve">   Review &amp; submit). In Items, only allow selection from the selected client's own on-hand stock.</w:t>
            </w:r>
          </w:p>
          <w:p>
            <w:pPr>
              <w:spacing w:after="20" w:line="250"/>
            </w:pPr>
            <w:r>
              <w:rPr>
                <w:rFonts w:ascii="Consolas" w:cs="Consolas" w:eastAsia="Consolas" w:hAnsi="Consolas"/>
                <w:color w:val="E8ECF2"/>
                <w:sz w:val="16"/>
                <w:szCs w:val="16"/>
              </w:rPr>
              <w:t xml:space="preserve">3. Document generation: add a preview+download panel that generates a manifest / MAWB (LCL/Air),</w:t>
            </w:r>
          </w:p>
          <w:p>
            <w:pPr>
              <w:spacing w:after="20" w:line="250"/>
            </w:pPr>
            <w:r>
              <w:rPr>
                <w:rFonts w:ascii="Consolas" w:cs="Consolas" w:eastAsia="Consolas" w:hAnsi="Consolas"/>
                <w:color w:val="E8ECF2"/>
                <w:sz w:val="16"/>
                <w:szCs w:val="16"/>
              </w:rPr>
              <w:t xml:space="preserve">   and a GST tax invoice + e-way bill + packing list (3PL/Portal). A styled on-screen preview with</w:t>
            </w:r>
          </w:p>
          <w:p>
            <w:pPr>
              <w:spacing w:after="20" w:line="250"/>
            </w:pPr>
            <w:r>
              <w:rPr>
                <w:rFonts w:ascii="Consolas" w:cs="Consolas" w:eastAsia="Consolas" w:hAnsi="Consolas"/>
                <w:color w:val="E8ECF2"/>
                <w:sz w:val="16"/>
                <w:szCs w:val="16"/>
              </w:rPr>
              <w:t xml:space="preserve">   a Download button is sufficient for the mock.</w:t>
            </w:r>
          </w:p>
        </w:tc>
      </w:tr>
    </w:tbl>
    <w:p>
      <w:pPr>
        <w:pStyle w:val="Heading2"/>
        <w:spacing w:after="100" w:before="240"/>
      </w:pPr>
      <w:r>
        <w:rPr>
          <w:rFonts w:ascii="Calibri" w:cs="Calibri" w:eastAsia="Calibri" w:hAnsi="Calibri"/>
          <w:color w:val="F7941D"/>
          <w:sz w:val="24"/>
          <w:szCs w:val="24"/>
        </w:rPr>
        <w:t xml:space="preserve">▍ </w:t>
      </w:r>
      <w:r>
        <w:rPr>
          <w:rFonts w:ascii="Calibri" w:cs="Calibri" w:eastAsia="Calibri" w:hAnsi="Calibri"/>
          <w:b/>
          <w:bCs/>
          <w:color w:val="1E3A5F"/>
          <w:sz w:val="24"/>
          <w:szCs w:val="24"/>
        </w:rPr>
        <w:t xml:space="preserve">4.3 Brand-accent use is thin</w:t>
      </w:r>
    </w:p>
    <w:p>
      <w:pPr>
        <w:spacing w:after="100" w:line="276"/>
      </w:pPr>
      <w:r>
        <w:rPr>
          <w:rFonts w:ascii="Calibri" w:cs="Calibri" w:eastAsia="Calibri" w:hAnsi="Calibri"/>
          <w:color w:val="2A2A2A"/>
          <w:sz w:val="20"/>
          <w:szCs w:val="20"/>
        </w:rPr>
        <w:t xml:space="preserve">The dark theme is consistent, but Voltus Orange (</w:t>
      </w:r>
      <w:r>
        <w:rPr>
          <w:rFonts w:ascii="Consolas" w:cs="Consolas" w:eastAsia="Consolas" w:hAnsi="Consolas"/>
          <w:color w:val="1E3A5F"/>
          <w:sz w:val="17"/>
          <w:szCs w:val="17"/>
        </w:rPr>
        <w:t xml:space="preserve">#F7941D</w:t>
      </w:r>
      <w:r>
        <w:rPr>
          <w:rFonts w:ascii="Calibri" w:cs="Calibri" w:eastAsia="Calibri" w:hAnsi="Calibri"/>
          <w:color w:val="2A2A2A"/>
          <w:sz w:val="20"/>
          <w:szCs w:val="20"/>
        </w:rPr>
        <w:t xml:space="preserve">) is under-used — primary CTAs, active-nav highlights and key metrics should carry the accent so the brand is unmistakable, per the design system in the prompt packs.</w:t>
      </w:r>
    </w:p>
    <w:tbl>
      <w:tblPr>
        <w:tblW w:type="dxa" w:w="9360"/>
        <w:tblBorders>
          <w:top w:val="single" w:color="2A3A4F" w:sz="2"/>
          <w:left w:val="single" w:color="F7941D" w:sz="30"/>
          <w:bottom w:val="single" w:color="2A3A4F" w:sz="2"/>
          <w:right w:val="single" w:color="2A3A4F" w:sz="2"/>
          <w:insideH w:val="none"/>
          <w:insideV w:val="none"/>
        </w:tblBorders>
      </w:tblPr>
      <w:tblGrid>
        <w:gridCol w:w="9360"/>
      </w:tblGrid>
      <w:tr>
        <w:tc>
          <w:tcPr>
            <w:tcW w:type="dxa" w:w="9360"/>
            <w:shd w:fill="1E2A3A" w:color="auto" w:val="clear"/>
            <w:tcMar>
              <w:top w:type="dxa" w:w="120"/>
              <w:left w:type="dxa" w:w="160"/>
              <w:bottom w:type="dxa" w:w="120"/>
              <w:right w:type="dxa" w:w="140"/>
            </w:tcMar>
          </w:tcPr>
          <w:p>
            <w:pPr>
              <w:spacing w:after="60"/>
            </w:pPr>
            <w:r>
              <w:rPr>
                <w:rFonts w:ascii="Calibri" w:cs="Calibri" w:eastAsia="Calibri" w:hAnsi="Calibri"/>
                <w:b/>
                <w:bCs/>
                <w:color w:val="FFFFFF"/>
                <w:sz w:val="16"/>
                <w:szCs w:val="16"/>
              </w:rPr>
              <w:t xml:space="preserve">LLM CORRECTION PROMPT — FIX 4.3</w:t>
            </w:r>
          </w:p>
          <w:p>
            <w:pPr>
              <w:spacing w:after="20" w:line="250"/>
            </w:pPr>
            <w:r>
              <w:rPr>
                <w:rFonts w:ascii="Consolas" w:cs="Consolas" w:eastAsia="Consolas" w:hAnsi="Consolas"/>
                <w:color w:val="E8ECF2"/>
                <w:sz w:val="16"/>
                <w:szCs w:val="16"/>
              </w:rPr>
              <w:t xml:space="preserve">Apply the VoltusWave brand accents more deliberately: primary CTAs (New Client, New Cargo Receipt,</w:t>
            </w:r>
          </w:p>
          <w:p>
            <w:pPr>
              <w:spacing w:after="20" w:line="250"/>
            </w:pPr>
            <w:r>
              <w:rPr>
                <w:rFonts w:ascii="Consolas" w:cs="Consolas" w:eastAsia="Consolas" w:hAnsi="Consolas"/>
                <w:color w:val="E8ECF2"/>
                <w:sz w:val="16"/>
                <w:szCs w:val="16"/>
              </w:rPr>
              <w:t xml:space="preserve">Confirm Consolidation, Place Ship-Out) in Voltus Orange #F7941D; active module/nav item highlighted</w:t>
            </w:r>
          </w:p>
          <w:p>
            <w:pPr>
              <w:spacing w:after="20" w:line="250"/>
            </w:pPr>
            <w:r>
              <w:rPr>
                <w:rFonts w:ascii="Consolas" w:cs="Consolas" w:eastAsia="Consolas" w:hAnsi="Consolas"/>
                <w:color w:val="E8ECF2"/>
                <w:sz w:val="16"/>
                <w:szCs w:val="16"/>
              </w:rPr>
              <w:t xml:space="preserve">in orange; positive KPI deltas in green #2E9E5B, warnings amber #E08A1E, errors red #C0392B;</w:t>
            </w:r>
          </w:p>
          <w:p>
            <w:pPr>
              <w:spacing w:after="20" w:line="250"/>
            </w:pPr>
            <w:r>
              <w:rPr>
                <w:rFonts w:ascii="Consolas" w:cs="Consolas" w:eastAsia="Consolas" w:hAnsi="Consolas"/>
                <w:color w:val="E8ECF2"/>
                <w:sz w:val="16"/>
                <w:szCs w:val="16"/>
              </w:rPr>
              <w:t xml:space="preserve">structural elements and headers in Deep Navy #1E3A5F. Keep the dark operator theme otherwise.</w:t>
            </w:r>
          </w:p>
        </w:tc>
      </w:tr>
    </w:tbl>
    <w:p>
      <w:pPr>
        <w:pStyle w:val="Heading2"/>
        <w:spacing w:after="100" w:before="240"/>
      </w:pPr>
      <w:r>
        <w:rPr>
          <w:rFonts w:ascii="Calibri" w:cs="Calibri" w:eastAsia="Calibri" w:hAnsi="Calibri"/>
          <w:color w:val="F7941D"/>
          <w:sz w:val="24"/>
          <w:szCs w:val="24"/>
        </w:rPr>
        <w:t xml:space="preserve">▍ </w:t>
      </w:r>
      <w:r>
        <w:rPr>
          <w:rFonts w:ascii="Calibri" w:cs="Calibri" w:eastAsia="Calibri" w:hAnsi="Calibri"/>
          <w:b/>
          <w:bCs/>
          <w:color w:val="1E3A5F"/>
          <w:sz w:val="24"/>
          <w:szCs w:val="24"/>
        </w:rPr>
        <w:t xml:space="preserve">4.4 Interaction states not evident</w:t>
      </w:r>
    </w:p>
    <w:p>
      <w:pPr>
        <w:pStyle w:val="ListParagraph"/>
        <w:numPr>
          <w:ilvl w:val="0"/>
          <w:numId w:val="2"/>
        </w:numPr>
        <w:spacing w:after="50" w:line="264"/>
      </w:pPr>
      <w:r>
        <w:rPr>
          <w:rFonts w:ascii="Calibri" w:cs="Calibri" w:eastAsia="Calibri" w:hAnsi="Calibri"/>
          <w:b/>
          <w:bCs/>
          <w:color w:val="E08A1E"/>
          <w:sz w:val="18"/>
          <w:szCs w:val="18"/>
        </w:rPr>
        <w:t xml:space="preserve">◐ </w:t>
      </w:r>
      <w:r>
        <w:rPr>
          <w:rFonts w:ascii="Calibri" w:cs="Calibri" w:eastAsia="Calibri" w:hAnsi="Calibri"/>
          <w:color w:val="2A2A2A"/>
          <w:sz w:val="18"/>
          <w:szCs w:val="18"/>
        </w:rPr>
        <w:t xml:space="preserve">Empty states: builders should show a centred icon + message + CTA when a section is empty (per the builder pattern), not a blank area.</w:t>
      </w:r>
    </w:p>
    <w:p>
      <w:pPr>
        <w:pStyle w:val="ListParagraph"/>
        <w:numPr>
          <w:ilvl w:val="0"/>
          <w:numId w:val="2"/>
        </w:numPr>
        <w:spacing w:after="50" w:line="264"/>
      </w:pPr>
      <w:r>
        <w:rPr>
          <w:rFonts w:ascii="Calibri" w:cs="Calibri" w:eastAsia="Calibri" w:hAnsi="Calibri"/>
          <w:b/>
          <w:bCs/>
          <w:color w:val="E08A1E"/>
          <w:sz w:val="18"/>
          <w:szCs w:val="18"/>
        </w:rPr>
        <w:t xml:space="preserve">◐ </w:t>
      </w:r>
      <w:r>
        <w:rPr>
          <w:rFonts w:ascii="Calibri" w:cs="Calibri" w:eastAsia="Calibri" w:hAnsi="Calibri"/>
          <w:color w:val="2A2A2A"/>
          <w:sz w:val="18"/>
          <w:szCs w:val="18"/>
        </w:rPr>
        <w:t xml:space="preserve">Loading &amp; error states, toasts on actions (e.g. "Consolidation confirmed"), and hover/focus affordances were not observable in the static review — confirm they exist.</w:t>
      </w:r>
    </w:p>
    <w:p>
      <w:pPr>
        <w:pStyle w:val="Heading1"/>
        <w:pBdr>
          <w:bottom w:val="single" w:color="1E3A5F" w:sz="12" w:space="6"/>
        </w:pBdr>
        <w:spacing w:after="140" w:before="320"/>
      </w:pPr>
      <w:r>
        <w:rPr>
          <w:rFonts w:ascii="Calibri" w:cs="Calibri" w:eastAsia="Calibri" w:hAnsi="Calibri"/>
          <w:b/>
          <w:bCs/>
          <w:color w:val="1E3A5F"/>
          <w:sz w:val="30"/>
          <w:szCs w:val="30"/>
        </w:rPr>
        <w:t xml:space="preserve">5. What Is Missing (Against the PRDs)</w:t>
      </w:r>
    </w:p>
    <w:p>
      <w:pPr>
        <w:spacing w:after="100" w:line="276"/>
      </w:pPr>
      <w:r>
        <w:rPr>
          <w:rFonts w:ascii="Calibri" w:cs="Calibri" w:eastAsia="Calibri" w:hAnsi="Calibri"/>
          <w:color w:val="2A2A2A"/>
          <w:sz w:val="20"/>
          <w:szCs w:val="20"/>
        </w:rPr>
        <w:t xml:space="preserve">Present in the PRD set but not observed in the walkthrough. Verify — some may exist on unvisited sub-routes.</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5000"/>
        <w:gridCol w:w="2560"/>
        <w:gridCol w:w="1800"/>
      </w:tblGrid>
      <w:tr>
        <w:trPr>
          <w:tblHeader/>
        </w:trPr>
        <w:tc>
          <w:tcPr>
            <w:tcW w:type="dxa" w:w="5000"/>
            <w:shd w:fill="1E3A5F" w:color="auto"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Missing / unverified</w:t>
            </w:r>
          </w:p>
        </w:tc>
        <w:tc>
          <w:tcPr>
            <w:tcW w:type="dxa" w:w="2560"/>
            <w:shd w:fill="1E3A5F" w:color="auto"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Source PRD</w:t>
            </w:r>
          </w:p>
        </w:tc>
        <w:tc>
          <w:tcPr>
            <w:tcW w:type="dxa" w:w="1800"/>
            <w:shd w:fill="1E3A5F" w:color="auto"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Priority</w:t>
            </w:r>
          </w:p>
        </w:tc>
      </w:tr>
      <w:tr>
        <w:tc>
          <w:tcPr>
            <w:tcW w:type="dxa" w:w="50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Storage Agreement Editor (builder: space allocation, SLA, rate-card picker)</w:t>
            </w:r>
          </w:p>
        </w:tc>
        <w:tc>
          <w:tcPr>
            <w:tcW w:type="dxa" w:w="256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3PL § Prompt 3</w:t>
            </w:r>
          </w:p>
        </w:tc>
        <w:tc>
          <w:tcPr>
            <w:tcW w:type="dxa" w:w="1800"/>
            <w:tcMar>
              <w:top w:type="dxa" w:w="50"/>
              <w:left w:type="dxa" w:w="90"/>
              <w:bottom w:type="dxa" w:w="50"/>
              <w:right w:type="dxa" w:w="90"/>
            </w:tcMar>
            <w:vAlign w:val="center"/>
          </w:tcPr>
          <w:p>
            <w:pPr>
              <w:spacing w:after="0" w:line="240"/>
            </w:pPr>
            <w:r>
              <w:rPr>
                <w:rFonts w:ascii="Calibri" w:cs="Calibri" w:eastAsia="Calibri" w:hAnsi="Calibri"/>
                <w:b/>
                <w:bCs/>
                <w:color w:val="C0392B"/>
                <w:sz w:val="20"/>
                <w:szCs w:val="20"/>
              </w:rPr>
              <w:t xml:space="preserve">High</w:t>
            </w:r>
          </w:p>
        </w:tc>
      </w:tr>
      <w:tr>
        <w:tc>
          <w:tcPr>
            <w:tcW w:type="dxa" w:w="50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Billable Event Console + Invoice Run (aggregate → GST → issue)</w:t>
            </w:r>
          </w:p>
        </w:tc>
        <w:tc>
          <w:tcPr>
            <w:tcW w:type="dxa" w:w="256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3PL § Prompts 8–9</w:t>
            </w:r>
          </w:p>
        </w:tc>
        <w:tc>
          <w:tcPr>
            <w:tcW w:type="dxa" w:w="1800"/>
            <w:shd w:fill="F2F5F9" w:color="auto" w:val="clear"/>
            <w:tcMar>
              <w:top w:type="dxa" w:w="50"/>
              <w:left w:type="dxa" w:w="90"/>
              <w:bottom w:type="dxa" w:w="50"/>
              <w:right w:type="dxa" w:w="90"/>
            </w:tcMar>
            <w:vAlign w:val="center"/>
          </w:tcPr>
          <w:p>
            <w:pPr>
              <w:spacing w:after="0" w:line="240"/>
            </w:pPr>
            <w:r>
              <w:rPr>
                <w:rFonts w:ascii="Calibri" w:cs="Calibri" w:eastAsia="Calibri" w:hAnsi="Calibri"/>
                <w:b/>
                <w:bCs/>
                <w:color w:val="C0392B"/>
                <w:sz w:val="20"/>
                <w:szCs w:val="20"/>
              </w:rPr>
              <w:t xml:space="preserve">High</w:t>
            </w:r>
          </w:p>
        </w:tc>
      </w:tr>
      <w:tr>
        <w:tc>
          <w:tcPr>
            <w:tcW w:type="dxa" w:w="50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VAS input→output SKU transformation + labour capture</w:t>
            </w:r>
          </w:p>
        </w:tc>
        <w:tc>
          <w:tcPr>
            <w:tcW w:type="dxa" w:w="256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3PL § Prompt 7</w:t>
            </w:r>
          </w:p>
        </w:tc>
        <w:tc>
          <w:tcPr>
            <w:tcW w:type="dxa" w:w="1800"/>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Med</w:t>
            </w:r>
          </w:p>
        </w:tc>
      </w:tr>
      <w:tr>
        <w:tc>
          <w:tcPr>
            <w:tcW w:type="dxa" w:w="50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Storage-time accrual made visible (bill = report, same data)</w:t>
            </w:r>
          </w:p>
        </w:tc>
        <w:tc>
          <w:tcPr>
            <w:tcW w:type="dxa" w:w="256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SaaS § Prompt 6 / 3PL §7</w:t>
            </w:r>
          </w:p>
        </w:tc>
        <w:tc>
          <w:tcPr>
            <w:tcW w:type="dxa" w:w="1800"/>
            <w:shd w:fill="F2F5F9" w:color="auto" w:val="clear"/>
            <w:tcMar>
              <w:top w:type="dxa" w:w="50"/>
              <w:left w:type="dxa" w:w="90"/>
              <w:bottom w:type="dxa" w:w="50"/>
              <w:right w:type="dxa" w:w="90"/>
            </w:tcMar>
            <w:vAlign w:val="center"/>
          </w:tcPr>
          <w:p>
            <w:pPr>
              <w:spacing w:after="0" w:line="240"/>
            </w:pPr>
            <w:r>
              <w:rPr>
                <w:rFonts w:ascii="Calibri" w:cs="Calibri" w:eastAsia="Calibri" w:hAnsi="Calibri"/>
                <w:b/>
                <w:bCs/>
                <w:color w:val="C0392B"/>
                <w:sz w:val="20"/>
                <w:szCs w:val="20"/>
              </w:rPr>
              <w:t xml:space="preserve">High</w:t>
            </w:r>
          </w:p>
        </w:tc>
      </w:tr>
      <w:tr>
        <w:tc>
          <w:tcPr>
            <w:tcW w:type="dxa" w:w="50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ULD Build &amp; MAWB screen (export branch builder)</w:t>
            </w:r>
          </w:p>
        </w:tc>
        <w:tc>
          <w:tcPr>
            <w:tcW w:type="dxa" w:w="256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Air § Prompt 5</w:t>
            </w:r>
          </w:p>
        </w:tc>
        <w:tc>
          <w:tcPr>
            <w:tcW w:type="dxa" w:w="1800"/>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Med</w:t>
            </w:r>
          </w:p>
        </w:tc>
      </w:tr>
      <w:tr>
        <w:tc>
          <w:tcPr>
            <w:tcW w:type="dxa" w:w="50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De-Consolidation board (import breakdown per consignee)</w:t>
            </w:r>
          </w:p>
        </w:tc>
        <w:tc>
          <w:tcPr>
            <w:tcW w:type="dxa" w:w="256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LCL § Prompt 6</w:t>
            </w:r>
          </w:p>
        </w:tc>
        <w:tc>
          <w:tcPr>
            <w:tcW w:type="dxa" w:w="1800"/>
            <w:shd w:fill="F2F5F9" w:color="auto" w:val="clear"/>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Med</w:t>
            </w:r>
          </w:p>
        </w:tc>
      </w:tr>
      <w:tr>
        <w:tc>
          <w:tcPr>
            <w:tcW w:type="dxa" w:w="50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Portal billing dispute-raising + downloadable GST docs</w:t>
            </w:r>
          </w:p>
        </w:tc>
        <w:tc>
          <w:tcPr>
            <w:tcW w:type="dxa" w:w="256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Portal § W8</w:t>
            </w:r>
          </w:p>
        </w:tc>
        <w:tc>
          <w:tcPr>
            <w:tcW w:type="dxa" w:w="1800"/>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Med</w:t>
            </w:r>
          </w:p>
        </w:tc>
      </w:tr>
      <w:tr>
        <w:tc>
          <w:tcPr>
            <w:tcW w:type="dxa" w:w="50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Client user &amp; role management (Admin/Coordinator/Finance/Viewer)</w:t>
            </w:r>
          </w:p>
        </w:tc>
        <w:tc>
          <w:tcPr>
            <w:tcW w:type="dxa" w:w="256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Portal § W10</w:t>
            </w:r>
          </w:p>
        </w:tc>
        <w:tc>
          <w:tcPr>
            <w:tcW w:type="dxa" w:w="1800"/>
            <w:shd w:fill="F2F5F9" w:color="auto" w:val="clear"/>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Low</w:t>
            </w:r>
          </w:p>
        </w:tc>
      </w:tr>
      <w:tr>
        <w:tc>
          <w:tcPr>
            <w:tcW w:type="dxa" w:w="50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Native mobile screens beyond the bottom-tab shell</w:t>
            </w:r>
          </w:p>
        </w:tc>
        <w:tc>
          <w:tcPr>
            <w:tcW w:type="dxa" w:w="256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Portal § M1–M7</w:t>
            </w:r>
          </w:p>
        </w:tc>
        <w:tc>
          <w:tcPr>
            <w:tcW w:type="dxa" w:w="1800"/>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Low</w:t>
            </w:r>
          </w:p>
        </w:tc>
      </w:tr>
    </w:tbl>
    <w:tbl>
      <w:tblPr>
        <w:tblW w:type="dxa" w:w="9360"/>
        <w:tblBorders>
          <w:top w:val="single" w:color="2A3A4F" w:sz="2"/>
          <w:left w:val="single" w:color="F7941D" w:sz="30"/>
          <w:bottom w:val="single" w:color="2A3A4F" w:sz="2"/>
          <w:right w:val="single" w:color="2A3A4F" w:sz="2"/>
          <w:insideH w:val="none"/>
          <w:insideV w:val="none"/>
        </w:tblBorders>
      </w:tblPr>
      <w:tblGrid>
        <w:gridCol w:w="9360"/>
      </w:tblGrid>
      <w:tr>
        <w:tc>
          <w:tcPr>
            <w:tcW w:type="dxa" w:w="9360"/>
            <w:shd w:fill="1E2A3A" w:color="auto" w:val="clear"/>
            <w:tcMar>
              <w:top w:type="dxa" w:w="120"/>
              <w:left w:type="dxa" w:w="160"/>
              <w:bottom w:type="dxa" w:w="120"/>
              <w:right w:type="dxa" w:w="140"/>
            </w:tcMar>
          </w:tcPr>
          <w:p>
            <w:pPr>
              <w:spacing w:after="60"/>
            </w:pPr>
            <w:r>
              <w:rPr>
                <w:rFonts w:ascii="Calibri" w:cs="Calibri" w:eastAsia="Calibri" w:hAnsi="Calibri"/>
                <w:b/>
                <w:bCs/>
                <w:color w:val="FFFFFF"/>
                <w:sz w:val="16"/>
                <w:szCs w:val="16"/>
              </w:rPr>
              <w:t xml:space="preserve">LLM CORRECTION PROMPT — FIX 5 (build the highest-priority gaps)</w:t>
            </w:r>
          </w:p>
          <w:p>
            <w:pPr>
              <w:spacing w:after="20" w:line="250"/>
            </w:pPr>
            <w:r>
              <w:rPr>
                <w:rFonts w:ascii="Consolas" w:cs="Consolas" w:eastAsia="Consolas" w:hAnsi="Consolas"/>
                <w:color w:val="E8ECF2"/>
                <w:sz w:val="16"/>
                <w:szCs w:val="16"/>
              </w:rPr>
              <w:t xml:space="preserve">Add these missing screens, reading from the shared mock dataset:</w:t>
            </w:r>
          </w:p>
          <w:p>
            <w:pPr>
              <w:spacing w:after="20" w:line="250"/>
            </w:pPr>
            <w:r>
              <w:rPr>
                <w:rFonts w:ascii="Consolas" w:cs="Consolas" w:eastAsia="Consolas" w:hAnsi="Consolas"/>
                <w:color w:val="E8ECF2"/>
                <w:sz w:val="16"/>
                <w:szCs w:val="16"/>
              </w:rPr>
              <w:t xml:space="preserve">1. Storage Agreement Editor (3PL) - builder pattern: space allocation grid, SLA profile, rate-card</w:t>
            </w:r>
          </w:p>
          <w:p>
            <w:pPr>
              <w:spacing w:after="20" w:line="250"/>
            </w:pPr>
            <w:r>
              <w:rPr>
                <w:rFonts w:ascii="Consolas" w:cs="Consolas" w:eastAsia="Consolas" w:hAnsi="Consolas"/>
                <w:color w:val="E8ECF2"/>
                <w:sz w:val="16"/>
                <w:szCs w:val="16"/>
              </w:rPr>
              <w:t xml:space="preserve">   picker, deposit; "Activate Agreement" CTA.</w:t>
            </w:r>
          </w:p>
          <w:p>
            <w:pPr>
              <w:spacing w:after="20" w:line="250"/>
            </w:pPr>
            <w:r>
              <w:rPr>
                <w:rFonts w:ascii="Consolas" w:cs="Consolas" w:eastAsia="Consolas" w:hAnsi="Consolas"/>
                <w:color w:val="E8ECF2"/>
                <w:sz w:val="16"/>
                <w:szCs w:val="16"/>
              </w:rPr>
              <w:t xml:space="preserve">2. Billable Event Console + Invoice Run (3PL) - list un-invoiced events by client/type; select -&gt;</w:t>
            </w:r>
          </w:p>
          <w:p>
            <w:pPr>
              <w:spacing w:after="20" w:line="250"/>
            </w:pPr>
            <w:r>
              <w:rPr>
                <w:rFonts w:ascii="Consolas" w:cs="Consolas" w:eastAsia="Consolas" w:hAnsi="Consolas"/>
                <w:color w:val="E8ECF2"/>
                <w:sz w:val="16"/>
                <w:szCs w:val="16"/>
              </w:rPr>
              <w:t xml:space="preserve">   "Run Invoice" -&gt; draft invoice with Storage/Handling/VAS/Ancillary sections, GST breakdown,</w:t>
            </w:r>
          </w:p>
          <w:p>
            <w:pPr>
              <w:spacing w:after="20" w:line="250"/>
            </w:pPr>
            <w:r>
              <w:rPr>
                <w:rFonts w:ascii="Consolas" w:cs="Consolas" w:eastAsia="Consolas" w:hAnsi="Consolas"/>
                <w:color w:val="E8ECF2"/>
                <w:sz w:val="16"/>
                <w:szCs w:val="16"/>
              </w:rPr>
              <w:t xml:space="preserve">   "Approve &amp; Issue".</w:t>
            </w:r>
          </w:p>
          <w:p>
            <w:pPr>
              <w:spacing w:after="20" w:line="250"/>
            </w:pPr>
            <w:r>
              <w:rPr>
                <w:rFonts w:ascii="Consolas" w:cs="Consolas" w:eastAsia="Consolas" w:hAnsi="Consolas"/>
                <w:color w:val="E8ECF2"/>
                <w:sz w:val="16"/>
                <w:szCs w:val="16"/>
              </w:rPr>
              <w:t xml:space="preserve">3. Storage accrual visibility (SaaS + 3PL) - show storage days accruing per lot and that the</w:t>
            </w:r>
          </w:p>
          <w:p>
            <w:pPr>
              <w:spacing w:after="20" w:line="250"/>
            </w:pPr>
            <w:r>
              <w:rPr>
                <w:rFonts w:ascii="Consolas" w:cs="Consolas" w:eastAsia="Consolas" w:hAnsi="Consolas"/>
                <w:color w:val="E8ECF2"/>
                <w:sz w:val="16"/>
                <w:szCs w:val="16"/>
              </w:rPr>
              <w:t xml:space="preserve">   inventory report and the storage bill are computed from the SAME occupancy data.</w:t>
            </w:r>
          </w:p>
          <w:p>
            <w:pPr>
              <w:spacing w:after="20" w:line="250"/>
            </w:pPr>
            <w:r>
              <w:rPr>
                <w:rFonts w:ascii="Consolas" w:cs="Consolas" w:eastAsia="Consolas" w:hAnsi="Consolas"/>
                <w:color w:val="E8ECF2"/>
                <w:sz w:val="16"/>
                <w:szCs w:val="16"/>
              </w:rPr>
              <w:t xml:space="preserve">4. ULD Build &amp; MAWB (Air) and De-Consolidation board (LCL) mirroring the LCL Consolidation Planner</w:t>
            </w:r>
          </w:p>
          <w:p>
            <w:pPr>
              <w:spacing w:after="20" w:line="250"/>
            </w:pPr>
            <w:r>
              <w:rPr>
                <w:rFonts w:ascii="Consolas" w:cs="Consolas" w:eastAsia="Consolas" w:hAnsi="Consolas"/>
                <w:color w:val="E8ECF2"/>
                <w:sz w:val="16"/>
                <w:szCs w:val="16"/>
              </w:rPr>
              <w:t xml:space="preserve">   pattern.</w:t>
            </w:r>
          </w:p>
          <w:p>
            <w:pPr>
              <w:spacing w:after="20" w:line="250"/>
            </w:pPr>
            <w:r>
              <w:rPr>
                <w:rFonts w:ascii="Consolas" w:cs="Consolas" w:eastAsia="Consolas" w:hAnsi="Consolas"/>
                <w:color w:val="E8ECF2"/>
                <w:sz w:val="16"/>
                <w:szCs w:val="16"/>
              </w:rPr>
              <w:t xml:space="preserve">Match the LCL Consolidation Planner's depth and the VoltusWave brand.</w:t>
            </w:r>
          </w:p>
        </w:tc>
      </w:tr>
    </w:tbl>
    <w:p>
      <w:pPr>
        <w:pStyle w:val="Heading1"/>
        <w:pBdr>
          <w:bottom w:val="single" w:color="1E3A5F" w:sz="12" w:space="6"/>
        </w:pBdr>
        <w:spacing w:after="140" w:before="320"/>
      </w:pPr>
      <w:r>
        <w:rPr>
          <w:rFonts w:ascii="Calibri" w:cs="Calibri" w:eastAsia="Calibri" w:hAnsi="Calibri"/>
          <w:b/>
          <w:bCs/>
          <w:color w:val="1E3A5F"/>
          <w:sz w:val="30"/>
          <w:szCs w:val="30"/>
        </w:rPr>
        <w:t xml:space="preserve">6. Prioritised Action Plan</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500"/>
        <w:gridCol w:w="6100"/>
        <w:gridCol w:w="1200"/>
        <w:gridCol w:w="1560"/>
      </w:tblGrid>
      <w:tr>
        <w:trPr>
          <w:tblHeader/>
        </w:trPr>
        <w:tc>
          <w:tcPr>
            <w:tcW w:type="dxa" w:w="500"/>
            <w:shd w:fill="1E3A5F" w:color="auto"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w:t>
            </w:r>
          </w:p>
        </w:tc>
        <w:tc>
          <w:tcPr>
            <w:tcW w:type="dxa" w:w="6100"/>
            <w:shd w:fill="1E3A5F" w:color="auto"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Action</w:t>
            </w:r>
          </w:p>
        </w:tc>
        <w:tc>
          <w:tcPr>
            <w:tcW w:type="dxa" w:w="1200"/>
            <w:shd w:fill="1E3A5F" w:color="auto"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Effort</w:t>
            </w:r>
          </w:p>
        </w:tc>
        <w:tc>
          <w:tcPr>
            <w:tcW w:type="dxa" w:w="1560"/>
            <w:shd w:fill="1E3A5F" w:color="auto"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Impact</w:t>
            </w:r>
          </w:p>
        </w:tc>
      </w:tr>
      <w:tr>
        <w:tc>
          <w:tcPr>
            <w:tcW w:type="dxa" w:w="5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1</w:t>
            </w:r>
          </w:p>
        </w:tc>
        <w:tc>
          <w:tcPr>
            <w:tcW w:type="dxa" w:w="61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Shared mock-data module; reconcile all cross-screen numbers &amp; dates (FIX 3.1).</w:t>
            </w:r>
          </w:p>
        </w:tc>
        <w:tc>
          <w:tcPr>
            <w:tcW w:type="dxa" w:w="12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M</w:t>
            </w:r>
          </w:p>
        </w:tc>
        <w:tc>
          <w:tcPr>
            <w:tcW w:type="dxa" w:w="1560"/>
            <w:tcMar>
              <w:top w:type="dxa" w:w="50"/>
              <w:left w:type="dxa" w:w="90"/>
              <w:bottom w:type="dxa" w:w="50"/>
              <w:right w:type="dxa" w:w="90"/>
            </w:tcMar>
            <w:vAlign w:val="center"/>
          </w:tcPr>
          <w:p>
            <w:pPr>
              <w:spacing w:after="0" w:line="240"/>
            </w:pPr>
            <w:r>
              <w:rPr>
                <w:rFonts w:ascii="Calibri" w:cs="Calibri" w:eastAsia="Calibri" w:hAnsi="Calibri"/>
                <w:b/>
                <w:bCs/>
                <w:color w:val="C0392B"/>
                <w:sz w:val="20"/>
                <w:szCs w:val="20"/>
              </w:rPr>
              <w:t xml:space="preserve">Critical</w:t>
            </w:r>
          </w:p>
        </w:tc>
      </w:tr>
      <w:tr>
        <w:tc>
          <w:tcPr>
            <w:tcW w:type="dxa" w:w="5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2</w:t>
            </w:r>
          </w:p>
        </w:tc>
        <w:tc>
          <w:tcPr>
            <w:tcW w:type="dxa" w:w="61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Fix LCL route consistency + independent CBM/weight math (FIX 3.2).</w:t>
            </w:r>
          </w:p>
        </w:tc>
        <w:tc>
          <w:tcPr>
            <w:tcW w:type="dxa" w:w="12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S</w:t>
            </w:r>
          </w:p>
        </w:tc>
        <w:tc>
          <w:tcPr>
            <w:tcW w:type="dxa" w:w="1560"/>
            <w:shd w:fill="F2F5F9" w:color="auto" w:val="clear"/>
            <w:tcMar>
              <w:top w:type="dxa" w:w="50"/>
              <w:left w:type="dxa" w:w="90"/>
              <w:bottom w:type="dxa" w:w="50"/>
              <w:right w:type="dxa" w:w="90"/>
            </w:tcMar>
            <w:vAlign w:val="center"/>
          </w:tcPr>
          <w:p>
            <w:pPr>
              <w:spacing w:after="0" w:line="240"/>
            </w:pPr>
            <w:r>
              <w:rPr>
                <w:rFonts w:ascii="Calibri" w:cs="Calibri" w:eastAsia="Calibri" w:hAnsi="Calibri"/>
                <w:b/>
                <w:bCs/>
                <w:color w:val="C0392B"/>
                <w:sz w:val="20"/>
                <w:szCs w:val="20"/>
              </w:rPr>
              <w:t xml:space="preserve">High</w:t>
            </w:r>
          </w:p>
        </w:tc>
      </w:tr>
      <w:tr>
        <w:tc>
          <w:tcPr>
            <w:tcW w:type="dxa" w:w="5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3</w:t>
            </w:r>
          </w:p>
        </w:tc>
        <w:tc>
          <w:tcPr>
            <w:tcW w:type="dxa" w:w="61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Differentiate Customer Portal layout/theme (FIX 4.1).</w:t>
            </w:r>
          </w:p>
        </w:tc>
        <w:tc>
          <w:tcPr>
            <w:tcW w:type="dxa" w:w="12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M</w:t>
            </w:r>
          </w:p>
        </w:tc>
        <w:tc>
          <w:tcPr>
            <w:tcW w:type="dxa" w:w="1560"/>
            <w:tcMar>
              <w:top w:type="dxa" w:w="50"/>
              <w:left w:type="dxa" w:w="90"/>
              <w:bottom w:type="dxa" w:w="50"/>
              <w:right w:type="dxa" w:w="90"/>
            </w:tcMar>
            <w:vAlign w:val="center"/>
          </w:tcPr>
          <w:p>
            <w:pPr>
              <w:spacing w:after="0" w:line="240"/>
            </w:pPr>
            <w:r>
              <w:rPr>
                <w:rFonts w:ascii="Calibri" w:cs="Calibri" w:eastAsia="Calibri" w:hAnsi="Calibri"/>
                <w:b/>
                <w:bCs/>
                <w:color w:val="C0392B"/>
                <w:sz w:val="20"/>
                <w:szCs w:val="20"/>
              </w:rPr>
              <w:t xml:space="preserve">High</w:t>
            </w:r>
          </w:p>
        </w:tc>
      </w:tr>
      <w:tr>
        <w:tc>
          <w:tcPr>
            <w:tcW w:type="dxa" w:w="5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4</w:t>
            </w:r>
          </w:p>
        </w:tc>
        <w:tc>
          <w:tcPr>
            <w:tcW w:type="dxa" w:w="61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Build the high-priority missing screens: Agreement Editor, Invoice Run, accrual (FIX 5).</w:t>
            </w:r>
          </w:p>
        </w:tc>
        <w:tc>
          <w:tcPr>
            <w:tcW w:type="dxa" w:w="12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L</w:t>
            </w:r>
          </w:p>
        </w:tc>
        <w:tc>
          <w:tcPr>
            <w:tcW w:type="dxa" w:w="1560"/>
            <w:shd w:fill="F2F5F9" w:color="auto" w:val="clear"/>
            <w:tcMar>
              <w:top w:type="dxa" w:w="50"/>
              <w:left w:type="dxa" w:w="90"/>
              <w:bottom w:type="dxa" w:w="50"/>
              <w:right w:type="dxa" w:w="90"/>
            </w:tcMar>
            <w:vAlign w:val="center"/>
          </w:tcPr>
          <w:p>
            <w:pPr>
              <w:spacing w:after="0" w:line="240"/>
            </w:pPr>
            <w:r>
              <w:rPr>
                <w:rFonts w:ascii="Calibri" w:cs="Calibri" w:eastAsia="Calibri" w:hAnsi="Calibri"/>
                <w:b/>
                <w:bCs/>
                <w:color w:val="C0392B"/>
                <w:sz w:val="20"/>
                <w:szCs w:val="20"/>
              </w:rPr>
              <w:t xml:space="preserve">High</w:t>
            </w:r>
          </w:p>
        </w:tc>
      </w:tr>
      <w:tr>
        <w:tc>
          <w:tcPr>
            <w:tcW w:type="dxa" w:w="5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5</w:t>
            </w:r>
          </w:p>
        </w:tc>
        <w:tc>
          <w:tcPr>
            <w:tcW w:type="dxa" w:w="61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Deepen capture forms + document generation (FIX 4.2).</w:t>
            </w:r>
          </w:p>
        </w:tc>
        <w:tc>
          <w:tcPr>
            <w:tcW w:type="dxa" w:w="12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M</w:t>
            </w:r>
          </w:p>
        </w:tc>
        <w:tc>
          <w:tcPr>
            <w:tcW w:type="dxa" w:w="1560"/>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Med</w:t>
            </w:r>
          </w:p>
        </w:tc>
      </w:tr>
      <w:tr>
        <w:tc>
          <w:tcPr>
            <w:tcW w:type="dxa" w:w="5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6</w:t>
            </w:r>
          </w:p>
        </w:tc>
        <w:tc>
          <w:tcPr>
            <w:tcW w:type="dxa" w:w="61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Formatting cleanups + verify charts (FIX 3.3).</w:t>
            </w:r>
          </w:p>
        </w:tc>
        <w:tc>
          <w:tcPr>
            <w:tcW w:type="dxa" w:w="1200"/>
            <w:shd w:fill="F2F5F9" w:color="auto" w:val="clear"/>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S</w:t>
            </w:r>
          </w:p>
        </w:tc>
        <w:tc>
          <w:tcPr>
            <w:tcW w:type="dxa" w:w="1560"/>
            <w:shd w:fill="F2F5F9" w:color="auto" w:val="clear"/>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Med</w:t>
            </w:r>
          </w:p>
        </w:tc>
      </w:tr>
      <w:tr>
        <w:tc>
          <w:tcPr>
            <w:tcW w:type="dxa" w:w="5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7</w:t>
            </w:r>
          </w:p>
        </w:tc>
        <w:tc>
          <w:tcPr>
            <w:tcW w:type="dxa" w:w="61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Brand-accent pass + interaction states (FIX 4.3, 4.4).</w:t>
            </w:r>
          </w:p>
        </w:tc>
        <w:tc>
          <w:tcPr>
            <w:tcW w:type="dxa" w:w="1200"/>
            <w:tcMar>
              <w:top w:type="dxa" w:w="50"/>
              <w:left w:type="dxa" w:w="90"/>
              <w:bottom w:type="dxa" w:w="50"/>
              <w:right w:type="dxa" w:w="90"/>
            </w:tcMar>
            <w:vAlign w:val="center"/>
          </w:tcPr>
          <w:p>
            <w:pPr>
              <w:spacing w:after="0" w:line="240"/>
            </w:pPr>
            <w:r>
              <w:rPr>
                <w:rFonts w:ascii="Calibri" w:cs="Calibri" w:eastAsia="Calibri" w:hAnsi="Calibri"/>
                <w:color w:val="2A2A2A"/>
                <w:sz w:val="17"/>
                <w:szCs w:val="17"/>
              </w:rPr>
              <w:t xml:space="preserve">S</w:t>
            </w:r>
          </w:p>
        </w:tc>
        <w:tc>
          <w:tcPr>
            <w:tcW w:type="dxa" w:w="1560"/>
            <w:tcMar>
              <w:top w:type="dxa" w:w="50"/>
              <w:left w:type="dxa" w:w="90"/>
              <w:bottom w:type="dxa" w:w="50"/>
              <w:right w:type="dxa" w:w="90"/>
            </w:tcMar>
            <w:vAlign w:val="center"/>
          </w:tcPr>
          <w:p>
            <w:pPr>
              <w:spacing w:after="0" w:line="240"/>
            </w:pPr>
            <w:r>
              <w:rPr>
                <w:rFonts w:ascii="Calibri" w:cs="Calibri" w:eastAsia="Calibri" w:hAnsi="Calibri"/>
                <w:b/>
                <w:bCs/>
                <w:color w:val="E08A1E"/>
                <w:sz w:val="20"/>
                <w:szCs w:val="20"/>
              </w:rPr>
              <w:t xml:space="preserve">Med</w:t>
            </w:r>
          </w:p>
        </w:tc>
      </w:tr>
    </w:tbl>
    <w:tbl>
      <w:tblPr>
        <w:tblW w:type="dxa" w:w="9360"/>
        <w:tblBorders>
          <w:top w:val="single" w:color="E4E9F0" w:sz="2"/>
          <w:left w:val="single" w:color="1E3A5F" w:sz="30"/>
          <w:bottom w:val="single" w:color="E4E9F0" w:sz="2"/>
          <w:right w:val="single" w:color="E4E9F0" w:sz="2"/>
          <w:insideH w:val="none"/>
          <w:insideV w:val="none"/>
        </w:tblBorders>
      </w:tblPr>
      <w:tblGrid>
        <w:gridCol w:w="9360"/>
      </w:tblGrid>
      <w:tr>
        <w:tc>
          <w:tcPr>
            <w:tcW w:type="dxa" w:w="9360"/>
            <w:shd w:fill="F7F9FC" w:color="auto" w:val="clear"/>
            <w:tcMar>
              <w:top w:type="dxa" w:w="120"/>
              <w:left w:type="dxa" w:w="160"/>
              <w:bottom w:type="dxa" w:w="120"/>
              <w:right w:type="dxa" w:w="140"/>
            </w:tcMar>
          </w:tcPr>
          <w:p>
            <w:pPr>
              <w:spacing w:after="60"/>
            </w:pPr>
            <w:r>
              <w:rPr>
                <w:rFonts w:ascii="Calibri" w:cs="Calibri" w:eastAsia="Calibri" w:hAnsi="Calibri"/>
                <w:b/>
                <w:bCs/>
                <w:color w:val="1E3A5F"/>
                <w:sz w:val="19"/>
                <w:szCs w:val="19"/>
              </w:rPr>
              <w:t xml:space="preserve">Recommended sequence</w:t>
            </w:r>
          </w:p>
          <w:p>
            <w:pPr>
              <w:spacing w:after="30" w:line="258"/>
            </w:pPr>
            <w:r>
              <w:rPr>
                <w:rFonts w:ascii="Calibri" w:cs="Calibri" w:eastAsia="Calibri" w:hAnsi="Calibri"/>
                <w:color w:val="333333"/>
                <w:sz w:val="18"/>
                <w:szCs w:val="18"/>
              </w:rPr>
              <w:t xml:space="default"/>
            </w:r>
          </w:p>
        </w:tc>
      </w:tr>
    </w:tbl>
    <w:p>
      <w:pPr>
        <w:pStyle w:val="Heading2"/>
        <w:spacing w:after="100" w:before="240"/>
      </w:pPr>
      <w:r>
        <w:rPr>
          <w:rFonts w:ascii="Calibri" w:cs="Calibri" w:eastAsia="Calibri" w:hAnsi="Calibri"/>
          <w:color w:val="F7941D"/>
          <w:sz w:val="24"/>
          <w:szCs w:val="24"/>
        </w:rPr>
        <w:t xml:space="preserve">▍ </w:t>
      </w:r>
      <w:r>
        <w:rPr>
          <w:rFonts w:ascii="Calibri" w:cs="Calibri" w:eastAsia="Calibri" w:hAnsi="Calibri"/>
          <w:b/>
          <w:bCs/>
          <w:color w:val="1E3A5F"/>
          <w:sz w:val="24"/>
          <w:szCs w:val="24"/>
        </w:rPr>
        <w:t xml:space="preserve">6.1 One master prompt (if correcting in a single pass)</w:t>
      </w:r>
    </w:p>
    <w:p>
      <w:pPr>
        <w:spacing w:after="100" w:line="276"/>
      </w:pPr>
      <w:r>
        <w:rPr>
          <w:rFonts w:ascii="Calibri" w:cs="Calibri" w:eastAsia="Calibri" w:hAnsi="Calibri"/>
          <w:color w:val="2A2A2A"/>
          <w:sz w:val="20"/>
          <w:szCs w:val="20"/>
        </w:rPr>
        <w:t xml:space="preserve">If the team prefers to hand the whole correction set to one LLM pass, use this umbrella prompt, then the per-fix prompts above for detail.</w:t>
      </w:r>
    </w:p>
    <w:tbl>
      <w:tblPr>
        <w:tblW w:type="dxa" w:w="9360"/>
        <w:tblBorders>
          <w:top w:val="single" w:color="2A3A4F" w:sz="2"/>
          <w:left w:val="single" w:color="F7941D" w:sz="30"/>
          <w:bottom w:val="single" w:color="2A3A4F" w:sz="2"/>
          <w:right w:val="single" w:color="2A3A4F" w:sz="2"/>
          <w:insideH w:val="none"/>
          <w:insideV w:val="none"/>
        </w:tblBorders>
      </w:tblPr>
      <w:tblGrid>
        <w:gridCol w:w="9360"/>
      </w:tblGrid>
      <w:tr>
        <w:tc>
          <w:tcPr>
            <w:tcW w:type="dxa" w:w="9360"/>
            <w:shd w:fill="1E2A3A" w:color="auto" w:val="clear"/>
            <w:tcMar>
              <w:top w:type="dxa" w:w="120"/>
              <w:left w:type="dxa" w:w="160"/>
              <w:bottom w:type="dxa" w:w="120"/>
              <w:right w:type="dxa" w:w="140"/>
            </w:tcMar>
          </w:tcPr>
          <w:p>
            <w:pPr>
              <w:spacing w:after="60"/>
            </w:pPr>
            <w:r>
              <w:rPr>
                <w:rFonts w:ascii="Calibri" w:cs="Calibri" w:eastAsia="Calibri" w:hAnsi="Calibri"/>
                <w:b/>
                <w:bCs/>
                <w:color w:val="FFFFFF"/>
                <w:sz w:val="16"/>
                <w:szCs w:val="16"/>
              </w:rPr>
              <w:t xml:space="preserve">LLM CORRECTION PROMPT — MASTER PROMPT</w:t>
            </w:r>
          </w:p>
          <w:p>
            <w:pPr>
              <w:spacing w:after="20" w:line="250"/>
            </w:pPr>
            <w:r>
              <w:rPr>
                <w:rFonts w:ascii="Consolas" w:cs="Consolas" w:eastAsia="Consolas" w:hAnsi="Consolas"/>
                <w:color w:val="E8ECF2"/>
                <w:sz w:val="16"/>
                <w:szCs w:val="16"/>
              </w:rPr>
              <w:t xml:space="preserve">You are improving the VoltusFreight WMS prototype (Next.js). Make these changes without breaking</w:t>
            </w:r>
          </w:p>
          <w:p>
            <w:pPr>
              <w:spacing w:after="20" w:line="250"/>
            </w:pPr>
            <w:r>
              <w:rPr>
                <w:rFonts w:ascii="Consolas" w:cs="Consolas" w:eastAsia="Consolas" w:hAnsi="Consolas"/>
                <w:color w:val="E8ECF2"/>
                <w:sz w:val="16"/>
                <w:szCs w:val="16"/>
              </w:rPr>
              <w:t xml:space="preserve">existing screens, keeping the dark operator theme and VoltusWave brand (Deep Navy #1E3A5F, Voltus</w:t>
            </w:r>
          </w:p>
          <w:p>
            <w:pPr>
              <w:spacing w:after="20" w:line="250"/>
            </w:pPr>
            <w:r>
              <w:rPr>
                <w:rFonts w:ascii="Consolas" w:cs="Consolas" w:eastAsia="Consolas" w:hAnsi="Consolas"/>
                <w:color w:val="E8ECF2"/>
                <w:sz w:val="16"/>
                <w:szCs w:val="16"/>
              </w:rPr>
              <w:t xml:space="preserve">Orange #F7941D):</w:t>
            </w:r>
          </w:p>
          <w:p>
            <w:pPr>
              <w:spacing w:after="20" w:line="250"/>
            </w:pPr>
            <w:r>
              <w:rPr>
                <w:rFonts w:ascii="Consolas" w:cs="Consolas" w:eastAsia="Consolas" w:hAnsi="Consolas"/>
                <w:color w:val="E8ECF2"/>
                <w:sz w:val="16"/>
                <w:szCs w:val="16"/>
              </w:rPr>
              <w:t xml:space="preserve">1. Create a single shared mock-data module (/lib/mock-data.ts) with one client universe, one</w:t>
            </w:r>
          </w:p>
          <w:p>
            <w:pPr>
              <w:spacing w:after="20" w:line="250"/>
            </w:pPr>
            <w:r>
              <w:rPr>
                <w:rFonts w:ascii="Consolas" w:cs="Consolas" w:eastAsia="Consolas" w:hAnsi="Consolas"/>
                <w:color w:val="E8ECF2"/>
                <w:sz w:val="16"/>
                <w:szCs w:val="16"/>
              </w:rPr>
              <w:t xml:space="preserve">   stock/SKU set, one invoice set, all dates relative to TODAY = 2026-07-20. Refactor EVERY screen</w:t>
            </w:r>
          </w:p>
          <w:p>
            <w:pPr>
              <w:spacing w:after="20" w:line="250"/>
            </w:pPr>
            <w:r>
              <w:rPr>
                <w:rFonts w:ascii="Consolas" w:cs="Consolas" w:eastAsia="Consolas" w:hAnsi="Consolas"/>
                <w:color w:val="E8ECF2"/>
                <w:sz w:val="16"/>
                <w:szCs w:val="16"/>
              </w:rPr>
              <w:t xml:space="preserve">   to derive its KPIs by aggregating this data. The same client must show identical numbers</w:t>
            </w:r>
          </w:p>
          <w:p>
            <w:pPr>
              <w:spacing w:after="20" w:line="250"/>
            </w:pPr>
            <w:r>
              <w:rPr>
                <w:rFonts w:ascii="Consolas" w:cs="Consolas" w:eastAsia="Consolas" w:hAnsi="Consolas"/>
                <w:color w:val="E8ECF2"/>
                <w:sz w:val="16"/>
                <w:szCs w:val="16"/>
              </w:rPr>
              <w:t xml:space="preserve">   everywhere.</w:t>
            </w:r>
          </w:p>
          <w:p>
            <w:pPr>
              <w:spacing w:after="20" w:line="250"/>
            </w:pPr>
            <w:r>
              <w:rPr>
                <w:rFonts w:ascii="Consolas" w:cs="Consolas" w:eastAsia="Consolas" w:hAnsi="Consolas"/>
                <w:color w:val="E8ECF2"/>
                <w:sz w:val="16"/>
                <w:szCs w:val="16"/>
              </w:rPr>
              <w:t xml:space="preserve">2. LCL: enforce destination-matched consolidation and compute CBM-fill and weight-fill</w:t>
            </w:r>
          </w:p>
          <w:p>
            <w:pPr>
              <w:spacing w:after="20" w:line="250"/>
            </w:pPr>
            <w:r>
              <w:rPr>
                <w:rFonts w:ascii="Consolas" w:cs="Consolas" w:eastAsia="Consolas" w:hAnsi="Consolas"/>
                <w:color w:val="E8ECF2"/>
                <w:sz w:val="16"/>
                <w:szCs w:val="16"/>
              </w:rPr>
              <w:t xml:space="preserve">   independently from real per-receipt values.</w:t>
            </w:r>
          </w:p>
          <w:p>
            <w:pPr>
              <w:spacing w:after="20" w:line="250"/>
            </w:pPr>
            <w:r>
              <w:rPr>
                <w:rFonts w:ascii="Consolas" w:cs="Consolas" w:eastAsia="Consolas" w:hAnsi="Consolas"/>
                <w:color w:val="E8ECF2"/>
                <w:sz w:val="16"/>
                <w:szCs w:val="16"/>
              </w:rPr>
              <w:t xml:space="preserve">3. Customer Portal: give it its own lighter, operator-white-labelled layout with no operator</w:t>
            </w:r>
          </w:p>
          <w:p>
            <w:pPr>
              <w:spacing w:after="20" w:line="250"/>
            </w:pPr>
            <w:r>
              <w:rPr>
                <w:rFonts w:ascii="Consolas" w:cs="Consolas" w:eastAsia="Consolas" w:hAnsi="Consolas"/>
                <w:color w:val="E8ECF2"/>
                <w:sz w:val="16"/>
                <w:szCs w:val="16"/>
              </w:rPr>
              <w:t xml:space="preserve">   chrome.</w:t>
            </w:r>
          </w:p>
          <w:p>
            <w:pPr>
              <w:spacing w:after="20" w:line="250"/>
            </w:pPr>
            <w:r>
              <w:rPr>
                <w:rFonts w:ascii="Consolas" w:cs="Consolas" w:eastAsia="Consolas" w:hAnsi="Consolas"/>
                <w:color w:val="E8ECF2"/>
                <w:sz w:val="16"/>
                <w:szCs w:val="16"/>
              </w:rPr>
              <w:t xml:space="preserve">4. Add missing screens: Storage Agreement Editor, Billable Event Console + Invoice Run (GST),</w:t>
            </w:r>
          </w:p>
          <w:p>
            <w:pPr>
              <w:spacing w:after="20" w:line="250"/>
            </w:pPr>
            <w:r>
              <w:rPr>
                <w:rFonts w:ascii="Consolas" w:cs="Consolas" w:eastAsia="Consolas" w:hAnsi="Consolas"/>
                <w:color w:val="E8ECF2"/>
                <w:sz w:val="16"/>
                <w:szCs w:val="16"/>
              </w:rPr>
              <w:t xml:space="preserve">   storage-accrual visibility, ULD Build &amp; MAWB, De-Consolidation - matching the depth of the</w:t>
            </w:r>
          </w:p>
          <w:p>
            <w:pPr>
              <w:spacing w:after="20" w:line="250"/>
            </w:pPr>
            <w:r>
              <w:rPr>
                <w:rFonts w:ascii="Consolas" w:cs="Consolas" w:eastAsia="Consolas" w:hAnsi="Consolas"/>
                <w:color w:val="E8ECF2"/>
                <w:sz w:val="16"/>
                <w:szCs w:val="16"/>
              </w:rPr>
              <w:t xml:space="preserve">   existing LCL Consolidation Planner.</w:t>
            </w:r>
          </w:p>
          <w:p>
            <w:pPr>
              <w:spacing w:after="20" w:line="250"/>
            </w:pPr>
            <w:r>
              <w:rPr>
                <w:rFonts w:ascii="Consolas" w:cs="Consolas" w:eastAsia="Consolas" w:hAnsi="Consolas"/>
                <w:color w:val="E8ECF2"/>
                <w:sz w:val="16"/>
                <w:szCs w:val="16"/>
              </w:rPr>
              <w:t xml:space="preserve">5. Add live CBM / volumetric / chargeable-weight calculators to capture forms; implement the</w:t>
            </w:r>
          </w:p>
          <w:p>
            <w:pPr>
              <w:spacing w:after="20" w:line="250"/>
            </w:pPr>
            <w:r>
              <w:rPr>
                <w:rFonts w:ascii="Consolas" w:cs="Consolas" w:eastAsia="Consolas" w:hAnsi="Consolas"/>
                <w:color w:val="E8ECF2"/>
                <w:sz w:val="16"/>
                <w:szCs w:val="16"/>
              </w:rPr>
              <w:t xml:space="preserve">   4-step Ship-Out stepper (own-stock only); add document preview/download (manifest, MAWB, GST</w:t>
            </w:r>
          </w:p>
          <w:p>
            <w:pPr>
              <w:spacing w:after="20" w:line="250"/>
            </w:pPr>
            <w:r>
              <w:rPr>
                <w:rFonts w:ascii="Consolas" w:cs="Consolas" w:eastAsia="Consolas" w:hAnsi="Consolas"/>
                <w:color w:val="E8ECF2"/>
                <w:sz w:val="16"/>
                <w:szCs w:val="16"/>
              </w:rPr>
              <w:t xml:space="preserve">   invoice, e-way bill).</w:t>
            </w:r>
          </w:p>
          <w:p>
            <w:pPr>
              <w:spacing w:after="20" w:line="250"/>
            </w:pPr>
            <w:r>
              <w:rPr>
                <w:rFonts w:ascii="Consolas" w:cs="Consolas" w:eastAsia="Consolas" w:hAnsi="Consolas"/>
                <w:color w:val="E8ECF2"/>
                <w:sz w:val="16"/>
                <w:szCs w:val="16"/>
              </w:rPr>
              <w:t xml:space="preserve">6. Fix formatting: services as pills, zero dues as "—", verify charts render.</w:t>
            </w:r>
          </w:p>
          <w:p>
            <w:pPr>
              <w:spacing w:after="20" w:line="250"/>
            </w:pPr>
            <w:r>
              <w:rPr>
                <w:rFonts w:ascii="Consolas" w:cs="Consolas" w:eastAsia="Consolas" w:hAnsi="Consolas"/>
                <w:color w:val="E8ECF2"/>
                <w:sz w:val="16"/>
                <w:szCs w:val="16"/>
              </w:rPr>
              <w:t xml:space="preserve">Apply brand accents to CTAs, active nav and KPI deltas. Add empty/loading/error states and action</w:t>
            </w:r>
          </w:p>
          <w:p>
            <w:pPr>
              <w:spacing w:after="20" w:line="250"/>
            </w:pPr>
            <w:r>
              <w:rPr>
                <w:rFonts w:ascii="Consolas" w:cs="Consolas" w:eastAsia="Consolas" w:hAnsi="Consolas"/>
                <w:color w:val="E8ECF2"/>
                <w:sz w:val="16"/>
                <w:szCs w:val="16"/>
              </w:rPr>
              <w:t xml:space="preserve">toasts.</w:t>
            </w:r>
          </w:p>
        </w:tc>
      </w:tr>
    </w:tbl>
    <w:p>
      <w:pPr>
        <w:spacing w:after="160"/>
      </w:pPr>
      <w:r>
        <w:rPr>
          <w:sz w:val="4"/>
          <w:szCs w:val="4"/>
        </w:rPr>
        <w:t xml:space="preserve"/>
      </w:r>
    </w:p>
    <w:tbl>
      <w:tblPr>
        <w:tblW w:type="dxa" w:w="9360"/>
        <w:tblBorders>
          <w:top w:val="single" w:color="E4E9F0" w:sz="2"/>
          <w:left w:val="single" w:color="F7941D" w:sz="30"/>
          <w:bottom w:val="single" w:color="E4E9F0" w:sz="2"/>
          <w:right w:val="single" w:color="E4E9F0" w:sz="2"/>
          <w:insideH w:val="none"/>
          <w:insideV w:val="none"/>
        </w:tblBorders>
      </w:tblPr>
      <w:tblGrid>
        <w:gridCol w:w="9360"/>
      </w:tblGrid>
      <w:tr>
        <w:tc>
          <w:tcPr>
            <w:tcW w:type="dxa" w:w="9360"/>
            <w:shd w:fill="F7F9FC" w:color="auto" w:val="clear"/>
            <w:tcMar>
              <w:top w:type="dxa" w:w="120"/>
              <w:left w:type="dxa" w:w="160"/>
              <w:bottom w:type="dxa" w:w="120"/>
              <w:right w:type="dxa" w:w="140"/>
            </w:tcMar>
          </w:tcPr>
          <w:p>
            <w:pPr>
              <w:spacing w:after="60"/>
            </w:pPr>
            <w:r>
              <w:rPr>
                <w:rFonts w:ascii="Calibri" w:cs="Calibri" w:eastAsia="Calibri" w:hAnsi="Calibri"/>
                <w:b/>
                <w:bCs/>
                <w:color w:val="1E3A5F"/>
                <w:sz w:val="19"/>
                <w:szCs w:val="19"/>
              </w:rPr>
              <w:t xml:space="preserve">Bottom line</w:t>
            </w:r>
          </w:p>
          <w:p>
            <w:pPr>
              <w:spacing w:after="30" w:line="258"/>
            </w:pPr>
            <w:r>
              <w:rPr>
                <w:rFonts w:ascii="Calibri" w:cs="Calibri" w:eastAsia="Calibri" w:hAnsi="Calibri"/>
                <w:color w:val="333333"/>
                <w:sz w:val="18"/>
                <w:szCs w:val="18"/>
              </w:rPr>
              <w:t xml:space="defaul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FE7" w:sz="6" w:space="4"/>
      </w:pBdr>
      <w:tabs>
        <w:tab w:val="right" w:pos="9360"/>
      </w:tabs>
    </w:pPr>
    <w:r>
      <w:rPr>
        <w:rFonts w:ascii="Calibri" w:cs="Calibri" w:eastAsia="Calibri" w:hAnsi="Calibri"/>
        <w:color w:val="5A6472"/>
        <w:sz w:val="14"/>
        <w:szCs w:val="14"/>
      </w:rPr>
      <w:t xml:space="preserve">Confidential — VoltusFreight / WorldZone</w:t>
    </w:r>
    <w:r>
      <w:rPr>
        <w:rFonts w:ascii="Calibri" w:cs="Calibri" w:eastAsia="Calibri" w:hAnsi="Calibri"/>
        <w:color w:val="5A6472"/>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FE7" w:sz="6" w:space="4"/>
      </w:pBdr>
      <w:tabs>
        <w:tab w:val="right" w:pos="9360"/>
      </w:tabs>
    </w:pPr>
    <w:r>
      <w:rPr>
        <w:rFonts w:ascii="Calibri" w:cs="Calibri" w:eastAsia="Calibri" w:hAnsi="Calibri"/>
        <w:b/>
        <w:bCs/>
        <w:color w:val="1E3A5F"/>
        <w:sz w:val="16"/>
        <w:szCs w:val="16"/>
      </w:rPr>
      <w:t xml:space="preserve">VoltusFreight WMS</w:t>
    </w:r>
    <w:r>
      <w:rPr>
        <w:rFonts w:ascii="Calibri" w:cs="Calibri" w:eastAsia="Calibri" w:hAnsi="Calibri"/>
        <w:color w:val="5A6472"/>
        <w:sz w:val="15"/>
        <w:szCs w:val="15"/>
      </w:rPr>
      <w:t xml:space="preserve">	WMS Mock Review &amp; Correction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F7941D"/>
      </w:rPr>
    </w:lvl>
    <w:lvl w:ilvl="1" w15:tentative="1">
      <w:start w:val="1"/>
      <w:numFmt w:val="bullet"/>
      <w:lvlText w:val="◦"/>
      <w:lvlJc w:val="left"/>
      <w:pPr>
        <w:ind w:left="780" w:hanging="240"/>
      </w:pPr>
      <w:rPr>
        <w:color w:val="1E3A5F"/>
      </w:rPr>
    </w:lvl>
    <w:lvl w:ilvl="2" w15:tentative="1">
      <w:start w:val="1"/>
      <w:numFmt w:val="bullet"/>
      <w:lvlText w:val="–"/>
      <w:lvlJc w:val="left"/>
      <w:pPr>
        <w:ind w:left="1140" w:hanging="240"/>
      </w:pPr>
    </w:lvl>
  </w:abstractNum>
  <w:abstractNum w:abstractNumId="3" w15:restartNumberingAfterBreak="0">
    <w:multiLevelType w:val="hybridMultilevel"/>
    <w:lvl w:ilvl="0" w15:tentative="1">
      <w:start w:val="1"/>
      <w:numFmt w:val="decimal"/>
      <w:lvlText w:val="%1."/>
      <w:lvlJc w:val="left"/>
      <w:pPr>
        <w:ind w:left="420" w:hanging="260"/>
      </w:pPr>
      <w:rPr>
        <w:b/>
        <w:bCs/>
        <w:color w:val="1E3A5F"/>
      </w:rPr>
    </w:lvl>
    <w:lvl w:ilvl="1" w15:tentative="1">
      <w:start w:val="1"/>
      <w:numFmt w:val="lowerLetter"/>
      <w:lvlText w:val="%2."/>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E3A5F"/>
      <w:sz w:val="30"/>
      <w:szCs w:val="30"/>
    </w:rPr>
  </w:style>
  <w:style w:type="paragraph" w:styleId="Heading2">
    <w:name w:val="Heading 2"/>
    <w:basedOn w:val="Normal"/>
    <w:next w:val="Normal"/>
    <w:qFormat/>
    <w:pPr>
      <w:outlineLvl w:val="1"/>
    </w:pPr>
    <w:rPr>
      <w:rFonts w:ascii="Calibri" w:cs="Calibri" w:eastAsia="Calibri" w:hAnsi="Calibri"/>
      <w:b/>
      <w:bCs/>
      <w:color w:val="1E3A5F"/>
      <w:sz w:val="24"/>
      <w:szCs w:val="24"/>
    </w:rPr>
  </w:style>
  <w:style w:type="paragraph" w:styleId="Heading3">
    <w:name w:val="Heading 3"/>
    <w:basedOn w:val="Normal"/>
    <w:next w:val="Normal"/>
    <w:qFormat/>
    <w:pPr>
      <w:outlineLvl w:val="2"/>
    </w:pPr>
    <w:rPr>
      <w:rFonts w:ascii="Calibri" w:cs="Calibri" w:eastAsia="Calibri" w:hAnsi="Calibri"/>
      <w:b/>
      <w:bCs/>
      <w:color w:val="2E4E7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WMS Mock Review &amp; Correction Guide</dc:title>
  <dc:creator>VoltusFreight</dc:creator>
  <dc:description>WMS Mock Review &amp; Correction Guide</dc:description>
  <cp:lastModifiedBy>Un-named</cp:lastModifiedBy>
  <cp:revision>1</cp:revision>
  <dcterms:created xsi:type="dcterms:W3CDTF">2026-09-20T06:20:08.898Z</dcterms:created>
  <dcterms:modified xsi:type="dcterms:W3CDTF">2026-09-20T06:20:08.907Z</dcterms:modified>
</cp:coreProperties>
</file>

<file path=docProps/custom.xml><?xml version="1.0" encoding="utf-8"?>
<Properties xmlns="http://schemas.openxmlformats.org/officeDocument/2006/custom-properties" xmlns:vt="http://schemas.openxmlformats.org/officeDocument/2006/docPropsVTypes"/>
</file>