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Clinical Nursing Procedures Manual</w:t>
      </w:r>
    </w:p>
    <w:p>
      <w:pPr>
        <w:pStyle w:val="Heading1"/>
      </w:pPr>
      <w:r>
        <w:t>Vital Signs Monitoring</w:t>
      </w:r>
    </w:p>
    <w:p>
      <w:r>
        <w:t>Measure temperature, pulse, respiration, and blood pressure every 4 hours for standard inpatient units. Critical care units require continuous monitoring.</w:t>
      </w:r>
    </w:p>
    <w:p>
      <w:pPr>
        <w:pStyle w:val="Heading1"/>
      </w:pPr>
      <w:r>
        <w:t>Medication Administration</w:t>
      </w:r>
    </w:p>
    <w:p>
      <w:r>
        <w:t>Follow the five rights: right patient, right drug, right dose, right route, right time. Scan the patient wristband and medication barcode before administration. Document administration immediately in the electronic health record.</w:t>
      </w:r>
    </w:p>
    <w:p>
      <w:pPr>
        <w:pStyle w:val="Heading1"/>
      </w:pPr>
      <w:r>
        <w:t>Hand Hygiene Protocol</w:t>
      </w:r>
    </w:p>
    <w:p>
      <w:r>
        <w:t>Perform hand hygiene using alcohol-based rub for 20 seconds before and after every patient contact. Use soap and water when hands are visibly soiled.</w:t>
      </w:r>
    </w:p>
    <w:p>
      <w:pPr>
        <w:pStyle w:val="Heading1"/>
      </w:pPr>
      <w:r>
        <w:t>Patient Charting Standards</w:t>
      </w:r>
    </w:p>
    <w:p>
      <w:r>
        <w:t>Chart entries must be timely, accurate, and signed with credentials. Late entries require an explanation note.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