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Coding Standards</w:t>
      </w:r>
    </w:p>
    <w:p>
      <w:pPr>
        <w:pStyle w:val="Heading1"/>
      </w:pPr>
      <w:r>
        <w:t>Naming Conventions</w:t>
      </w:r>
    </w:p>
    <w:p>
      <w:r>
        <w:t>Classes use PascalCase. Functions and variables use snake_case. Constants use UPPER_SNAKE_CASE. Module names are lowercase without underscores.</w:t>
      </w:r>
    </w:p>
    <w:p>
      <w:pPr>
        <w:pStyle w:val="Heading1"/>
      </w:pPr>
      <w:r>
        <w:t>Error Handling</w:t>
      </w:r>
    </w:p>
    <w:p>
      <w:r>
        <w:t>Catch exceptions at service boundaries. Log errors with structured JSON including timestamp, severity, correlation_id, and stack trace. Never swallow exceptions silently.</w:t>
      </w:r>
    </w:p>
    <w:p>
      <w:pPr>
        <w:pStyle w:val="Heading1"/>
      </w:pPr>
      <w:r>
        <w:t>Documentation</w:t>
      </w:r>
    </w:p>
    <w:p>
      <w:r>
        <w:t>Public APIs require docstrings describing parameters, return values, and raised exceptions. README files must include setup, test, and deployment instructions.</w:t>
      </w:r>
    </w:p>
    <w:p>
      <w:pPr>
        <w:pStyle w:val="Heading1"/>
      </w:pPr>
      <w:r>
        <w:t>Code Review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Readability</w:t>
            </w:r>
          </w:p>
        </w:tc>
        <w:tc>
          <w:tcPr>
            <w:tcW w:type="dxa" w:w="4320"/>
          </w:tcPr>
          <w:p>
            <w:r>
              <w:t>Code is self-explanatory with minimal comments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New logic includes unit tests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No hardcoded secrets or credentials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No obvious N+1 queries or blocking calls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