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Integration Guidelines</w:t>
      </w:r>
    </w:p>
    <w:p>
      <w:pPr>
        <w:pStyle w:val="Heading1"/>
      </w:pPr>
      <w:r>
        <w:t>1. Overview</w:t>
      </w:r>
    </w:p>
    <w:p>
      <w:r>
        <w:t>This document outlines the standard approaches for API integration, focusing on REST and SOAP protocols.</w:t>
      </w:r>
    </w:p>
    <w:p>
      <w:pPr>
        <w:pStyle w:val="Heading1"/>
      </w:pPr>
      <w:r>
        <w:t>2. REST APIs</w:t>
      </w:r>
    </w:p>
    <w:p>
      <w:r>
        <w:t>We primarily use REST (Representational State Transfer) for our microservices architecture. It uses standard HTTP methods for resource manipulation.</w:t>
      </w:r>
    </w:p>
    <w:p>
      <w:pPr>
        <w:pStyle w:val="Heading1"/>
      </w:pPr>
      <w:r>
        <w:t>3. HTTP Methods</w:t>
      </w:r>
    </w:p>
    <w:p>
      <w:r>
        <w:t>- GET: Retrieve a resource.</w:t>
      </w:r>
    </w:p>
    <w:p>
      <w:r>
        <w:t>- POST: Create a new resource.</w:t>
      </w:r>
    </w:p>
    <w:p>
      <w:r>
        <w:t>- PUT: Update an existing resource completely.</w:t>
      </w:r>
    </w:p>
    <w:p>
      <w:r>
        <w:t>- PATCH: Partially update a resource.</w:t>
      </w:r>
    </w:p>
    <w:p>
      <w:r>
        <w:t>- DELETE: Remove a resource.</w:t>
      </w:r>
    </w:p>
    <w:p>
      <w:pPr>
        <w:pStyle w:val="Heading1"/>
      </w:pPr>
      <w:r>
        <w:t>4. SOAP Services</w:t>
      </w:r>
    </w:p>
    <w:p>
      <w:r>
        <w:t>SOAP (Simple Object Access Protocol) is maintained only for legacy enterprise system integrations. All new services should use REST. SOAP messages are XML-based and typically transported over HTTP.</w:t>
      </w:r>
    </w:p>
    <w:p>
      <w:pPr>
        <w:pStyle w:val="Heading1"/>
      </w:pPr>
      <w:r>
        <w:t>5. API Authentication</w:t>
      </w:r>
    </w:p>
    <w:p>
      <w:r>
        <w:t>All API endpoints require authentication using OAuth 2.0. Clients must obtain a bearer token and include it in the Authorization header: "Authorization: Bearer &lt;token&gt;".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