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Service Level Agreement Commitments</w:t>
      </w:r>
    </w:p>
    <w:p>
      <w:r>
        <w:t>Document Reference: Client_SLA_Commitments.docx</w:t>
      </w:r>
    </w:p>
    <w:p>
      <w:r>
        <w:t>Date Created: 2026-05-29</w:t>
      </w:r>
    </w:p>
    <w:p>
      <w:r>
        <w:t>We commit to a 99.9% uptime SLA for enterprise clients, excluding planned maintenance windows. Planned maintenance is announced 5 business days in advance. Uptime is calculated monthly. Uptime infractions between 99.0% and 99.9% trigger a 10% billing credit; uptime below 99.0% triggers a 25% refund.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