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Elasticsearch Cluster Index Management</w:t>
      </w:r>
    </w:p>
    <w:p>
      <w:r>
        <w:t>Document Reference: Elasticsearch_Indexing.docx</w:t>
      </w:r>
    </w:p>
    <w:p>
      <w:r>
        <w:t>Date Created: 2026-05-29</w:t>
      </w:r>
    </w:p>
    <w:p>
      <w:r>
        <w:t>Elasticsearch handles logs and full-text search. Index lifecycle management (ILM) automatically rolls over indices exceeding 50GB or 30 days. Hot index nodes use NVMe SSD storage; warm index nodes utilize standard HDD volumes. Index templates define dynamic mappings, ensuring text fields have keyword sub-fields.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