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Expense Reimbursement Policy</w:t>
      </w:r>
    </w:p>
    <w:p>
      <w:r>
        <w:t>Document Reference: Employee_Expense_Policy.docx</w:t>
      </w:r>
    </w:p>
    <w:p>
      <w:r>
        <w:t>Date Created: 2026-05-29</w:t>
      </w:r>
    </w:p>
    <w:p>
      <w:r>
        <w:t>Expense reports must be submitted via Expensify within 30 days of purchase. Standard meals are capped at $50 per person. Travel airfares must be booked in economy class. Purchases of software licenses or hardware accessories exceeding $100 require pre-approval from the IT manager. Receipts are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