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Data Retention and Disposal Policy</w:t>
      </w:r>
    </w:p>
    <w:p>
      <w:r>
        <w:t>Document Reference: Data_Retention_Policy.docx</w:t>
      </w:r>
    </w:p>
    <w:p>
      <w:r>
        <w:t>Date Created: 2026-05-29</w:t>
      </w:r>
    </w:p>
    <w:p>
      <w:r>
        <w:t>Customer database transactional records are retained for 7 years from transaction date to comply with financial regulations. Session logs are retained for 90 days. User account profiles are deleted 30 days after subscription termination. Data scrubbing uses cryptographic deletion (shredding) on block storage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