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AB24" w14:textId="77777777" w:rsidR="004B09C8" w:rsidRDefault="0079736C">
      <w:pPr>
        <w:pStyle w:val="FirstParagraph"/>
      </w:pPr>
      <w:r>
        <w:rPr>
          <w:noProof/>
        </w:rPr>
        <w:drawing>
          <wp:inline distT="0" distB="0" distL="0" distR="0" wp14:anchorId="68350DED" wp14:editId="56641BBB">
            <wp:extent cx="1151999" cy="1151999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unboli-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15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F3155" w14:textId="77777777" w:rsidR="004B09C8" w:rsidRDefault="0079736C">
      <w:pPr>
        <w:pStyle w:val="Textoindependiente"/>
      </w:pPr>
      <w:r>
        <w:rPr>
          <w:b/>
          <w:bCs/>
        </w:rPr>
        <w:t>[NOMBRE DE LA UNIVERSIDAD / INSTITUCIÓN]</w:t>
      </w:r>
    </w:p>
    <w:p w14:paraId="20147EFE" w14:textId="77777777" w:rsidR="004B09C8" w:rsidRDefault="0079736C">
      <w:pPr>
        <w:pStyle w:val="Textoindependiente"/>
      </w:pPr>
      <w:r>
        <w:rPr>
          <w:b/>
          <w:bCs/>
        </w:rPr>
        <w:t>[Facultad de … · Carrera de …]</w:t>
      </w:r>
    </w:p>
    <w:p w14:paraId="4D58AC84" w14:textId="77777777" w:rsidR="004B09C8" w:rsidRDefault="0079736C">
      <w:pPr>
        <w:pStyle w:val="Textoindependiente"/>
      </w:pPr>
      <w:r>
        <w:t> </w:t>
      </w:r>
    </w:p>
    <w:p w14:paraId="5DDF206A" w14:textId="77777777" w:rsidR="004B09C8" w:rsidRDefault="0079736C">
      <w:pPr>
        <w:pStyle w:val="Textoindependiente"/>
      </w:pPr>
      <w:r>
        <w:t> </w:t>
      </w:r>
    </w:p>
    <w:p w14:paraId="53EB61E4" w14:textId="77777777" w:rsidR="004B09C8" w:rsidRDefault="0079736C">
      <w:pPr>
        <w:spacing w:before="240" w:after="60"/>
        <w:jc w:val="center"/>
      </w:pPr>
      <w:r>
        <w:rPr>
          <w:b/>
          <w:sz w:val="72"/>
        </w:rPr>
        <w:t>HUNBOLI</w:t>
      </w:r>
    </w:p>
    <w:p w14:paraId="08174A70" w14:textId="77777777" w:rsidR="004B09C8" w:rsidRDefault="0079736C">
      <w:pPr>
        <w:spacing w:after="240"/>
        <w:jc w:val="center"/>
      </w:pPr>
      <w:r>
        <w:rPr>
          <w:b/>
          <w:sz w:val="28"/>
        </w:rPr>
        <w:t>Stablecoin nacional respaldada por fiat como infraestructura digital de pagos para Bolivia</w:t>
      </w:r>
    </w:p>
    <w:p w14:paraId="008F5FAA" w14:textId="77777777" w:rsidR="004B09C8" w:rsidRDefault="0079736C">
      <w:pPr>
        <w:pStyle w:val="Textoindependiente"/>
      </w:pPr>
      <w:r>
        <w:rPr>
          <w:i/>
          <w:iCs/>
        </w:rPr>
        <w:t>Tesina presentada como propuesta de infraestructura financiera digital de alcance nacional</w:t>
      </w:r>
    </w:p>
    <w:p w14:paraId="1755C059" w14:textId="77777777" w:rsidR="004B09C8" w:rsidRDefault="0079736C">
      <w:pPr>
        <w:pStyle w:val="Textoindependiente"/>
      </w:pPr>
      <w:r>
        <w:t> </w:t>
      </w:r>
    </w:p>
    <w:p w14:paraId="4FC0C3AA" w14:textId="77777777" w:rsidR="004B09C8" w:rsidRDefault="0079736C">
      <w:pPr>
        <w:pStyle w:val="Textoindependiente"/>
      </w:pPr>
      <w:r>
        <w:t> </w:t>
      </w:r>
    </w:p>
    <w:p w14:paraId="311F31FA" w14:textId="77777777" w:rsidR="004B09C8" w:rsidRDefault="0079736C">
      <w:pPr>
        <w:pStyle w:val="Textoindependiente"/>
      </w:pPr>
      <w:r>
        <w:rPr>
          <w:b/>
          <w:bCs/>
        </w:rPr>
        <w:t>Autor(es):</w:t>
      </w:r>
      <w:r>
        <w:t xml:space="preserve"> </w:t>
      </w:r>
      <w:r>
        <w:rPr>
          <w:i/>
          <w:iCs/>
        </w:rPr>
        <w:t>[Nombre completo del autor / equipo]</w:t>
      </w:r>
    </w:p>
    <w:p w14:paraId="14CD247B" w14:textId="77777777" w:rsidR="004B09C8" w:rsidRDefault="0079736C">
      <w:pPr>
        <w:pStyle w:val="Textoindependiente"/>
      </w:pPr>
      <w:r>
        <w:rPr>
          <w:b/>
          <w:bCs/>
        </w:rPr>
        <w:t>Tutor / Asesor:</w:t>
      </w:r>
      <w:r>
        <w:t xml:space="preserve"> </w:t>
      </w:r>
      <w:r>
        <w:rPr>
          <w:i/>
          <w:iCs/>
        </w:rPr>
        <w:t>[Nombre del tutor]</w:t>
      </w:r>
    </w:p>
    <w:p w14:paraId="1CFD424D" w14:textId="77777777" w:rsidR="004B09C8" w:rsidRDefault="0079736C">
      <w:pPr>
        <w:pStyle w:val="Textoindependiente"/>
      </w:pPr>
      <w:r>
        <w:rPr>
          <w:b/>
          <w:bCs/>
        </w:rPr>
        <w:t>Carrera:</w:t>
      </w:r>
      <w:r>
        <w:t xml:space="preserve"> </w:t>
      </w:r>
      <w:r>
        <w:rPr>
          <w:i/>
          <w:iCs/>
        </w:rPr>
        <w:t>[Ingeniería de Sistemas / Ingeniería Financiera / etc.]</w:t>
      </w:r>
    </w:p>
    <w:p w14:paraId="3AE53F9E" w14:textId="77777777" w:rsidR="004B09C8" w:rsidRDefault="0079736C">
      <w:pPr>
        <w:pStyle w:val="Textoindependiente"/>
      </w:pPr>
      <w:r>
        <w:t> </w:t>
      </w:r>
    </w:p>
    <w:p w14:paraId="07C65A5B" w14:textId="77777777" w:rsidR="004B09C8" w:rsidRDefault="0079736C">
      <w:pPr>
        <w:pStyle w:val="Textoindependiente"/>
      </w:pPr>
      <w:r>
        <w:t> </w:t>
      </w:r>
    </w:p>
    <w:p w14:paraId="5F85133F" w14:textId="77777777" w:rsidR="004B09C8" w:rsidRDefault="0079736C">
      <w:pPr>
        <w:pStyle w:val="Textoindependiente"/>
      </w:pPr>
      <w:r>
        <w:rPr>
          <w:b/>
          <w:bCs/>
        </w:rPr>
        <w:t>La Paz — Estado Plurinacional de Bolivia</w:t>
      </w:r>
    </w:p>
    <w:p w14:paraId="0F404EF3" w14:textId="77777777" w:rsidR="004B09C8" w:rsidRDefault="0079736C">
      <w:pPr>
        <w:pStyle w:val="Textoindependiente"/>
      </w:pPr>
      <w:r>
        <w:rPr>
          <w:b/>
          <w:bCs/>
        </w:rPr>
        <w:t>2026 · Versión 1.0</w:t>
      </w:r>
    </w:p>
    <w:p w14:paraId="31218BCE" w14:textId="77777777" w:rsidR="004B09C8" w:rsidRDefault="0079736C">
      <w:r>
        <w:br w:type="page"/>
      </w:r>
    </w:p>
    <w:p w14:paraId="6EFD3B45" w14:textId="77777777" w:rsidR="004B09C8" w:rsidRDefault="0079736C">
      <w:pPr>
        <w:pStyle w:val="Textoindependiente"/>
      </w:pPr>
      <w:r>
        <w:rPr>
          <w:noProof/>
        </w:rPr>
        <w:drawing>
          <wp:inline distT="0" distB="0" distL="0" distR="0" wp14:anchorId="5988BE95" wp14:editId="6E043850">
            <wp:extent cx="791999" cy="791999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unboli-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7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D7B351" w14:textId="77777777" w:rsidR="004B09C8" w:rsidRDefault="0079736C">
      <w:pPr>
        <w:pStyle w:val="Ttulo1"/>
      </w:pPr>
      <w:bookmarkStart w:id="0" w:name="quiénes-somos"/>
      <w:bookmarkStart w:id="1" w:name="_Toc232848541"/>
      <w:r>
        <w:t>Quiénes somos</w:t>
      </w:r>
      <w:bookmarkEnd w:id="1"/>
    </w:p>
    <w:p w14:paraId="0506D79D" w14:textId="77777777" w:rsidR="004B09C8" w:rsidRDefault="0079736C">
      <w:pPr>
        <w:pStyle w:val="FirstParagraph"/>
      </w:pPr>
      <w:r>
        <w:rPr>
          <w:b/>
          <w:bCs/>
        </w:rPr>
        <w:t>HUNBOLI</w:t>
      </w:r>
      <w:r>
        <w:t xml:space="preserve"> es un proyecto tecnológico boliviano dedicado al diseño y desarrollo de </w:t>
      </w:r>
      <w:r>
        <w:rPr>
          <w:b/>
          <w:bCs/>
        </w:rPr>
        <w:t>infraestructura financiera digital de nueva generación</w:t>
      </w:r>
      <w:r>
        <w:t>. Construimos una plataforma de moneda estable (</w:t>
      </w:r>
      <w:r>
        <w:rPr>
          <w:i/>
          <w:iCs/>
        </w:rPr>
        <w:t>stablecoin</w:t>
      </w:r>
      <w:r>
        <w:t xml:space="preserve">) respaldada por moneda fiduciaria, pensada desde su origen para operar </w:t>
      </w:r>
      <w:r>
        <w:rPr>
          <w:b/>
          <w:bCs/>
        </w:rPr>
        <w:t>dentro del marco legal</w:t>
      </w:r>
      <w:r>
        <w:t>, con los más altos estándares de seguridad, trazabilidad y cumplimiento regulatorio.</w:t>
      </w:r>
    </w:p>
    <w:p w14:paraId="728A4373" w14:textId="77777777" w:rsidR="004B09C8" w:rsidRDefault="0079736C">
      <w:pPr>
        <w:pStyle w:val="Textoindependiente"/>
      </w:pPr>
      <w:r>
        <w:t xml:space="preserve">Somos un equipo multidisciplinario que combina </w:t>
      </w:r>
      <w:r>
        <w:rPr>
          <w:b/>
          <w:bCs/>
        </w:rPr>
        <w:t>ingeniería de software, seguridad informática (blockchain), finanzas y cumplimiento normativo</w:t>
      </w:r>
      <w:r>
        <w:t>. Hemos desarrollado un sistema funcional y verificable de extremo a extremo —contratos inteligentes, plataforma de gestión y aplicación de usuario— que demuestra que es posible llevar el dinero digital a Bolivia de forma soberana, segura y supervisable.</w:t>
      </w:r>
    </w:p>
    <w:p w14:paraId="3D4A936E" w14:textId="77777777" w:rsidR="004B09C8" w:rsidRDefault="0079736C">
      <w:pPr>
        <w:pStyle w:val="Ttulo2"/>
      </w:pPr>
      <w:bookmarkStart w:id="2" w:name="nuestra-misión"/>
      <w:bookmarkStart w:id="3" w:name="_Toc232848542"/>
      <w:r>
        <w:t>Nuestra misión</w:t>
      </w:r>
      <w:bookmarkEnd w:id="3"/>
    </w:p>
    <w:p w14:paraId="7106B827" w14:textId="77777777" w:rsidR="004B09C8" w:rsidRDefault="0079736C">
      <w:pPr>
        <w:pStyle w:val="FirstParagraph"/>
      </w:pPr>
      <w:r>
        <w:t>Democratizar el acceso a servicios financieros digitales en Bolivia mediante una moneda estable respaldada, segura y trazable, que reduzca costos, amplíe la inclusión financiera y fortalezca la economía formal del país.</w:t>
      </w:r>
    </w:p>
    <w:p w14:paraId="29D39E2A" w14:textId="77777777" w:rsidR="004B09C8" w:rsidRDefault="0079736C">
      <w:pPr>
        <w:pStyle w:val="Ttulo2"/>
      </w:pPr>
      <w:bookmarkStart w:id="4" w:name="nuestra-visión"/>
      <w:bookmarkStart w:id="5" w:name="_Toc232848543"/>
      <w:bookmarkEnd w:id="2"/>
      <w:r>
        <w:t>Nuestra visión</w:t>
      </w:r>
      <w:bookmarkEnd w:id="5"/>
    </w:p>
    <w:p w14:paraId="36677D9C" w14:textId="77777777" w:rsidR="004B09C8" w:rsidRDefault="0079736C">
      <w:pPr>
        <w:pStyle w:val="FirstParagraph"/>
      </w:pPr>
      <w:r>
        <w:t>Ser la infraestructura de pagos digitales de referencia del país: un puente confiable entre el sistema financiero tradicional y la economía digital, operando en alianza con las instituciones del Estado y bajo su supervisión.</w:t>
      </w:r>
    </w:p>
    <w:p w14:paraId="3B4AA708" w14:textId="77777777" w:rsidR="004B09C8" w:rsidRDefault="0079736C">
      <w:pPr>
        <w:pStyle w:val="Ttulo2"/>
      </w:pPr>
      <w:bookmarkStart w:id="6" w:name="nuestros-valores"/>
      <w:bookmarkStart w:id="7" w:name="_Toc232848544"/>
      <w:bookmarkEnd w:id="4"/>
      <w:r>
        <w:t>Nuestros valores</w:t>
      </w:r>
      <w:bookmarkEnd w:id="7"/>
    </w:p>
    <w:p w14:paraId="39F6C42F" w14:textId="77777777" w:rsidR="004B09C8" w:rsidRDefault="0079736C">
      <w:pPr>
        <w:pStyle w:val="Compact"/>
        <w:numPr>
          <w:ilvl w:val="0"/>
          <w:numId w:val="2"/>
        </w:numPr>
      </w:pPr>
      <w:r>
        <w:rPr>
          <w:b/>
          <w:bCs/>
        </w:rPr>
        <w:t>Cumplimiento primero:</w:t>
      </w:r>
      <w:r>
        <w:t xml:space="preserve"> </w:t>
      </w:r>
      <w:r>
        <w:t>la regulación y la protección al usuario son el punto de partida, no un añadido.</w:t>
      </w:r>
    </w:p>
    <w:p w14:paraId="4AD11697" w14:textId="77777777" w:rsidR="004B09C8" w:rsidRDefault="0079736C">
      <w:pPr>
        <w:pStyle w:val="Compact"/>
        <w:numPr>
          <w:ilvl w:val="0"/>
          <w:numId w:val="2"/>
        </w:numPr>
      </w:pPr>
      <w:r>
        <w:rPr>
          <w:b/>
          <w:bCs/>
        </w:rPr>
        <w:t>Transparencia:</w:t>
      </w:r>
      <w:r>
        <w:t xml:space="preserve"> cada operación es auditable y verificable.</w:t>
      </w:r>
    </w:p>
    <w:p w14:paraId="525C7EB0" w14:textId="77777777" w:rsidR="004B09C8" w:rsidRDefault="0079736C">
      <w:pPr>
        <w:pStyle w:val="Compact"/>
        <w:numPr>
          <w:ilvl w:val="0"/>
          <w:numId w:val="2"/>
        </w:numPr>
      </w:pPr>
      <w:r>
        <w:rPr>
          <w:b/>
          <w:bCs/>
        </w:rPr>
        <w:t>Soberanía:</w:t>
      </w:r>
      <w:r>
        <w:t xml:space="preserve"> tecnología nacional al servicio del país.</w:t>
      </w:r>
    </w:p>
    <w:p w14:paraId="41750BFD" w14:textId="77777777" w:rsidR="004B09C8" w:rsidRDefault="0079736C">
      <w:pPr>
        <w:pStyle w:val="Compact"/>
        <w:numPr>
          <w:ilvl w:val="0"/>
          <w:numId w:val="2"/>
        </w:numPr>
      </w:pPr>
      <w:r>
        <w:rPr>
          <w:b/>
          <w:bCs/>
        </w:rPr>
        <w:t>Seguridad:</w:t>
      </w:r>
      <w:r>
        <w:t xml:space="preserve"> controles de grado institucional en cada capa del sistema.</w:t>
      </w:r>
    </w:p>
    <w:p w14:paraId="4259D1E3" w14:textId="77777777" w:rsidR="004B09C8" w:rsidRDefault="0079736C">
      <w:pPr>
        <w:pStyle w:val="Ttulo2"/>
      </w:pPr>
      <w:bookmarkStart w:id="8" w:name="qué-hemos-construido"/>
      <w:bookmarkStart w:id="9" w:name="_Toc232848545"/>
      <w:bookmarkEnd w:id="6"/>
      <w:r>
        <w:t>Qué hemos construido</w:t>
      </w:r>
      <w:bookmarkEnd w:id="9"/>
    </w:p>
    <w:p w14:paraId="0AD5B74D" w14:textId="77777777" w:rsidR="004B09C8" w:rsidRDefault="0079736C">
      <w:pPr>
        <w:pStyle w:val="Compact"/>
        <w:numPr>
          <w:ilvl w:val="0"/>
          <w:numId w:val="3"/>
        </w:numPr>
      </w:pPr>
      <w:r>
        <w:t xml:space="preserve">Un </w:t>
      </w:r>
      <w:r>
        <w:rPr>
          <w:b/>
          <w:bCs/>
        </w:rPr>
        <w:t>contrato inteligente</w:t>
      </w:r>
      <w:r>
        <w:t xml:space="preserve"> (token BOBH) con controles regulatorios de grado institucional.</w:t>
      </w:r>
    </w:p>
    <w:p w14:paraId="43E5C38A" w14:textId="77777777" w:rsidR="004B09C8" w:rsidRDefault="0079736C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plataforma de gestión</w:t>
      </w:r>
      <w:r>
        <w:t xml:space="preserve"> </w:t>
      </w:r>
      <w:r>
        <w:t>con verificación de identidad (KYC), validación de operaciones y custodia con firma múltiple.</w:t>
      </w:r>
    </w:p>
    <w:p w14:paraId="608B524F" w14:textId="77777777" w:rsidR="004B09C8" w:rsidRDefault="0079736C">
      <w:pPr>
        <w:pStyle w:val="Compact"/>
        <w:numPr>
          <w:ilvl w:val="0"/>
          <w:numId w:val="3"/>
        </w:numPr>
      </w:pPr>
      <w:r>
        <w:t xml:space="preserve">Una </w:t>
      </w:r>
      <w:r>
        <w:rPr>
          <w:b/>
          <w:bCs/>
        </w:rPr>
        <w:t>aplicación de usuario</w:t>
      </w:r>
      <w:r>
        <w:t xml:space="preserve"> para depósito, retiro, transferencia y consulta de saldo.</w:t>
      </w:r>
    </w:p>
    <w:p w14:paraId="5BE17DFC" w14:textId="77777777" w:rsidR="004B09C8" w:rsidRDefault="0079736C">
      <w:pPr>
        <w:pStyle w:val="Textodebloque"/>
      </w:pPr>
      <w:r>
        <w:rPr>
          <w:i/>
          <w:iCs/>
        </w:rPr>
        <w:t>Todo el sistema descrito en este documento fue desarrollado y validado por nuestro equipo; no se trata de una idea conceptual, sino de un producto funcional.</w:t>
      </w:r>
    </w:p>
    <w:p w14:paraId="74AB0BDA" w14:textId="77777777" w:rsidR="004B09C8" w:rsidRDefault="0079736C">
      <w:pPr>
        <w:pStyle w:val="Ttulo2"/>
      </w:pPr>
      <w:bookmarkStart w:id="10" w:name="nuestro-equipo"/>
      <w:bookmarkStart w:id="11" w:name="_Toc232848546"/>
      <w:bookmarkEnd w:id="8"/>
      <w:r>
        <w:t>Nuestro equipo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7"/>
        <w:gridCol w:w="1773"/>
        <w:gridCol w:w="4966"/>
      </w:tblGrid>
      <w:tr w:rsidR="004B09C8" w14:paraId="478A2E59" w14:textId="77777777" w:rsidTr="004B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60F2AC32" w14:textId="77777777" w:rsidR="004B09C8" w:rsidRDefault="0079736C">
            <w:pPr>
              <w:pStyle w:val="Compact"/>
            </w:pPr>
            <w:r>
              <w:t>Nombre</w:t>
            </w:r>
          </w:p>
        </w:tc>
        <w:tc>
          <w:tcPr>
            <w:tcW w:w="1466" w:type="dxa"/>
          </w:tcPr>
          <w:p w14:paraId="58C4D9B2" w14:textId="77777777" w:rsidR="004B09C8" w:rsidRDefault="0079736C">
            <w:pPr>
              <w:pStyle w:val="Compact"/>
            </w:pPr>
            <w:r>
              <w:t>Rol</w:t>
            </w:r>
          </w:p>
        </w:tc>
        <w:tc>
          <w:tcPr>
            <w:tcW w:w="4106" w:type="dxa"/>
          </w:tcPr>
          <w:p w14:paraId="12E07236" w14:textId="77777777" w:rsidR="004B09C8" w:rsidRDefault="0079736C">
            <w:pPr>
              <w:pStyle w:val="Compact"/>
            </w:pPr>
            <w:r>
              <w:t>Especialidad</w:t>
            </w:r>
          </w:p>
        </w:tc>
      </w:tr>
      <w:tr w:rsidR="004B09C8" w14:paraId="3DFA9815" w14:textId="77777777">
        <w:tc>
          <w:tcPr>
            <w:tcW w:w="2346" w:type="dxa"/>
          </w:tcPr>
          <w:p w14:paraId="1B20F708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[Nombre y apellido]</w:t>
            </w:r>
          </w:p>
        </w:tc>
        <w:tc>
          <w:tcPr>
            <w:tcW w:w="1466" w:type="dxa"/>
          </w:tcPr>
          <w:p w14:paraId="5AB1BA8E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[Fundador / CEO]</w:t>
            </w:r>
          </w:p>
        </w:tc>
        <w:tc>
          <w:tcPr>
            <w:tcW w:w="4106" w:type="dxa"/>
          </w:tcPr>
          <w:p w14:paraId="6F4ED2D1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[Ej.: Blockchain / Arquitectura]</w:t>
            </w:r>
          </w:p>
        </w:tc>
      </w:tr>
      <w:tr w:rsidR="004B09C8" w14:paraId="58BDEEEA" w14:textId="77777777">
        <w:tc>
          <w:tcPr>
            <w:tcW w:w="2346" w:type="dxa"/>
          </w:tcPr>
          <w:p w14:paraId="51A936B8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[Nombre y apellido]</w:t>
            </w:r>
          </w:p>
        </w:tc>
        <w:tc>
          <w:tcPr>
            <w:tcW w:w="1466" w:type="dxa"/>
          </w:tcPr>
          <w:p w14:paraId="63A5098F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[CTO / Líder técnico]</w:t>
            </w:r>
          </w:p>
        </w:tc>
        <w:tc>
          <w:tcPr>
            <w:tcW w:w="4106" w:type="dxa"/>
          </w:tcPr>
          <w:p w14:paraId="4D6C8F2F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[Ej.: Backend / Seguridad]</w:t>
            </w:r>
          </w:p>
        </w:tc>
      </w:tr>
      <w:tr w:rsidR="004B09C8" w14:paraId="4A530105" w14:textId="77777777">
        <w:tc>
          <w:tcPr>
            <w:tcW w:w="2346" w:type="dxa"/>
          </w:tcPr>
          <w:p w14:paraId="098375FB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[Nombre y apellido]</w:t>
            </w:r>
          </w:p>
        </w:tc>
        <w:tc>
          <w:tcPr>
            <w:tcW w:w="1466" w:type="dxa"/>
          </w:tcPr>
          <w:p w14:paraId="1351D209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[Cumplimiento / Finanzas]</w:t>
            </w:r>
          </w:p>
        </w:tc>
        <w:tc>
          <w:tcPr>
            <w:tcW w:w="4106" w:type="dxa"/>
          </w:tcPr>
          <w:p w14:paraId="44F3716B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[Ej.: AML / Regulación]</w:t>
            </w:r>
          </w:p>
        </w:tc>
      </w:tr>
      <w:tr w:rsidR="004B09C8" w14:paraId="095E9287" w14:textId="77777777">
        <w:tc>
          <w:tcPr>
            <w:tcW w:w="2346" w:type="dxa"/>
          </w:tcPr>
          <w:p w14:paraId="6D5AECEA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[Nombre y apellido]</w:t>
            </w:r>
          </w:p>
        </w:tc>
        <w:tc>
          <w:tcPr>
            <w:tcW w:w="1466" w:type="dxa"/>
          </w:tcPr>
          <w:p w14:paraId="543FAD84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[Producto / Diseño]</w:t>
            </w:r>
          </w:p>
        </w:tc>
        <w:tc>
          <w:tcPr>
            <w:tcW w:w="4106" w:type="dxa"/>
          </w:tcPr>
          <w:p w14:paraId="29F078FF" w14:textId="77777777" w:rsidR="004B09C8" w:rsidRDefault="0079736C">
            <w:pPr>
              <w:pStyle w:val="Compact"/>
            </w:pPr>
            <w:r>
              <w:rPr>
                <w:i/>
                <w:iCs/>
              </w:rPr>
              <w:t>[Ej.: UX / Frontend]</w:t>
            </w:r>
          </w:p>
        </w:tc>
      </w:tr>
    </w:tbl>
    <w:p w14:paraId="0C27E7E3" w14:textId="77777777" w:rsidR="004B09C8" w:rsidRDefault="0079736C">
      <w:pPr>
        <w:pStyle w:val="Ttulo2"/>
      </w:pPr>
      <w:bookmarkStart w:id="12" w:name="contacto"/>
      <w:bookmarkStart w:id="13" w:name="_Toc232848547"/>
      <w:bookmarkEnd w:id="10"/>
      <w:r>
        <w:t>Contacto</w:t>
      </w:r>
      <w:bookmarkEnd w:id="13"/>
    </w:p>
    <w:p w14:paraId="71F7B4B2" w14:textId="77777777" w:rsidR="004B09C8" w:rsidRDefault="0079736C">
      <w:pPr>
        <w:pStyle w:val="Compact"/>
        <w:numPr>
          <w:ilvl w:val="0"/>
          <w:numId w:val="4"/>
        </w:numPr>
      </w:pPr>
      <w:r>
        <w:rPr>
          <w:b/>
          <w:bCs/>
        </w:rPr>
        <w:t>Sitio web:</w:t>
      </w:r>
      <w:r>
        <w:t xml:space="preserve"> </w:t>
      </w:r>
      <w:r>
        <w:rPr>
          <w:i/>
          <w:iCs/>
        </w:rPr>
        <w:t>[www.hunboli.com]</w:t>
      </w:r>
    </w:p>
    <w:p w14:paraId="46DC0A93" w14:textId="77777777" w:rsidR="004B09C8" w:rsidRDefault="0079736C">
      <w:pPr>
        <w:pStyle w:val="Compact"/>
        <w:numPr>
          <w:ilvl w:val="0"/>
          <w:numId w:val="4"/>
        </w:numPr>
      </w:pPr>
      <w:r>
        <w:rPr>
          <w:b/>
          <w:bCs/>
        </w:rPr>
        <w:t>Correo electrónico:</w:t>
      </w:r>
      <w:r>
        <w:t xml:space="preserve"> </w:t>
      </w:r>
      <w:r>
        <w:rPr>
          <w:i/>
          <w:iCs/>
        </w:rPr>
        <w:t>[contacto@hunboli.com]</w:t>
      </w:r>
    </w:p>
    <w:p w14:paraId="028E7143" w14:textId="77777777" w:rsidR="004B09C8" w:rsidRDefault="0079736C">
      <w:pPr>
        <w:pStyle w:val="Compact"/>
        <w:numPr>
          <w:ilvl w:val="0"/>
          <w:numId w:val="4"/>
        </w:numPr>
      </w:pPr>
      <w:r>
        <w:rPr>
          <w:b/>
          <w:bCs/>
        </w:rPr>
        <w:t>Teléfono / WhatsApp:</w:t>
      </w:r>
      <w:r>
        <w:t xml:space="preserve"> </w:t>
      </w:r>
      <w:r>
        <w:rPr>
          <w:i/>
          <w:iCs/>
        </w:rPr>
        <w:t>[+591 …]</w:t>
      </w:r>
    </w:p>
    <w:p w14:paraId="2D9BD23C" w14:textId="77777777" w:rsidR="004B09C8" w:rsidRDefault="0079736C">
      <w:pPr>
        <w:pStyle w:val="Compact"/>
        <w:numPr>
          <w:ilvl w:val="0"/>
          <w:numId w:val="4"/>
        </w:numPr>
      </w:pPr>
      <w:r>
        <w:rPr>
          <w:b/>
          <w:bCs/>
        </w:rPr>
        <w:t>Redes sociales:</w:t>
      </w:r>
      <w:r>
        <w:t xml:space="preserve"> </w:t>
      </w:r>
      <w:r>
        <w:rPr>
          <w:i/>
          <w:iCs/>
        </w:rPr>
        <w:t>[LinkedIn · X · Instagram]</w:t>
      </w:r>
    </w:p>
    <w:p w14:paraId="4DDD18CC" w14:textId="77777777" w:rsidR="004B09C8" w:rsidRDefault="0079736C">
      <w:pPr>
        <w:pStyle w:val="Compact"/>
        <w:numPr>
          <w:ilvl w:val="0"/>
          <w:numId w:val="4"/>
        </w:numPr>
      </w:pPr>
      <w:r>
        <w:rPr>
          <w:b/>
          <w:bCs/>
        </w:rPr>
        <w:t>Ciudad:</w:t>
      </w:r>
      <w:r>
        <w:t xml:space="preserve"> </w:t>
      </w:r>
      <w:r>
        <w:rPr>
          <w:i/>
          <w:iCs/>
        </w:rPr>
        <w:t>[La Paz, Bolivia]</w:t>
      </w:r>
    </w:p>
    <w:p w14:paraId="360D2227" w14:textId="77777777" w:rsidR="004B09C8" w:rsidRDefault="0079736C">
      <w:pPr>
        <w:pStyle w:val="Ttulo2"/>
      </w:pPr>
      <w:bookmarkStart w:id="14" w:name="por-qué-trabajar-con-nosotros"/>
      <w:bookmarkStart w:id="15" w:name="_Toc232848548"/>
      <w:bookmarkEnd w:id="12"/>
      <w:r>
        <w:t>Por qué trabajar con nosotros</w:t>
      </w:r>
      <w:bookmarkEnd w:id="15"/>
    </w:p>
    <w:p w14:paraId="30E3F60E" w14:textId="77777777" w:rsidR="004B09C8" w:rsidRDefault="0079736C">
      <w:pPr>
        <w:pStyle w:val="Compact"/>
        <w:numPr>
          <w:ilvl w:val="0"/>
          <w:numId w:val="5"/>
        </w:numPr>
      </w:pPr>
      <w:r>
        <w:rPr>
          <w:b/>
          <w:bCs/>
        </w:rPr>
        <w:t>Producto real y funcional</w:t>
      </w:r>
      <w:r>
        <w:t>, no una propuesta teórica.</w:t>
      </w:r>
    </w:p>
    <w:p w14:paraId="3463404B" w14:textId="77777777" w:rsidR="004B09C8" w:rsidRDefault="0079736C">
      <w:pPr>
        <w:pStyle w:val="Compact"/>
        <w:numPr>
          <w:ilvl w:val="0"/>
          <w:numId w:val="5"/>
        </w:numPr>
      </w:pPr>
      <w:r>
        <w:rPr>
          <w:b/>
          <w:bCs/>
        </w:rPr>
        <w:t>Diseñado para el cumplimiento</w:t>
      </w:r>
      <w:r>
        <w:t xml:space="preserve"> y la supervisión del Estado desde el primer día.</w:t>
      </w:r>
    </w:p>
    <w:p w14:paraId="5EA6427A" w14:textId="77777777" w:rsidR="004B09C8" w:rsidRDefault="0079736C">
      <w:pPr>
        <w:pStyle w:val="Compact"/>
        <w:numPr>
          <w:ilvl w:val="0"/>
          <w:numId w:val="5"/>
        </w:numPr>
      </w:pPr>
      <w:r>
        <w:rPr>
          <w:b/>
          <w:bCs/>
        </w:rPr>
        <w:t>Equipo técnico propio</w:t>
      </w:r>
      <w:r>
        <w:t>, con capacidad de desarrollo, mantenimiento y evolución.</w:t>
      </w:r>
    </w:p>
    <w:p w14:paraId="2B513C3B" w14:textId="77777777" w:rsidR="004B09C8" w:rsidRDefault="0079736C">
      <w:pPr>
        <w:pStyle w:val="Compact"/>
        <w:numPr>
          <w:ilvl w:val="0"/>
          <w:numId w:val="5"/>
        </w:numPr>
      </w:pPr>
      <w:r>
        <w:rPr>
          <w:b/>
          <w:bCs/>
        </w:rPr>
        <w:t>Soberanía tecnológica:</w:t>
      </w:r>
      <w:r>
        <w:t xml:space="preserve"> una solución nacional frente al uso no supervisado de stablecoins extranjeras.</w:t>
      </w:r>
    </w:p>
    <w:p w14:paraId="66806B36" w14:textId="77777777" w:rsidR="004B09C8" w:rsidRDefault="0079736C">
      <w:pPr>
        <w:pStyle w:val="Compact"/>
        <w:numPr>
          <w:ilvl w:val="0"/>
          <w:numId w:val="5"/>
        </w:numPr>
      </w:pPr>
      <w:r>
        <w:rPr>
          <w:b/>
          <w:bCs/>
        </w:rPr>
        <w:t>Disposición a colaborar</w:t>
      </w:r>
      <w:r>
        <w:t xml:space="preserve"> con el Banco Central de Bolivia (BCB), la ASFI y demás instituciones bajo un esquema de piloto controlado (</w:t>
      </w:r>
      <w:r>
        <w:rPr>
          <w:i/>
          <w:iCs/>
        </w:rPr>
        <w:t>sandbox</w:t>
      </w:r>
      <w:r>
        <w:t xml:space="preserve"> regulatorio).</w:t>
      </w:r>
    </w:p>
    <w:p w14:paraId="679DF744" w14:textId="77777777" w:rsidR="004B09C8" w:rsidRDefault="0079736C">
      <w:r>
        <w:br w:type="page"/>
      </w:r>
    </w:p>
    <w:p w14:paraId="3223E730" w14:textId="77777777" w:rsidR="004B09C8" w:rsidRDefault="0079736C">
      <w:pPr>
        <w:pStyle w:val="Ttulo1"/>
      </w:pPr>
      <w:bookmarkStart w:id="16" w:name="resumen-ejecutivo"/>
      <w:bookmarkStart w:id="17" w:name="_Toc232848549"/>
      <w:bookmarkEnd w:id="0"/>
      <w:bookmarkEnd w:id="14"/>
      <w:r>
        <w:t>Resumen ejecutivo</w:t>
      </w:r>
      <w:bookmarkEnd w:id="17"/>
    </w:p>
    <w:p w14:paraId="2668DD1A" w14:textId="77777777" w:rsidR="004B09C8" w:rsidRDefault="0079736C">
      <w:pPr>
        <w:pStyle w:val="Textodebloque"/>
      </w:pPr>
      <w:r>
        <w:rPr>
          <w:b/>
          <w:bCs/>
        </w:rPr>
        <w:t>HUNBOLI es dinero digital boliviano: una moneda estable respaldada 1:1 por bolivianos, trazable, auditable y supervisable por el Estado.</w:t>
      </w:r>
    </w:p>
    <w:p w14:paraId="1FF6FEEC" w14:textId="77777777" w:rsidR="004B09C8" w:rsidRDefault="0079736C">
      <w:pPr>
        <w:pStyle w:val="FirstParagraph"/>
      </w:pPr>
      <w:r>
        <w:t xml:space="preserve">Bolivia avanza hacia una economía cada vez más digital, pero lo hace en gran medida </w:t>
      </w:r>
      <w:r>
        <w:rPr>
          <w:b/>
          <w:bCs/>
        </w:rPr>
        <w:t>fuera del control del Estado</w:t>
      </w:r>
      <w:r>
        <w:t xml:space="preserve">: el uso de </w:t>
      </w:r>
      <w:r>
        <w:rPr>
          <w:i/>
          <w:iCs/>
        </w:rPr>
        <w:t>stablecoins</w:t>
      </w:r>
      <w:r>
        <w:t xml:space="preserve"> extranjeras para remesas, comercio y ahorro crece de forma acelerada, sin supervisión, sin protección al usuario y con fuga del señoreaje hacia emisores foráneos. Al mismo tiempo, persisten brechas estructurales de inclusión financiera, alto uso de efectivo y costos elevados en las transferencias.</w:t>
      </w:r>
    </w:p>
    <w:p w14:paraId="619E5A5B" w14:textId="77777777" w:rsidR="004B09C8" w:rsidRDefault="0079736C">
      <w:pPr>
        <w:pStyle w:val="Textoindependiente"/>
      </w:pPr>
      <w:r>
        <w:t xml:space="preserve">Ante este escenario —y tras la apertura normativa del </w:t>
      </w:r>
      <w:r>
        <w:rPr>
          <w:b/>
          <w:bCs/>
        </w:rPr>
        <w:t>Banco Central de Bolivia</w:t>
      </w:r>
      <w:r>
        <w:t xml:space="preserve"> hacia los activos virtuales (2024)— el presente trabajo propone, diseña e implementa </w:t>
      </w:r>
      <w:r>
        <w:rPr>
          <w:b/>
          <w:bCs/>
        </w:rPr>
        <w:t>HUNBOLI</w:t>
      </w:r>
      <w:r>
        <w:t xml:space="preserve">, una </w:t>
      </w:r>
      <w:r>
        <w:rPr>
          <w:i/>
          <w:iCs/>
        </w:rPr>
        <w:t>stablecoin</w:t>
      </w:r>
      <w:r>
        <w:t xml:space="preserve"> nacional respaldada de forma íntegra (</w:t>
      </w:r>
      <w:r>
        <w:rPr>
          <w:b/>
          <w:bCs/>
        </w:rPr>
        <w:t>1:1</w:t>
      </w:r>
      <w:r>
        <w:t xml:space="preserve">) por moneda fiduciaria, concebida como </w:t>
      </w:r>
      <w:r>
        <w:rPr>
          <w:b/>
          <w:bCs/>
        </w:rPr>
        <w:t>infraestructura pública-privada de pagos digitales</w:t>
      </w:r>
      <w:r>
        <w:t>: auditable, trazable y conforme a los estándares internacionales de prevención de lavado de activos (GAFI).</w:t>
      </w:r>
    </w:p>
    <w:p w14:paraId="12FD3EDC" w14:textId="77777777" w:rsidR="004B09C8" w:rsidRDefault="0079736C">
      <w:pPr>
        <w:pStyle w:val="Textoindependiente"/>
      </w:pPr>
      <w:r>
        <w:t xml:space="preserve">HUNBOLI se materializa en un token digital denominado </w:t>
      </w:r>
      <w:r>
        <w:rPr>
          <w:b/>
          <w:bCs/>
        </w:rPr>
        <w:t>BOBH</w:t>
      </w:r>
      <w:r>
        <w:t xml:space="preserve">, con paridad al boliviano (Bs), desarrollado sobre tecnología </w:t>
      </w:r>
      <w:r>
        <w:rPr>
          <w:i/>
          <w:iCs/>
        </w:rPr>
        <w:t>blockchain</w:t>
      </w:r>
      <w:r>
        <w:t xml:space="preserve"> (estándar ERC-20) e integrado a una plataforma completa de tres capas:</w:t>
      </w:r>
    </w:p>
    <w:p w14:paraId="186143AF" w14:textId="77777777" w:rsidR="004B09C8" w:rsidRDefault="0079736C">
      <w:pPr>
        <w:pStyle w:val="Compact"/>
        <w:numPr>
          <w:ilvl w:val="0"/>
          <w:numId w:val="6"/>
        </w:numPr>
      </w:pPr>
      <w:r>
        <w:rPr>
          <w:b/>
          <w:bCs/>
        </w:rPr>
        <w:t>Contrato inteligente</w:t>
      </w:r>
      <w:r>
        <w:t xml:space="preserve"> con controles regulatorios de grado institucional: emisión y destrucción controladas por roles, lista de cuentas restringidas, confiscación por orden de autoridad competente y pausa de emergencia.</w:t>
      </w:r>
    </w:p>
    <w:p w14:paraId="666E482B" w14:textId="77777777" w:rsidR="004B09C8" w:rsidRDefault="0079736C">
      <w:pPr>
        <w:pStyle w:val="Compact"/>
        <w:numPr>
          <w:ilvl w:val="0"/>
          <w:numId w:val="6"/>
        </w:numPr>
      </w:pPr>
      <w:r>
        <w:rPr>
          <w:b/>
          <w:bCs/>
        </w:rPr>
        <w:t>Plataforma de gestión</w:t>
      </w:r>
      <w:r>
        <w:t xml:space="preserve"> (</w:t>
      </w:r>
      <w:r>
        <w:rPr>
          <w:i/>
          <w:iCs/>
        </w:rPr>
        <w:t>backend</w:t>
      </w:r>
      <w:r>
        <w:t xml:space="preserve">) con verificación de identidad obligatoria (KYC), validación de operaciones fiat, registro contable auditable y custodia mediante </w:t>
      </w:r>
      <w:r>
        <w:rPr>
          <w:b/>
          <w:bCs/>
        </w:rPr>
        <w:t>firma múltiple</w:t>
      </w:r>
      <w:r>
        <w:t xml:space="preserve"> (</w:t>
      </w:r>
      <w:r>
        <w:rPr>
          <w:i/>
          <w:iCs/>
        </w:rPr>
        <w:t>multisig</w:t>
      </w:r>
      <w:r>
        <w:t>).</w:t>
      </w:r>
    </w:p>
    <w:p w14:paraId="2FD39148" w14:textId="77777777" w:rsidR="004B09C8" w:rsidRDefault="0079736C">
      <w:pPr>
        <w:pStyle w:val="Compact"/>
        <w:numPr>
          <w:ilvl w:val="0"/>
          <w:numId w:val="6"/>
        </w:numPr>
      </w:pPr>
      <w:r>
        <w:rPr>
          <w:b/>
          <w:bCs/>
        </w:rPr>
        <w:t>Aplicación de usuario</w:t>
      </w:r>
      <w:r>
        <w:t xml:space="preserve"> para depósito, retiro, transferencia y consulta de saldo.</w:t>
      </w:r>
    </w:p>
    <w:p w14:paraId="62795411" w14:textId="77777777" w:rsidR="004B09C8" w:rsidRDefault="0079736C">
      <w:pPr>
        <w:pStyle w:val="FirstParagraph"/>
      </w:pPr>
      <w:r>
        <w:t xml:space="preserve">El aporte central de la propuesta es </w:t>
      </w:r>
      <w:r>
        <w:rPr>
          <w:b/>
          <w:bCs/>
        </w:rPr>
        <w:t>conciliar la tecnología blockchain con la soberanía del Estado</w:t>
      </w:r>
      <w:r>
        <w:t>: a diferencia de un criptoactivo descentralizado, HUNBOLI incorpora por diseño las facultades que un Estado requiere —congelar, confiscar y pausar—, sometidas a gobernanza compartida y a una pista de auditoría inmutable.</w:t>
      </w:r>
    </w:p>
    <w:p w14:paraId="639AF301" w14:textId="77777777" w:rsidR="004B09C8" w:rsidRDefault="0079736C">
      <w:pPr>
        <w:pStyle w:val="Textoindependiente"/>
      </w:pPr>
      <w:r>
        <w:t xml:space="preserve">El trabajo demuestra la </w:t>
      </w:r>
      <w:r>
        <w:rPr>
          <w:b/>
          <w:bCs/>
        </w:rPr>
        <w:t>viabilidad técnica y la pertinencia regulatoria</w:t>
      </w:r>
      <w:r>
        <w:t xml:space="preserve"> de emitir dinero digital respaldado en Bolivia. Se concluye que una </w:t>
      </w:r>
      <w:r>
        <w:rPr>
          <w:i/>
          <w:iCs/>
        </w:rPr>
        <w:t>stablecoin</w:t>
      </w:r>
      <w:r>
        <w:t xml:space="preserve"> nacional, correctamente gobernada y supervisada, puede </w:t>
      </w:r>
      <w:r>
        <w:rPr>
          <w:b/>
          <w:bCs/>
        </w:rPr>
        <w:t>reducir costos transaccionales, ampliar la inclusión financiera, formalizar flujos hoy informales y dotar al Estado de una trazabilidad fiscal y de cumplimiento sin precedentes</w:t>
      </w:r>
      <w:r>
        <w:t>.</w:t>
      </w:r>
    </w:p>
    <w:p w14:paraId="4A695D9B" w14:textId="77777777" w:rsidR="004B09C8" w:rsidRDefault="0079736C">
      <w:pPr>
        <w:pStyle w:val="Textoindependiente"/>
      </w:pPr>
      <w:r>
        <w:rPr>
          <w:b/>
          <w:bCs/>
        </w:rPr>
        <w:t>Palabras clave:</w:t>
      </w:r>
      <w:r>
        <w:t xml:space="preserve"> stablecoin, dinero digital, blockchain, inclusión financiera, ERC-20, KYC/AML, Banco Central de Bolivia, infraestructura de pagos, criptoactivos respaldados, contratos inteligentes.</w:t>
      </w:r>
    </w:p>
    <w:p w14:paraId="4738E0E5" w14:textId="77777777" w:rsidR="004B09C8" w:rsidRDefault="0079736C">
      <w:r>
        <w:br w:type="page"/>
      </w:r>
    </w:p>
    <w:p w14:paraId="6C188602" w14:textId="77777777" w:rsidR="004B09C8" w:rsidRDefault="0079736C">
      <w:pPr>
        <w:spacing w:after="240"/>
        <w:jc w:val="center"/>
      </w:pPr>
      <w:r>
        <w:rPr>
          <w:b/>
          <w:sz w:val="32"/>
        </w:rPr>
        <w:t>ÍNDICE</w:t>
      </w:r>
    </w:p>
    <w:sdt>
      <w:sdtPr>
        <w:id w:val="777221259"/>
        <w:docPartObj>
          <w:docPartGallery w:val="Table of Contents"/>
          <w:docPartUnique/>
        </w:docPartObj>
      </w:sdtPr>
      <w:sdtEndPr/>
      <w:sdtContent>
        <w:p w14:paraId="47E431D5" w14:textId="1C000AE3" w:rsidR="0079514D" w:rsidRDefault="0079736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48541" w:history="1">
            <w:r w:rsidR="0079514D" w:rsidRPr="007466D9">
              <w:rPr>
                <w:rStyle w:val="Hipervnculo"/>
                <w:noProof/>
              </w:rPr>
              <w:t>Quiénes somos</w:t>
            </w:r>
            <w:r w:rsidR="0079514D">
              <w:rPr>
                <w:noProof/>
                <w:webHidden/>
              </w:rPr>
              <w:tab/>
            </w:r>
            <w:r w:rsidR="0079514D">
              <w:rPr>
                <w:noProof/>
                <w:webHidden/>
              </w:rPr>
              <w:fldChar w:fldCharType="begin"/>
            </w:r>
            <w:r w:rsidR="0079514D">
              <w:rPr>
                <w:noProof/>
                <w:webHidden/>
              </w:rPr>
              <w:instrText xml:space="preserve"> PAGEREF _Toc232848541 \h </w:instrText>
            </w:r>
            <w:r w:rsidR="0079514D">
              <w:rPr>
                <w:noProof/>
                <w:webHidden/>
              </w:rPr>
            </w:r>
            <w:r w:rsidR="0079514D">
              <w:rPr>
                <w:noProof/>
                <w:webHidden/>
              </w:rPr>
              <w:fldChar w:fldCharType="separate"/>
            </w:r>
            <w:r w:rsidR="0079514D">
              <w:rPr>
                <w:noProof/>
                <w:webHidden/>
              </w:rPr>
              <w:t>3</w:t>
            </w:r>
            <w:r w:rsidR="0079514D">
              <w:rPr>
                <w:noProof/>
                <w:webHidden/>
              </w:rPr>
              <w:fldChar w:fldCharType="end"/>
            </w:r>
          </w:hyperlink>
        </w:p>
        <w:p w14:paraId="18588E2D" w14:textId="63082C5E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2" w:history="1">
            <w:r w:rsidRPr="007466D9">
              <w:rPr>
                <w:rStyle w:val="Hipervnculo"/>
                <w:noProof/>
              </w:rPr>
              <w:t>Nuestra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0700" w14:textId="15B48889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3" w:history="1">
            <w:r w:rsidRPr="007466D9">
              <w:rPr>
                <w:rStyle w:val="Hipervnculo"/>
                <w:noProof/>
              </w:rPr>
              <w:t>Nuestra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5CBF" w14:textId="3275BE03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4" w:history="1">
            <w:r w:rsidRPr="007466D9">
              <w:rPr>
                <w:rStyle w:val="Hipervnculo"/>
                <w:noProof/>
              </w:rPr>
              <w:t>Nuestros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EBBE" w14:textId="36A35F05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5" w:history="1">
            <w:r w:rsidRPr="007466D9">
              <w:rPr>
                <w:rStyle w:val="Hipervnculo"/>
                <w:noProof/>
              </w:rPr>
              <w:t>Qué hemos construido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C87D" w14:textId="58AB0566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6" w:history="1">
            <w:r w:rsidRPr="007466D9">
              <w:rPr>
                <w:rStyle w:val="Hipervnculo"/>
                <w:noProof/>
              </w:rPr>
              <w:t>Nuestro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A55FA" w14:textId="40C6E332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7" w:history="1">
            <w:r w:rsidRPr="007466D9">
              <w:rPr>
                <w:rStyle w:val="Hipervnculo"/>
                <w:noProof/>
              </w:rPr>
              <w:t>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273F" w14:textId="047F93B4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8" w:history="1">
            <w:r w:rsidRPr="007466D9">
              <w:rPr>
                <w:rStyle w:val="Hipervnculo"/>
                <w:noProof/>
              </w:rPr>
              <w:t>Por qué trabajar con nosotros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B640B" w14:textId="41E21109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49" w:history="1">
            <w:r w:rsidRPr="007466D9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D0C3" w14:textId="5998D233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0" w:history="1">
            <w:r w:rsidRPr="007466D9">
              <w:rPr>
                <w:rStyle w:val="Hipervnculo"/>
                <w:noProof/>
              </w:rPr>
              <w:t>Capítulo 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AFB8" w14:textId="55C635A4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1" w:history="1">
            <w:r w:rsidRPr="007466D9">
              <w:rPr>
                <w:rStyle w:val="Hipervnculo"/>
                <w:noProof/>
              </w:rPr>
              <w:t>1.1.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E874" w14:textId="3D9E7C50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2" w:history="1">
            <w:r w:rsidRPr="007466D9">
              <w:rPr>
                <w:rStyle w:val="Hipervnculo"/>
                <w:noProof/>
              </w:rPr>
              <w:t>1.2. Formulación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9656" w14:textId="0898B93E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3" w:history="1">
            <w:r w:rsidRPr="007466D9">
              <w:rPr>
                <w:rStyle w:val="Hipervnculo"/>
                <w:noProof/>
              </w:rPr>
              <w:t>1.3.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9462C" w14:textId="3D283994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4" w:history="1">
            <w:r w:rsidRPr="007466D9">
              <w:rPr>
                <w:rStyle w:val="Hipervnculo"/>
                <w:noProof/>
              </w:rPr>
              <w:t>1.4.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D33C" w14:textId="6613092E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5" w:history="1">
            <w:r w:rsidRPr="007466D9">
              <w:rPr>
                <w:rStyle w:val="Hipervnculo"/>
                <w:noProof/>
              </w:rPr>
              <w:t>1.5. Alcance y delimitación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890E" w14:textId="4AAE57A9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6" w:history="1">
            <w:r w:rsidRPr="007466D9">
              <w:rPr>
                <w:rStyle w:val="Hipervnculo"/>
                <w:noProof/>
              </w:rPr>
              <w:t>1.6. Hipótesis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92E9" w14:textId="63D6B8F2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7" w:history="1">
            <w:r w:rsidRPr="007466D9">
              <w:rPr>
                <w:rStyle w:val="Hipervnculo"/>
                <w:noProof/>
              </w:rPr>
              <w:t>Capítulo 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D0A8" w14:textId="7A58A0C7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8" w:history="1">
            <w:r w:rsidRPr="007466D9">
              <w:rPr>
                <w:rStyle w:val="Hipervnculo"/>
                <w:noProof/>
              </w:rPr>
              <w:t>2.1. El dinero y su evolución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98F7" w14:textId="32F17F7D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59" w:history="1">
            <w:r w:rsidRPr="007466D9">
              <w:rPr>
                <w:rStyle w:val="Hipervnculo"/>
                <w:noProof/>
              </w:rPr>
              <w:t>2.2. Tecnología blockchain y contratos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3710" w14:textId="2E4740DE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0" w:history="1">
            <w:r w:rsidRPr="007466D9">
              <w:rPr>
                <w:rStyle w:val="Hipervnculo"/>
                <w:noProof/>
              </w:rPr>
              <w:t>2.3. Stablecoins: tipología y modelos de 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23A0D" w14:textId="00C852A4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1" w:history="1">
            <w:r w:rsidRPr="007466D9">
              <w:rPr>
                <w:rStyle w:val="Hipervnculo"/>
                <w:noProof/>
              </w:rPr>
              <w:t>2.4. Identidad digital, KYC y prevención de lavado de activos (AML)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9EB60" w14:textId="31210A4F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2" w:history="1">
            <w:r w:rsidRPr="007466D9">
              <w:rPr>
                <w:rStyle w:val="Hipervnculo"/>
                <w:noProof/>
              </w:rPr>
              <w:t>2.5. Custodia institucional y firma múltiple (multisig)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95DF" w14:textId="0B37521D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3" w:history="1">
            <w:r w:rsidRPr="007466D9">
              <w:rPr>
                <w:rStyle w:val="Hipervnculo"/>
                <w:noProof/>
              </w:rPr>
              <w:t>2.6. Contexto financiero boliviano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573D" w14:textId="4C8CDC6D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4" w:history="1">
            <w:r w:rsidRPr="007466D9">
              <w:rPr>
                <w:rStyle w:val="Hipervnculo"/>
                <w:noProof/>
              </w:rPr>
              <w:t>Capítulo 3. Marco metodológico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A716" w14:textId="05211B99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5" w:history="1">
            <w:r w:rsidRPr="007466D9">
              <w:rPr>
                <w:rStyle w:val="Hipervnculo"/>
                <w:noProof/>
              </w:rPr>
              <w:t>Capítulo 4. Propuesta y desarrollo del sistema HUNBOLI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CE6F" w14:textId="5E9A1832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6" w:history="1">
            <w:r w:rsidRPr="007466D9">
              <w:rPr>
                <w:rStyle w:val="Hipervnculo"/>
                <w:noProof/>
              </w:rPr>
              <w:t>4.1. Visión general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5130" w14:textId="6C85C1E2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7" w:history="1">
            <w:r w:rsidRPr="007466D9">
              <w:rPr>
                <w:rStyle w:val="Hipervnculo"/>
                <w:noProof/>
              </w:rPr>
              <w:t>4.2. Capa de contrato inteligente (token BOBH)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889C" w14:textId="5F8CBF6F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8" w:history="1">
            <w:r w:rsidRPr="007466D9">
              <w:rPr>
                <w:rStyle w:val="Hipervnculo"/>
                <w:noProof/>
              </w:rPr>
              <w:t>4.3. Capa de backend y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B145" w14:textId="47E39B55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69" w:history="1">
            <w:r w:rsidRPr="007466D9">
              <w:rPr>
                <w:rStyle w:val="Hipervnculo"/>
                <w:noProof/>
              </w:rPr>
              <w:t>4.4. Capa de aplicación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93C9" w14:textId="5D7D10CD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0" w:history="1">
            <w:r w:rsidRPr="007466D9">
              <w:rPr>
                <w:rStyle w:val="Hipervnculo"/>
                <w:noProof/>
              </w:rPr>
              <w:t>4.5. Flujos operativos completos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5931" w14:textId="215D746A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1" w:history="1">
            <w:r w:rsidRPr="007466D9">
              <w:rPr>
                <w:rStyle w:val="Hipervnculo"/>
                <w:noProof/>
              </w:rPr>
              <w:t>4.6. Modelo económico (paridad y respaldo)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781A" w14:textId="741D9785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2" w:history="1">
            <w:r w:rsidRPr="007466D9">
              <w:rPr>
                <w:rStyle w:val="Hipervnculo"/>
                <w:noProof/>
              </w:rPr>
              <w:t>Capítulo 5. Marco regulatorio y de 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6C57" w14:textId="056F8D16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3" w:history="1">
            <w:r w:rsidRPr="007466D9">
              <w:rPr>
                <w:rStyle w:val="Hipervnculo"/>
                <w:noProof/>
              </w:rPr>
              <w:t>Capítulo 6. Análisis de impacto y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018D9" w14:textId="217D1085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4" w:history="1">
            <w:r w:rsidRPr="007466D9">
              <w:rPr>
                <w:rStyle w:val="Hipervnculo"/>
                <w:noProof/>
              </w:rPr>
              <w:t>Capítulo 7. Análisis de riesgos y mitigaciones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3578" w14:textId="5FD8D44D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5" w:history="1">
            <w:r w:rsidRPr="007466D9">
              <w:rPr>
                <w:rStyle w:val="Hipervnculo"/>
                <w:noProof/>
              </w:rPr>
              <w:t>Capítulo 8. 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0128" w14:textId="170B9F3E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6" w:history="1">
            <w:r w:rsidRPr="007466D9">
              <w:rPr>
                <w:rStyle w:val="Hipervnculo"/>
                <w:noProof/>
              </w:rPr>
              <w:t>Capítulo 9.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16BA" w14:textId="02E212F2" w:rsidR="0079514D" w:rsidRDefault="0079514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7" w:history="1">
            <w:r w:rsidRPr="007466D9">
              <w:rPr>
                <w:rStyle w:val="Hipervnculo"/>
                <w:noProof/>
              </w:rPr>
              <w:t>Capítulo 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7A414" w14:textId="56AAA9E9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8" w:history="1">
            <w:r w:rsidRPr="007466D9">
              <w:rPr>
                <w:rStyle w:val="Hipervnculo"/>
                <w:noProof/>
              </w:rPr>
              <w:t>Anexo A —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6A2F" w14:textId="35D67A64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79" w:history="1">
            <w:r w:rsidRPr="007466D9">
              <w:rPr>
                <w:rStyle w:val="Hipervnculo"/>
                <w:noProof/>
              </w:rPr>
              <w:t>Anexo B — Eventos auditables del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5B87" w14:textId="3715E632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80" w:history="1">
            <w:r w:rsidRPr="007466D9">
              <w:rPr>
                <w:rStyle w:val="Hipervnculo"/>
                <w:noProof/>
              </w:rPr>
              <w:t>Anexo C — Diagrama del flujo depósito → emisión (texto)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0456" w14:textId="77A980A6" w:rsidR="0079514D" w:rsidRDefault="0079514D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s-BO" w:eastAsia="es-BO"/>
              <w14:ligatures w14:val="standardContextual"/>
            </w:rPr>
          </w:pPr>
          <w:hyperlink w:anchor="_Toc232848581" w:history="1">
            <w:r w:rsidRPr="007466D9">
              <w:rPr>
                <w:rStyle w:val="Hipervnculo"/>
                <w:rFonts w:ascii="Segoe UI Emoji" w:hAnsi="Segoe UI Emoji" w:cs="Segoe UI Emoji"/>
                <w:noProof/>
              </w:rPr>
              <w:t>⚠️</w:t>
            </w:r>
            <w:r w:rsidRPr="007466D9">
              <w:rPr>
                <w:rStyle w:val="Hipervnculo"/>
                <w:noProof/>
              </w:rPr>
              <w:t xml:space="preserve"> Advertencias y siguientes pasos (no forman parte del documento académico)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BD9DF" w14:textId="4EA33D38" w:rsidR="004B09C8" w:rsidRDefault="0079736C">
          <w:r>
            <w:fldChar w:fldCharType="end"/>
          </w:r>
        </w:p>
      </w:sdtContent>
    </w:sdt>
    <w:p w14:paraId="1CD2077F" w14:textId="77777777" w:rsidR="004B09C8" w:rsidRDefault="0079736C">
      <w:r>
        <w:br w:type="page"/>
      </w:r>
    </w:p>
    <w:p w14:paraId="4076518D" w14:textId="77777777" w:rsidR="004B09C8" w:rsidRDefault="0079736C">
      <w:pPr>
        <w:pStyle w:val="Ttulo1"/>
      </w:pPr>
      <w:bookmarkStart w:id="18" w:name="capítulo-1.-introducción"/>
      <w:bookmarkStart w:id="19" w:name="_Toc232848550"/>
      <w:bookmarkEnd w:id="16"/>
      <w:r>
        <w:t>Capítulo 1. Introducción</w:t>
      </w:r>
      <w:bookmarkEnd w:id="19"/>
    </w:p>
    <w:p w14:paraId="162373D4" w14:textId="77777777" w:rsidR="004B09C8" w:rsidRDefault="0079736C">
      <w:pPr>
        <w:pStyle w:val="Ttulo2"/>
      </w:pPr>
      <w:bookmarkStart w:id="20" w:name="planteamiento-del-problema"/>
      <w:bookmarkStart w:id="21" w:name="_Toc232848551"/>
      <w:r>
        <w:t>1.1. Planteamiento del problema</w:t>
      </w:r>
      <w:bookmarkEnd w:id="21"/>
    </w:p>
    <w:p w14:paraId="691F4B2E" w14:textId="77777777" w:rsidR="004B09C8" w:rsidRDefault="0079736C">
      <w:pPr>
        <w:pStyle w:val="FirstParagraph"/>
      </w:pPr>
      <w:r>
        <w:t>Bolivia presenta uno de los niveles más altos de uso de efectivo y de informalidad de la región. Aunque la bancarización ha crecido, persisten brechas: poblaciones rurales y periurbanas sin acceso a servicios financieros formales, costos elevados y demoras en transferencias interbancarias e internacionales, y una creciente demanda ciudadana de instrumentos digitales de ahorro y pago estables frente a la volatilidad de los criptoactivos tradicionales.</w:t>
      </w:r>
    </w:p>
    <w:p w14:paraId="70940245" w14:textId="77777777" w:rsidR="004B09C8" w:rsidRDefault="0079736C">
      <w:pPr>
        <w:pStyle w:val="Textoindependiente"/>
      </w:pPr>
      <w:r>
        <w:t xml:space="preserve">De forma paralela, en los últimos años se ha producido en Bolivia un crecimiento espontáneo del uso de criptoactivos y </w:t>
      </w:r>
      <w:r>
        <w:rPr>
          <w:i/>
          <w:iCs/>
        </w:rPr>
        <w:t>stablecoins</w:t>
      </w:r>
      <w:r>
        <w:t xml:space="preserve"> extranjeras (principalmente dólar-referenciadas) para remesas, comercio y refugio de valor. Este fenómeno ocurre </w:t>
      </w:r>
      <w:r>
        <w:rPr>
          <w:b/>
          <w:bCs/>
        </w:rPr>
        <w:t>fuera del perímetro de supervisión del Estado</w:t>
      </w:r>
      <w:r>
        <w:t>, lo que implica riesgos de evasión fiscal, lavado de activos, fraude al consumidor y fuga del señoreaje hacia emisores extranjeros.</w:t>
      </w:r>
    </w:p>
    <w:p w14:paraId="7927F3BE" w14:textId="77777777" w:rsidR="004B09C8" w:rsidRDefault="0079736C">
      <w:pPr>
        <w:pStyle w:val="Textoindependiente"/>
      </w:pPr>
      <w:r>
        <w:t xml:space="preserve">Hasta 2024 el marco normativo boliviano prohibía el uso de criptoactivos. Con la apertura regulatoria del Banco Central de Bolivia (BCB) que habilitó operaciones con activos virtuales a través de canales electrónicos autorizados, se abre por primera vez la posibilidad de construir, </w:t>
      </w:r>
      <w:r>
        <w:rPr>
          <w:b/>
          <w:bCs/>
        </w:rPr>
        <w:t>dentro del marco legal</w:t>
      </w:r>
      <w:r>
        <w:t>, una solución soberana y supervisada.</w:t>
      </w:r>
    </w:p>
    <w:p w14:paraId="0CBEC8C5" w14:textId="77777777" w:rsidR="004B09C8" w:rsidRDefault="0079736C">
      <w:pPr>
        <w:pStyle w:val="Textoindependiente"/>
      </w:pPr>
      <w:r>
        <w:t xml:space="preserve">El problema central, por tanto, no es si los bolivianos usarán dinero digital —ya lo hacen—, sino </w:t>
      </w:r>
      <w:r>
        <w:rPr>
          <w:b/>
          <w:bCs/>
        </w:rPr>
        <w:t>si lo harán dentro o fuera del control del Estado</w:t>
      </w:r>
      <w:r>
        <w:t>, y con qué garantías de respaldo, trazabilidad y protección al usuario.</w:t>
      </w:r>
    </w:p>
    <w:p w14:paraId="0E28F414" w14:textId="77777777" w:rsidR="004B09C8" w:rsidRDefault="0079736C">
      <w:pPr>
        <w:pStyle w:val="Ttulo2"/>
      </w:pPr>
      <w:bookmarkStart w:id="22" w:name="formulación-del-problema"/>
      <w:bookmarkStart w:id="23" w:name="_Toc232848552"/>
      <w:bookmarkEnd w:id="20"/>
      <w:r>
        <w:t>1.2. Formulación del problema</w:t>
      </w:r>
      <w:bookmarkEnd w:id="23"/>
    </w:p>
    <w:p w14:paraId="542853D1" w14:textId="77777777" w:rsidR="004B09C8" w:rsidRDefault="0079736C">
      <w:pPr>
        <w:pStyle w:val="Textodebloque"/>
      </w:pPr>
      <w:r>
        <w:t>¿Es técnica, económica y regulatoriamente viable diseñar e implementar una stablecoin nacional respaldada 1:1 por moneda fiduciaria, que opere dentro del marco legal boliviano y que mejore la inclusión financiera, la trazabilidad y la eficiencia de los pagos digitales?</w:t>
      </w:r>
    </w:p>
    <w:p w14:paraId="2A246DBE" w14:textId="77777777" w:rsidR="004B09C8" w:rsidRDefault="0079736C">
      <w:pPr>
        <w:pStyle w:val="FirstParagraph"/>
      </w:pPr>
      <w:r>
        <w:rPr>
          <w:b/>
          <w:bCs/>
        </w:rPr>
        <w:t>Preguntas específicas:</w:t>
      </w:r>
      <w:r>
        <w:t xml:space="preserve"> - ¿Qué arquitectura tecnológica garantiza respaldo íntegro, trazabilidad total y controles de cumplimiento? - ¿Cómo se concilia la inmutabilidad de la blockchain con las facultades regulatorias del Estado (congelamiento, confiscación, pausa)? - ¿Qué modelo de gobernanza y custodia minimiza el riesgo de emisión indebida o fraude interno? - ¿Qué impacto esperable tiene sobre costos, inclusión y formalización?</w:t>
      </w:r>
    </w:p>
    <w:p w14:paraId="5292CC51" w14:textId="77777777" w:rsidR="004B09C8" w:rsidRDefault="0079736C">
      <w:pPr>
        <w:pStyle w:val="Ttulo2"/>
      </w:pPr>
      <w:bookmarkStart w:id="24" w:name="objetivos"/>
      <w:bookmarkStart w:id="25" w:name="_Toc232848553"/>
      <w:bookmarkEnd w:id="22"/>
      <w:r>
        <w:t>1.3. Objetivos</w:t>
      </w:r>
      <w:bookmarkEnd w:id="25"/>
    </w:p>
    <w:p w14:paraId="64B52567" w14:textId="77777777" w:rsidR="004B09C8" w:rsidRDefault="0079736C">
      <w:pPr>
        <w:pStyle w:val="FirstParagraph"/>
      </w:pPr>
      <w:r>
        <w:rPr>
          <w:b/>
          <w:bCs/>
        </w:rPr>
        <w:t>Objetivo general.</w:t>
      </w:r>
      <w:r>
        <w:t xml:space="preserve"> Diseñar, desarrollar y validar HUNBOLI, una plataforma de stablecoin nacional respaldada por fiat, como propuesta de infraestructura digital de pagos para el Estado boliviano.</w:t>
      </w:r>
    </w:p>
    <w:p w14:paraId="1468C26D" w14:textId="77777777" w:rsidR="004B09C8" w:rsidRDefault="0079736C">
      <w:pPr>
        <w:pStyle w:val="Textoindependiente"/>
      </w:pPr>
      <w:r>
        <w:rPr>
          <w:b/>
          <w:bCs/>
        </w:rPr>
        <w:t>Objetivos específicos.</w:t>
      </w:r>
      <w:r>
        <w:t xml:space="preserve"> 1. Desarrollar un contrato inteligente ERC-20 con controles regulatorios de grado institucional (emisión/destrucción por roles, lista de restricción, confiscación, pausa de emergencia y auditoría por eventos). 2. Construir un backend que gestione identidad (KYC), validación de depósitos y retiros fiat, y custodia mediante firma múltiple. 3. Implementar una aplicación de usuario para operaciones de depósito, retiro, transferencia y consulta. 4. Garantizar la paridad 1:1 mediante un modelo de emisión únicame</w:t>
      </w:r>
      <w:r>
        <w:t>nte contra respaldo verificado. 5. Analizar la conformidad de la propuesta con el marco regulatorio boliviano y los estándares GAFI. 6. Evaluar el impacto económico y social esperado.</w:t>
      </w:r>
    </w:p>
    <w:p w14:paraId="11F7998E" w14:textId="77777777" w:rsidR="004B09C8" w:rsidRDefault="0079736C">
      <w:pPr>
        <w:pStyle w:val="Ttulo2"/>
      </w:pPr>
      <w:bookmarkStart w:id="26" w:name="justificación"/>
      <w:bookmarkStart w:id="27" w:name="_Toc232848554"/>
      <w:bookmarkEnd w:id="24"/>
      <w:r>
        <w:t>1.4. Justificación</w:t>
      </w:r>
      <w:bookmarkEnd w:id="27"/>
    </w:p>
    <w:p w14:paraId="62CA9AC6" w14:textId="77777777" w:rsidR="004B09C8" w:rsidRDefault="0079736C">
      <w:pPr>
        <w:pStyle w:val="Compact"/>
        <w:numPr>
          <w:ilvl w:val="0"/>
          <w:numId w:val="7"/>
        </w:numPr>
      </w:pPr>
      <w:r>
        <w:rPr>
          <w:b/>
          <w:bCs/>
        </w:rPr>
        <w:t>Soberanía monetaria y tecnológica:</w:t>
      </w:r>
      <w:r>
        <w:t xml:space="preserve"> </w:t>
      </w:r>
      <w:r>
        <w:t>evita que el dinero digital usado por los ciudadanos sea emitido y controlado por terceros extranjeros.</w:t>
      </w:r>
    </w:p>
    <w:p w14:paraId="11A094FE" w14:textId="77777777" w:rsidR="004B09C8" w:rsidRDefault="0079736C">
      <w:pPr>
        <w:pStyle w:val="Compact"/>
        <w:numPr>
          <w:ilvl w:val="0"/>
          <w:numId w:val="7"/>
        </w:numPr>
      </w:pPr>
      <w:r>
        <w:rPr>
          <w:b/>
          <w:bCs/>
        </w:rPr>
        <w:t>Inclusión financiera:</w:t>
      </w:r>
      <w:r>
        <w:t xml:space="preserve"> una billetera digital accesible desde un teléfono móvil reduce las barreras de acceso.</w:t>
      </w:r>
    </w:p>
    <w:p w14:paraId="58809FCD" w14:textId="77777777" w:rsidR="004B09C8" w:rsidRDefault="0079736C">
      <w:pPr>
        <w:pStyle w:val="Compact"/>
        <w:numPr>
          <w:ilvl w:val="0"/>
          <w:numId w:val="7"/>
        </w:numPr>
      </w:pPr>
      <w:r>
        <w:rPr>
          <w:b/>
          <w:bCs/>
        </w:rPr>
        <w:t>Eficiencia:</w:t>
      </w:r>
      <w:r>
        <w:t xml:space="preserve"> transferencias casi instantáneas y de bajo costo frente al sistema tradicional.</w:t>
      </w:r>
    </w:p>
    <w:p w14:paraId="597F58E8" w14:textId="77777777" w:rsidR="004B09C8" w:rsidRDefault="0079736C">
      <w:pPr>
        <w:pStyle w:val="Compact"/>
        <w:numPr>
          <w:ilvl w:val="0"/>
          <w:numId w:val="7"/>
        </w:numPr>
      </w:pPr>
      <w:r>
        <w:rPr>
          <w:b/>
          <w:bCs/>
        </w:rPr>
        <w:t>Cumplimiento y trazabilidad:</w:t>
      </w:r>
      <w:r>
        <w:t xml:space="preserve"> cada operación queda registrada y es auditable, fortaleciendo la lucha contra el lavado de activos y la evasión.</w:t>
      </w:r>
    </w:p>
    <w:p w14:paraId="0582A988" w14:textId="77777777" w:rsidR="004B09C8" w:rsidRDefault="0079736C">
      <w:pPr>
        <w:pStyle w:val="Compact"/>
        <w:numPr>
          <w:ilvl w:val="0"/>
          <w:numId w:val="7"/>
        </w:numPr>
      </w:pPr>
      <w:r>
        <w:rPr>
          <w:b/>
          <w:bCs/>
        </w:rPr>
        <w:t>Recaudación y formalización:</w:t>
      </w:r>
      <w:r>
        <w:t xml:space="preserve"> flujos hoy informales pueden integrarse a la economía formal.</w:t>
      </w:r>
    </w:p>
    <w:p w14:paraId="00AE7371" w14:textId="77777777" w:rsidR="004B09C8" w:rsidRDefault="0079736C">
      <w:pPr>
        <w:pStyle w:val="Compact"/>
        <w:numPr>
          <w:ilvl w:val="0"/>
          <w:numId w:val="7"/>
        </w:numPr>
      </w:pPr>
      <w:r>
        <w:rPr>
          <w:b/>
          <w:bCs/>
        </w:rPr>
        <w:t>Oportunidad regulatoria:</w:t>
      </w:r>
      <w:r>
        <w:t xml:space="preserve"> la reciente apertura del BCB hacia activos virtuales hace que la propuesta sea oportuna y pertinente.</w:t>
      </w:r>
    </w:p>
    <w:p w14:paraId="3F8F6FE5" w14:textId="77777777" w:rsidR="004B09C8" w:rsidRDefault="0079736C">
      <w:pPr>
        <w:pStyle w:val="Ttulo2"/>
      </w:pPr>
      <w:bookmarkStart w:id="28" w:name="alcance-y-delimitación"/>
      <w:bookmarkStart w:id="29" w:name="_Toc232848555"/>
      <w:bookmarkEnd w:id="26"/>
      <w:r>
        <w:t>1.5. Alcance y delimitación</w:t>
      </w:r>
      <w:bookmarkEnd w:id="29"/>
    </w:p>
    <w:p w14:paraId="7CC486B8" w14:textId="77777777" w:rsidR="004B09C8" w:rsidRDefault="0079736C">
      <w:pPr>
        <w:pStyle w:val="FirstParagraph"/>
      </w:pPr>
      <w:r>
        <w:t xml:space="preserve">La tesina abarca el </w:t>
      </w:r>
      <w:r>
        <w:rPr>
          <w:b/>
          <w:bCs/>
        </w:rPr>
        <w:t>diseño y la implementación funcional (prototipo operativo / MVP)</w:t>
      </w:r>
      <w:r>
        <w:t xml:space="preserve"> de las tres capas del sistema, desplegado en redes de prueba (</w:t>
      </w:r>
      <w:r>
        <w:rPr>
          <w:i/>
          <w:iCs/>
        </w:rPr>
        <w:t>testnet</w:t>
      </w:r>
      <w:r>
        <w:t xml:space="preserve"> Sepolia y entorno local Hardhat), con arquitectura preparada para migración a una red de producción (BNB Chain). Quedan fuera del alcance: la puesta en producción regulada, las auditorías de seguridad externas certificadas, la integración bancaria en vivo y la obtención efectiva de licencias, que se plantean como trabajo futuro y como condiciones para la operación real.</w:t>
      </w:r>
    </w:p>
    <w:p w14:paraId="1A71470B" w14:textId="77777777" w:rsidR="004B09C8" w:rsidRDefault="0079736C">
      <w:pPr>
        <w:pStyle w:val="Ttulo2"/>
      </w:pPr>
      <w:bookmarkStart w:id="30" w:name="hipótesis"/>
      <w:bookmarkStart w:id="31" w:name="_Toc232848556"/>
      <w:bookmarkEnd w:id="28"/>
      <w:r>
        <w:t>1.6. Hipótesis</w:t>
      </w:r>
      <w:bookmarkEnd w:id="31"/>
    </w:p>
    <w:p w14:paraId="06BF30C4" w14:textId="77777777" w:rsidR="004B09C8" w:rsidRDefault="0079736C">
      <w:pPr>
        <w:pStyle w:val="Textodebloque"/>
      </w:pPr>
      <w:r>
        <w:t>Es posible implementar una stablecoin nacional respaldada 1:1 que combine la trazabilidad y eficiencia de la tecnología blockchain con los controles de cumplimiento y supervisión exigidos por la regulación boliviana, conciliando la naturaleza descentralizada de la tecnología con las facultades soberanas del Estado.</w:t>
      </w:r>
    </w:p>
    <w:p w14:paraId="6FBE726B" w14:textId="77777777" w:rsidR="004B09C8" w:rsidRDefault="0079736C">
      <w:r>
        <w:pict w14:anchorId="32F13B44">
          <v:rect id="_x0000_i1025" style="width:0;height:1.5pt" o:hralign="center" o:hrstd="t" o:hr="t"/>
        </w:pict>
      </w:r>
    </w:p>
    <w:p w14:paraId="78385AF2" w14:textId="77777777" w:rsidR="004B09C8" w:rsidRDefault="0079736C">
      <w:pPr>
        <w:pStyle w:val="Ttulo1"/>
      </w:pPr>
      <w:bookmarkStart w:id="32" w:name="capítulo-2.-marco-teórico"/>
      <w:bookmarkStart w:id="33" w:name="_Toc232848557"/>
      <w:bookmarkEnd w:id="18"/>
      <w:bookmarkEnd w:id="30"/>
      <w:r>
        <w:t>Capítulo 2. Marco teórico</w:t>
      </w:r>
      <w:bookmarkEnd w:id="33"/>
    </w:p>
    <w:p w14:paraId="2505DB4B" w14:textId="77777777" w:rsidR="004B09C8" w:rsidRDefault="0079736C">
      <w:pPr>
        <w:pStyle w:val="Ttulo2"/>
      </w:pPr>
      <w:bookmarkStart w:id="34" w:name="el-dinero-y-su-evolución-digital"/>
      <w:bookmarkStart w:id="35" w:name="_Toc232848558"/>
      <w:r>
        <w:t>2.1. El dinero y su evolución digital</w:t>
      </w:r>
      <w:bookmarkEnd w:id="35"/>
    </w:p>
    <w:p w14:paraId="6CBA9CF1" w14:textId="77777777" w:rsidR="004B09C8" w:rsidRDefault="0079736C">
      <w:pPr>
        <w:pStyle w:val="FirstParagraph"/>
      </w:pPr>
      <w:r>
        <w:t>El dinero cumple tres funciones clásicas: unidad de cuenta, medio de cambio y depósito de valor. Su evolución —del metálico al papel, del papel al dinero bancario electrónico— responde a una búsqueda constante de mayor eficiencia y menores costos de transacción. El dinero digital basado en libros distribuidos (</w:t>
      </w:r>
      <w:r>
        <w:rPr>
          <w:i/>
          <w:iCs/>
        </w:rPr>
        <w:t>blockchain</w:t>
      </w:r>
      <w:r>
        <w:t>) representa la última etapa de esta evolución: permite la transferencia de valor entre pares sin intermediarios, con liquidación casi inmediata y registro inmutable.</w:t>
      </w:r>
    </w:p>
    <w:p w14:paraId="4E23BB71" w14:textId="77777777" w:rsidR="004B09C8" w:rsidRDefault="0079736C">
      <w:pPr>
        <w:pStyle w:val="Textoindependiente"/>
      </w:pPr>
      <w:r>
        <w:t xml:space="preserve">Se distingue entre: </w:t>
      </w:r>
      <w:r>
        <w:rPr>
          <w:b/>
          <w:bCs/>
        </w:rPr>
        <w:t>CBDC</w:t>
      </w:r>
      <w:r>
        <w:t xml:space="preserve"> (moneda digital de banco central, pasivo directo del emisor estatal), </w:t>
      </w:r>
      <w:r>
        <w:rPr>
          <w:b/>
          <w:bCs/>
        </w:rPr>
        <w:t>stablecoins</w:t>
      </w:r>
      <w:r>
        <w:t xml:space="preserve"> (emitidas por entidades, respaldadas por activos) y </w:t>
      </w:r>
      <w:r>
        <w:rPr>
          <w:b/>
          <w:bCs/>
        </w:rPr>
        <w:t>criptoactivos volátiles</w:t>
      </w:r>
      <w:r>
        <w:t xml:space="preserve"> (sin respaldo, como Bitcoin). HUNBOLI se ubica como </w:t>
      </w:r>
      <w:r>
        <w:rPr>
          <w:b/>
          <w:bCs/>
        </w:rPr>
        <w:t>stablecoin respaldada por fiat</w:t>
      </w:r>
      <w:r>
        <w:t>, un modelo que puede operar como complemento privado-supervisado o como paso previo a una eventual CBDC.</w:t>
      </w:r>
    </w:p>
    <w:p w14:paraId="4BDABB7C" w14:textId="77777777" w:rsidR="004B09C8" w:rsidRDefault="0079736C">
      <w:pPr>
        <w:pStyle w:val="Ttulo2"/>
      </w:pPr>
      <w:bookmarkStart w:id="36" w:name="Xe677771d6da409aad03a70ee774fd5275f65443"/>
      <w:bookmarkStart w:id="37" w:name="_Toc232848559"/>
      <w:bookmarkEnd w:id="34"/>
      <w:r>
        <w:t>2.2. Tecnología blockchain y contratos inteligentes</w:t>
      </w:r>
      <w:bookmarkEnd w:id="37"/>
    </w:p>
    <w:p w14:paraId="2157714B" w14:textId="77777777" w:rsidR="004B09C8" w:rsidRDefault="0079736C">
      <w:pPr>
        <w:pStyle w:val="FirstParagraph"/>
      </w:pPr>
      <w:r>
        <w:t xml:space="preserve">Una </w:t>
      </w:r>
      <w:r>
        <w:rPr>
          <w:i/>
          <w:iCs/>
        </w:rPr>
        <w:t>blockchain</w:t>
      </w:r>
      <w:r>
        <w:t xml:space="preserve"> es un registro distribuido, replicado y criptográficamente encadenado, que garantiza integridad e inmutabilidad de las transacciones sin depender de una autoridad central única. Los </w:t>
      </w:r>
      <w:r>
        <w:rPr>
          <w:b/>
          <w:bCs/>
        </w:rPr>
        <w:t>contratos inteligentes</w:t>
      </w:r>
      <w:r>
        <w:t xml:space="preserve"> (</w:t>
      </w:r>
      <w:r>
        <w:rPr>
          <w:i/>
          <w:iCs/>
        </w:rPr>
        <w:t>smart contracts</w:t>
      </w:r>
      <w:r>
        <w:t>) son programas que se ejecutan de forma determinista sobre la blockchain, automatizando reglas de negocio sin posibilidad de manipulación arbitraria.</w:t>
      </w:r>
    </w:p>
    <w:p w14:paraId="32A21DA4" w14:textId="77777777" w:rsidR="004B09C8" w:rsidRDefault="0079736C">
      <w:pPr>
        <w:pStyle w:val="Textoindependiente"/>
      </w:pPr>
      <w:r>
        <w:t xml:space="preserve">El estándar </w:t>
      </w:r>
      <w:r>
        <w:rPr>
          <w:b/>
          <w:bCs/>
        </w:rPr>
        <w:t>ERC-20</w:t>
      </w:r>
      <w:r>
        <w:t xml:space="preserve"> define la interfaz común de los </w:t>
      </w:r>
      <w:r>
        <w:rPr>
          <w:i/>
          <w:iCs/>
        </w:rPr>
        <w:t>tokens</w:t>
      </w:r>
      <w:r>
        <w:t xml:space="preserve"> fungibles (transferencia, saldo, aprobación), garantizando interoperabilidad con billeteras y servicios del ecosistema. HUNBOLI implementa ERC-20 con </w:t>
      </w:r>
      <w:r>
        <w:rPr>
          <w:b/>
          <w:bCs/>
        </w:rPr>
        <w:t>6 decimales</w:t>
      </w:r>
      <w:r>
        <w:t>, configuración alineada con la representación de centavos y prácticas de stablecoins de pago.</w:t>
      </w:r>
    </w:p>
    <w:p w14:paraId="1057FCCA" w14:textId="77777777" w:rsidR="004B09C8" w:rsidRDefault="0079736C">
      <w:pPr>
        <w:pStyle w:val="Ttulo2"/>
      </w:pPr>
      <w:bookmarkStart w:id="38" w:name="Xda9b9c4ef5cc204e164c0e9224eaf27bb2048c2"/>
      <w:bookmarkStart w:id="39" w:name="_Toc232848560"/>
      <w:bookmarkEnd w:id="36"/>
      <w:r>
        <w:t>2.3. Stablecoins: tipología y modelos de respaldo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2226"/>
        <w:gridCol w:w="2004"/>
        <w:gridCol w:w="4009"/>
      </w:tblGrid>
      <w:tr w:rsidR="004B09C8" w14:paraId="496FE11C" w14:textId="77777777" w:rsidTr="004B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1A898D8E" w14:textId="77777777" w:rsidR="004B09C8" w:rsidRDefault="0079736C">
            <w:pPr>
              <w:pStyle w:val="Compact"/>
            </w:pPr>
            <w:r>
              <w:t>Tipo</w:t>
            </w:r>
          </w:p>
        </w:tc>
        <w:tc>
          <w:tcPr>
            <w:tcW w:w="1841" w:type="dxa"/>
          </w:tcPr>
          <w:p w14:paraId="2A082E98" w14:textId="77777777" w:rsidR="004B09C8" w:rsidRDefault="0079736C">
            <w:pPr>
              <w:pStyle w:val="Compact"/>
            </w:pPr>
            <w:r>
              <w:t>Respaldo</w:t>
            </w:r>
          </w:p>
        </w:tc>
        <w:tc>
          <w:tcPr>
            <w:tcW w:w="1657" w:type="dxa"/>
          </w:tcPr>
          <w:p w14:paraId="16F044EE" w14:textId="77777777" w:rsidR="004B09C8" w:rsidRDefault="0079736C">
            <w:pPr>
              <w:pStyle w:val="Compact"/>
            </w:pPr>
            <w:r>
              <w:t>Ejemplo</w:t>
            </w:r>
          </w:p>
        </w:tc>
        <w:tc>
          <w:tcPr>
            <w:tcW w:w="3315" w:type="dxa"/>
          </w:tcPr>
          <w:p w14:paraId="1A910B6C" w14:textId="77777777" w:rsidR="004B09C8" w:rsidRDefault="0079736C">
            <w:pPr>
              <w:pStyle w:val="Compact"/>
            </w:pPr>
            <w:r>
              <w:t>Riesgo principal</w:t>
            </w:r>
          </w:p>
        </w:tc>
      </w:tr>
      <w:tr w:rsidR="004B09C8" w14:paraId="60337B3E" w14:textId="77777777">
        <w:tc>
          <w:tcPr>
            <w:tcW w:w="1105" w:type="dxa"/>
          </w:tcPr>
          <w:p w14:paraId="641BD5D2" w14:textId="77777777" w:rsidR="004B09C8" w:rsidRDefault="0079736C">
            <w:pPr>
              <w:pStyle w:val="Compact"/>
            </w:pPr>
            <w:r>
              <w:t>Respaldada por fiat</w:t>
            </w:r>
          </w:p>
        </w:tc>
        <w:tc>
          <w:tcPr>
            <w:tcW w:w="1841" w:type="dxa"/>
          </w:tcPr>
          <w:p w14:paraId="1AE6D3A6" w14:textId="77777777" w:rsidR="004B09C8" w:rsidRDefault="0079736C">
            <w:pPr>
              <w:pStyle w:val="Compact"/>
            </w:pPr>
            <w:r>
              <w:t>Reservas en moneda 1:1</w:t>
            </w:r>
          </w:p>
        </w:tc>
        <w:tc>
          <w:tcPr>
            <w:tcW w:w="1657" w:type="dxa"/>
          </w:tcPr>
          <w:p w14:paraId="24525289" w14:textId="77777777" w:rsidR="004B09C8" w:rsidRDefault="0079736C">
            <w:pPr>
              <w:pStyle w:val="Compact"/>
            </w:pPr>
            <w:r>
              <w:t>USDT, USDC</w:t>
            </w:r>
          </w:p>
        </w:tc>
        <w:tc>
          <w:tcPr>
            <w:tcW w:w="3315" w:type="dxa"/>
          </w:tcPr>
          <w:p w14:paraId="05351356" w14:textId="77777777" w:rsidR="004B09C8" w:rsidRDefault="0079736C">
            <w:pPr>
              <w:pStyle w:val="Compact"/>
            </w:pPr>
            <w:r>
              <w:t>Custodia y transparencia de reservas</w:t>
            </w:r>
          </w:p>
        </w:tc>
      </w:tr>
      <w:tr w:rsidR="004B09C8" w14:paraId="133BD870" w14:textId="77777777">
        <w:tc>
          <w:tcPr>
            <w:tcW w:w="1105" w:type="dxa"/>
          </w:tcPr>
          <w:p w14:paraId="320BF1C9" w14:textId="77777777" w:rsidR="004B09C8" w:rsidRDefault="0079736C">
            <w:pPr>
              <w:pStyle w:val="Compact"/>
            </w:pPr>
            <w:r>
              <w:t>Respaldada por cripto</w:t>
            </w:r>
          </w:p>
        </w:tc>
        <w:tc>
          <w:tcPr>
            <w:tcW w:w="1841" w:type="dxa"/>
          </w:tcPr>
          <w:p w14:paraId="0F4773F4" w14:textId="77777777" w:rsidR="004B09C8" w:rsidRDefault="0079736C">
            <w:pPr>
              <w:pStyle w:val="Compact"/>
            </w:pPr>
            <w:r>
              <w:t>Sobrecolateral en criptoactivos</w:t>
            </w:r>
          </w:p>
        </w:tc>
        <w:tc>
          <w:tcPr>
            <w:tcW w:w="1657" w:type="dxa"/>
          </w:tcPr>
          <w:p w14:paraId="43381981" w14:textId="77777777" w:rsidR="004B09C8" w:rsidRDefault="0079736C">
            <w:pPr>
              <w:pStyle w:val="Compact"/>
            </w:pPr>
            <w:r>
              <w:t>DAI</w:t>
            </w:r>
          </w:p>
        </w:tc>
        <w:tc>
          <w:tcPr>
            <w:tcW w:w="3315" w:type="dxa"/>
          </w:tcPr>
          <w:p w14:paraId="5A3736BD" w14:textId="77777777" w:rsidR="004B09C8" w:rsidRDefault="0079736C">
            <w:pPr>
              <w:pStyle w:val="Compact"/>
            </w:pPr>
            <w:r>
              <w:t>Volatilidad del colateral</w:t>
            </w:r>
          </w:p>
        </w:tc>
      </w:tr>
      <w:tr w:rsidR="004B09C8" w14:paraId="3FFF73FE" w14:textId="77777777">
        <w:tc>
          <w:tcPr>
            <w:tcW w:w="1105" w:type="dxa"/>
          </w:tcPr>
          <w:p w14:paraId="79EB0A1D" w14:textId="77777777" w:rsidR="004B09C8" w:rsidRDefault="0079736C">
            <w:pPr>
              <w:pStyle w:val="Compact"/>
            </w:pPr>
            <w:r>
              <w:t>Algorítmica</w:t>
            </w:r>
          </w:p>
        </w:tc>
        <w:tc>
          <w:tcPr>
            <w:tcW w:w="1841" w:type="dxa"/>
          </w:tcPr>
          <w:p w14:paraId="48EFFB09" w14:textId="77777777" w:rsidR="004B09C8" w:rsidRDefault="0079736C">
            <w:pPr>
              <w:pStyle w:val="Compact"/>
            </w:pPr>
            <w:r>
              <w:t>Reglas de oferta/demanda</w:t>
            </w:r>
          </w:p>
        </w:tc>
        <w:tc>
          <w:tcPr>
            <w:tcW w:w="1657" w:type="dxa"/>
          </w:tcPr>
          <w:p w14:paraId="397E75E4" w14:textId="77777777" w:rsidR="004B09C8" w:rsidRDefault="0079736C">
            <w:pPr>
              <w:pStyle w:val="Compact"/>
            </w:pPr>
            <w:r>
              <w:t>(casos fallidos)</w:t>
            </w:r>
          </w:p>
        </w:tc>
        <w:tc>
          <w:tcPr>
            <w:tcW w:w="3315" w:type="dxa"/>
          </w:tcPr>
          <w:p w14:paraId="437D7BB4" w14:textId="77777777" w:rsidR="004B09C8" w:rsidRDefault="0079736C">
            <w:pPr>
              <w:pStyle w:val="Compact"/>
            </w:pPr>
            <w:r>
              <w:t>Pérdida de paridad (</w:t>
            </w:r>
            <w:r>
              <w:rPr>
                <w:i/>
                <w:iCs/>
              </w:rPr>
              <w:t>depeg</w:t>
            </w:r>
            <w:r>
              <w:t>)</w:t>
            </w:r>
          </w:p>
        </w:tc>
      </w:tr>
    </w:tbl>
    <w:p w14:paraId="4611BBAD" w14:textId="77777777" w:rsidR="004B09C8" w:rsidRDefault="0079736C">
      <w:pPr>
        <w:pStyle w:val="Textoindependiente"/>
      </w:pPr>
      <w:r>
        <w:t xml:space="preserve">HUNBOLI adopta el modelo </w:t>
      </w:r>
      <w:r>
        <w:rPr>
          <w:b/>
          <w:bCs/>
        </w:rPr>
        <w:t>respaldado por fiat 1:1</w:t>
      </w:r>
      <w:r>
        <w:t>, el más robusto y comprensible para un regulador: por cada unidad BOBH en circulación existe el equivalente en bolivianos en reserva. La emisión (</w:t>
      </w:r>
      <w:r>
        <w:rPr>
          <w:i/>
          <w:iCs/>
        </w:rPr>
        <w:t>mint</w:t>
      </w:r>
      <w:r>
        <w:t>) ocurre únicamente cuando ingresa respaldo verificado, y la destrucción (</w:t>
      </w:r>
      <w:r>
        <w:rPr>
          <w:i/>
          <w:iCs/>
        </w:rPr>
        <w:t>burn</w:t>
      </w:r>
      <w:r>
        <w:t xml:space="preserve">) cuando el usuario retira fondos, manteniendo la igualdad </w:t>
      </w:r>
      <w:r>
        <w:rPr>
          <w:b/>
          <w:bCs/>
        </w:rPr>
        <w:t>oferta = reserva</w:t>
      </w:r>
      <w:r>
        <w:t>.</w:t>
      </w:r>
    </w:p>
    <w:p w14:paraId="3159C4F9" w14:textId="77777777" w:rsidR="004B09C8" w:rsidRDefault="0079736C">
      <w:pPr>
        <w:pStyle w:val="Ttulo2"/>
      </w:pPr>
      <w:bookmarkStart w:id="40" w:name="Xf3376d52a7d2821f4e6b93a760eed1707670b9d"/>
      <w:bookmarkStart w:id="41" w:name="_Toc232848561"/>
      <w:bookmarkEnd w:id="38"/>
      <w:r>
        <w:t>2.4. Identidad digital, KYC y prevención de lavado de activos (AML)</w:t>
      </w:r>
      <w:bookmarkEnd w:id="41"/>
    </w:p>
    <w:p w14:paraId="5BE6583A" w14:textId="77777777" w:rsidR="004B09C8" w:rsidRDefault="0079736C">
      <w:pPr>
        <w:pStyle w:val="FirstParagraph"/>
      </w:pPr>
      <w:r>
        <w:rPr>
          <w:b/>
          <w:bCs/>
        </w:rPr>
        <w:t>KYC</w:t>
      </w:r>
      <w:r>
        <w:t xml:space="preserve"> (</w:t>
      </w:r>
      <w:r>
        <w:rPr>
          <w:i/>
          <w:iCs/>
        </w:rPr>
        <w:t>Know Your Customer</w:t>
      </w:r>
      <w:r>
        <w:t>, conoce a tu cliente) es el conjunto de procedimientos de verificación de identidad obligatorios en el sistema financiero. HUNBOLI integra KYC con verificación facial, prueba de vida (</w:t>
      </w:r>
      <w:r>
        <w:rPr>
          <w:i/>
          <w:iCs/>
        </w:rPr>
        <w:t>liveness</w:t>
      </w:r>
      <w:r>
        <w:t xml:space="preserve">) y comparación biométrica antes de habilitar operaciones. Esto, sumado a la trazabilidad on-chain, alinea el sistema con las </w:t>
      </w:r>
      <w:r>
        <w:rPr>
          <w:b/>
          <w:bCs/>
        </w:rPr>
        <w:t>40 Recomendaciones del GAFI</w:t>
      </w:r>
      <w:r>
        <w:t xml:space="preserve"> (Grupo de Acción Financiera Internacional), en particular la “</w:t>
      </w:r>
      <w:r>
        <w:rPr>
          <w:i/>
          <w:iCs/>
        </w:rPr>
        <w:t>Travel Rule</w:t>
      </w:r>
      <w:r>
        <w:t>” y la debida diligencia del cliente.</w:t>
      </w:r>
    </w:p>
    <w:p w14:paraId="2ED385C2" w14:textId="77777777" w:rsidR="004B09C8" w:rsidRDefault="0079736C">
      <w:pPr>
        <w:pStyle w:val="Ttulo2"/>
      </w:pPr>
      <w:bookmarkStart w:id="42" w:name="X1e5d05a11872625a6c463be5eaa49d13d40c06a"/>
      <w:bookmarkStart w:id="43" w:name="_Toc232848562"/>
      <w:bookmarkEnd w:id="40"/>
      <w:r>
        <w:t>2.5. Custodia institucional y firma múltiple (multisig)</w:t>
      </w:r>
      <w:bookmarkEnd w:id="43"/>
    </w:p>
    <w:p w14:paraId="03BF3168" w14:textId="77777777" w:rsidR="004B09C8" w:rsidRDefault="0079736C">
      <w:pPr>
        <w:pStyle w:val="FirstParagraph"/>
      </w:pPr>
      <w:r>
        <w:t xml:space="preserve">La </w:t>
      </w:r>
      <w:r>
        <w:rPr>
          <w:b/>
          <w:bCs/>
        </w:rPr>
        <w:t>firma múltiple</w:t>
      </w:r>
      <w:r>
        <w:t xml:space="preserve"> (</w:t>
      </w:r>
      <w:r>
        <w:rPr>
          <w:i/>
          <w:iCs/>
        </w:rPr>
        <w:t>multisig</w:t>
      </w:r>
      <w:r>
        <w:t xml:space="preserve">) exige que una operación crítica —como acuñar o destruir tokens— sea aprobada por varias partes independientes antes de ejecutarse. HUNBOLI emplea un esquema tipo </w:t>
      </w:r>
      <w:r>
        <w:rPr>
          <w:b/>
          <w:bCs/>
        </w:rPr>
        <w:t>Safe</w:t>
      </w:r>
      <w:r>
        <w:t xml:space="preserve"> (anteriormente Gnosis Safe), de modo que ninguna persona individual puede emitir dinero unilateralmente. Esto es el equivalente digital del principio contable de </w:t>
      </w:r>
      <w:r>
        <w:rPr>
          <w:b/>
          <w:bCs/>
        </w:rPr>
        <w:t>doble firma</w:t>
      </w:r>
      <w:r>
        <w:t xml:space="preserve"> y constituye un control de gobernanza esencial para la confianza institucional.</w:t>
      </w:r>
    </w:p>
    <w:p w14:paraId="58D712A9" w14:textId="77777777" w:rsidR="004B09C8" w:rsidRDefault="0079736C">
      <w:pPr>
        <w:pStyle w:val="Ttulo2"/>
      </w:pPr>
      <w:bookmarkStart w:id="44" w:name="contexto-financiero-boliviano"/>
      <w:bookmarkStart w:id="45" w:name="_Toc232848563"/>
      <w:bookmarkEnd w:id="42"/>
      <w:r>
        <w:t>2.6. Contexto financiero boliviano</w:t>
      </w:r>
      <w:bookmarkEnd w:id="45"/>
    </w:p>
    <w:p w14:paraId="4DF3B9DB" w14:textId="77777777" w:rsidR="004B09C8" w:rsidRDefault="0079736C">
      <w:pPr>
        <w:pStyle w:val="FirstParagraph"/>
      </w:pPr>
      <w:r>
        <w:t xml:space="preserve">Hasta 2024, la normativa boliviana prohibía el uso de criptoactivos en el sistema financiero. En 2024, el Banco Central de Bolivia modificó su postura y habilitó operaciones con activos virtuales a través de canales electrónicos autorizados, abriendo la puerta a soluciones reguladas. Este cambio normativo es el fundamento de oportunidad de la presente propuesta. </w:t>
      </w:r>
      <w:r>
        <w:rPr>
          <w:i/>
          <w:iCs/>
        </w:rPr>
        <w:t>(Las referencias normativas específicas deben verificarse y citarse con la resolución vigente; ver advertencias.)</w:t>
      </w:r>
    </w:p>
    <w:p w14:paraId="1A2DE5F2" w14:textId="77777777" w:rsidR="004B09C8" w:rsidRDefault="0079736C">
      <w:r>
        <w:pict w14:anchorId="6B7B7040">
          <v:rect id="_x0000_i1026" style="width:0;height:1.5pt" o:hralign="center" o:hrstd="t" o:hr="t"/>
        </w:pict>
      </w:r>
    </w:p>
    <w:p w14:paraId="6DDB3127" w14:textId="77777777" w:rsidR="004B09C8" w:rsidRDefault="0079736C">
      <w:pPr>
        <w:pStyle w:val="Ttulo1"/>
      </w:pPr>
      <w:bookmarkStart w:id="46" w:name="capítulo-3.-marco-metodológico"/>
      <w:bookmarkStart w:id="47" w:name="_Toc232848564"/>
      <w:bookmarkEnd w:id="32"/>
      <w:bookmarkEnd w:id="44"/>
      <w:r>
        <w:t>Capítulo 3. Marco metodológico</w:t>
      </w:r>
      <w:bookmarkEnd w:id="47"/>
    </w:p>
    <w:p w14:paraId="0CF9A6DF" w14:textId="77777777" w:rsidR="004B09C8" w:rsidRDefault="0079736C">
      <w:pPr>
        <w:pStyle w:val="FirstParagraph"/>
      </w:pPr>
      <w:r>
        <w:rPr>
          <w:b/>
          <w:bCs/>
        </w:rPr>
        <w:t>Tipo de investigación:</w:t>
      </w:r>
      <w:r>
        <w:t xml:space="preserve"> aplicada, de carácter descriptivo-propositivo, con desarrollo de un artefacto tecnológico (investigación de diseño, </w:t>
      </w:r>
      <w:r>
        <w:rPr>
          <w:i/>
          <w:iCs/>
        </w:rPr>
        <w:t>Design Science Research</w:t>
      </w:r>
      <w:r>
        <w:t>).</w:t>
      </w:r>
    </w:p>
    <w:p w14:paraId="60837CAC" w14:textId="77777777" w:rsidR="004B09C8" w:rsidRDefault="0079736C">
      <w:pPr>
        <w:pStyle w:val="Textoindependiente"/>
      </w:pPr>
      <w:r>
        <w:rPr>
          <w:b/>
          <w:bCs/>
        </w:rPr>
        <w:t>Metodología de desarrollo:</w:t>
      </w:r>
      <w:r>
        <w:t xml:space="preserve"> iterativa-incremental, con separación en tres capas (contrato, backend, frontend) y validación funcional sobre redes de prueba.</w:t>
      </w:r>
    </w:p>
    <w:p w14:paraId="2F52AD26" w14:textId="77777777" w:rsidR="004B09C8" w:rsidRDefault="0079736C">
      <w:pPr>
        <w:pStyle w:val="Textoindependiente"/>
      </w:pPr>
      <w:r>
        <w:rPr>
          <w:b/>
          <w:bCs/>
        </w:rPr>
        <w:t>Técnicas e instrumentos:</w:t>
      </w:r>
      <w:r>
        <w:t xml:space="preserve"> - Revisión documental (normativa, literatura sobre stablecoins, estándares GAFI). - Desarrollo y prueba de contratos inteligentes (Solidity, Foundry/Hardhat; pruebas de invariantes y </w:t>
      </w:r>
      <w:r>
        <w:rPr>
          <w:i/>
          <w:iCs/>
        </w:rPr>
        <w:t>fork tests</w:t>
      </w:r>
      <w:r>
        <w:t>). - Desarrollo de servicios backend (NestJS, PostgreSQL/Prisma) y de la aplicación cliente (Next.js, React). - Verificación de flujos extremo a extremo (depósito→emisión, retiro→destrucción).</w:t>
      </w:r>
    </w:p>
    <w:p w14:paraId="11C95C68" w14:textId="77777777" w:rsidR="004B09C8" w:rsidRDefault="0079736C">
      <w:pPr>
        <w:pStyle w:val="Textoindependiente"/>
      </w:pPr>
      <w:r>
        <w:rPr>
          <w:b/>
          <w:bCs/>
        </w:rPr>
        <w:t>Stack tecnológico empleado (verificado en el código):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4B09C8" w14:paraId="4AF1A498" w14:textId="77777777" w:rsidTr="004B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74EAADD6" w14:textId="77777777" w:rsidR="004B09C8" w:rsidRDefault="0079736C">
            <w:pPr>
              <w:pStyle w:val="Compact"/>
            </w:pPr>
            <w:r>
              <w:t>Capa</w:t>
            </w:r>
          </w:p>
        </w:tc>
        <w:tc>
          <w:tcPr>
            <w:tcW w:w="5418" w:type="dxa"/>
          </w:tcPr>
          <w:p w14:paraId="6A1BE373" w14:textId="77777777" w:rsidR="004B09C8" w:rsidRDefault="0079736C">
            <w:pPr>
              <w:pStyle w:val="Compact"/>
            </w:pPr>
            <w:r>
              <w:t>Tecnologías</w:t>
            </w:r>
          </w:p>
        </w:tc>
      </w:tr>
      <w:tr w:rsidR="004B09C8" w14:paraId="705EAB92" w14:textId="77777777">
        <w:tc>
          <w:tcPr>
            <w:tcW w:w="2501" w:type="dxa"/>
          </w:tcPr>
          <w:p w14:paraId="334431B0" w14:textId="77777777" w:rsidR="004B09C8" w:rsidRDefault="0079736C">
            <w:pPr>
              <w:pStyle w:val="Compact"/>
            </w:pPr>
            <w:r>
              <w:t>Contrato</w:t>
            </w:r>
          </w:p>
        </w:tc>
        <w:tc>
          <w:tcPr>
            <w:tcW w:w="5418" w:type="dxa"/>
          </w:tcPr>
          <w:p w14:paraId="5A32F7F0" w14:textId="77777777" w:rsidR="004B09C8" w:rsidRDefault="0079736C">
            <w:pPr>
              <w:pStyle w:val="Compact"/>
            </w:pPr>
            <w:r>
              <w:t>Solidity ^0.8.28, OpenZeppelin (ERC20, AccessControl, Pausable), Foundry/Hardhat</w:t>
            </w:r>
          </w:p>
        </w:tc>
      </w:tr>
      <w:tr w:rsidR="004B09C8" w14:paraId="0FB3350D" w14:textId="77777777">
        <w:tc>
          <w:tcPr>
            <w:tcW w:w="2501" w:type="dxa"/>
          </w:tcPr>
          <w:p w14:paraId="7AE8E3C4" w14:textId="77777777" w:rsidR="004B09C8" w:rsidRDefault="0079736C">
            <w:pPr>
              <w:pStyle w:val="Compact"/>
            </w:pPr>
            <w:r>
              <w:t>Backend</w:t>
            </w:r>
          </w:p>
        </w:tc>
        <w:tc>
          <w:tcPr>
            <w:tcW w:w="5418" w:type="dxa"/>
          </w:tcPr>
          <w:p w14:paraId="5376CD6A" w14:textId="77777777" w:rsidR="004B09C8" w:rsidRDefault="0079736C">
            <w:pPr>
              <w:pStyle w:val="Compact"/>
            </w:pPr>
            <w:r>
              <w:t xml:space="preserve">NestJS, PostgreSQL + Prisma ORM, integración Safe (multisig), </w:t>
            </w:r>
            <w:r>
              <w:rPr>
                <w:i/>
                <w:iCs/>
              </w:rPr>
              <w:t>listener</w:t>
            </w:r>
            <w:r>
              <w:t xml:space="preserve"> de eventos on-chain, Cloudinary (comprobantes), proveedor de tasas (Binance P2P)</w:t>
            </w:r>
          </w:p>
        </w:tc>
      </w:tr>
      <w:tr w:rsidR="004B09C8" w14:paraId="3D848D87" w14:textId="77777777">
        <w:tc>
          <w:tcPr>
            <w:tcW w:w="2501" w:type="dxa"/>
          </w:tcPr>
          <w:p w14:paraId="6906E985" w14:textId="77777777" w:rsidR="004B09C8" w:rsidRDefault="0079736C">
            <w:pPr>
              <w:pStyle w:val="Compact"/>
            </w:pPr>
            <w:r>
              <w:t>Frontend</w:t>
            </w:r>
          </w:p>
        </w:tc>
        <w:tc>
          <w:tcPr>
            <w:tcW w:w="5418" w:type="dxa"/>
          </w:tcPr>
          <w:p w14:paraId="49397D31" w14:textId="77777777" w:rsidR="004B09C8" w:rsidRDefault="0079736C">
            <w:pPr>
              <w:pStyle w:val="Compact"/>
            </w:pPr>
            <w:r>
              <w:t>Next.js 16, React 19, wagmi + RainbowKit + viem, TailwindCSS, React Query</w:t>
            </w:r>
          </w:p>
        </w:tc>
      </w:tr>
      <w:tr w:rsidR="004B09C8" w14:paraId="06958D53" w14:textId="77777777">
        <w:tc>
          <w:tcPr>
            <w:tcW w:w="2501" w:type="dxa"/>
          </w:tcPr>
          <w:p w14:paraId="21364DE2" w14:textId="77777777" w:rsidR="004B09C8" w:rsidRDefault="0079736C">
            <w:pPr>
              <w:pStyle w:val="Compact"/>
            </w:pPr>
            <w:r>
              <w:t>Redes</w:t>
            </w:r>
          </w:p>
        </w:tc>
        <w:tc>
          <w:tcPr>
            <w:tcW w:w="5418" w:type="dxa"/>
          </w:tcPr>
          <w:p w14:paraId="3B56A8C6" w14:textId="77777777" w:rsidR="004B09C8" w:rsidRDefault="0079736C">
            <w:pPr>
              <w:pStyle w:val="Compact"/>
            </w:pPr>
            <w:r>
              <w:t>Sepolia (testnet), Hardhat (local); destino BNB Chain</w:t>
            </w:r>
          </w:p>
        </w:tc>
      </w:tr>
    </w:tbl>
    <w:p w14:paraId="325B5104" w14:textId="77777777" w:rsidR="004B09C8" w:rsidRDefault="0079736C">
      <w:r>
        <w:pict w14:anchorId="798E2B33">
          <v:rect id="_x0000_i1027" style="width:0;height:1.5pt" o:hralign="center" o:hrstd="t" o:hr="t"/>
        </w:pict>
      </w:r>
    </w:p>
    <w:p w14:paraId="743FD234" w14:textId="77777777" w:rsidR="004B09C8" w:rsidRDefault="0079736C">
      <w:pPr>
        <w:pStyle w:val="Ttulo1"/>
      </w:pPr>
      <w:bookmarkStart w:id="48" w:name="Xdc48f623f8400a60fb3672ea953c074447dfbb3"/>
      <w:bookmarkStart w:id="49" w:name="_Toc232848565"/>
      <w:bookmarkEnd w:id="46"/>
      <w:r>
        <w:t>Capítulo 4. Propuesta y desarrollo del sistema HUNBOLI</w:t>
      </w:r>
      <w:bookmarkEnd w:id="49"/>
    </w:p>
    <w:p w14:paraId="4F70073B" w14:textId="77777777" w:rsidR="004B09C8" w:rsidRDefault="0079736C">
      <w:pPr>
        <w:pStyle w:val="Ttulo2"/>
      </w:pPr>
      <w:bookmarkStart w:id="50" w:name="visión-general-de-la-arquitectura"/>
      <w:bookmarkStart w:id="51" w:name="_Toc232848566"/>
      <w:r>
        <w:t>4.1. Visión general de la arquitectura</w:t>
      </w:r>
      <w:bookmarkEnd w:id="51"/>
    </w:p>
    <w:p w14:paraId="17D24378" w14:textId="77777777" w:rsidR="004B09C8" w:rsidRDefault="0079736C">
      <w:pPr>
        <w:pStyle w:val="FirstParagraph"/>
      </w:pPr>
      <w:r>
        <w:t>HUNBOLI se compone de tres capas integradas:</w:t>
      </w:r>
    </w:p>
    <w:p w14:paraId="78730EAF" w14:textId="77777777" w:rsidR="004B09C8" w:rsidRDefault="0079736C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CAPA 3 — APLICACIÓN DE USUARIO (Next.js / React)              │</w:t>
      </w:r>
      <w:r>
        <w:br/>
      </w:r>
      <w:r>
        <w:rPr>
          <w:rStyle w:val="VerbatimChar"/>
        </w:rPr>
        <w:t>│  Landing institucional · Billetera · KYC · Paneles de admin    │</w:t>
      </w:r>
      <w:r>
        <w:br/>
      </w:r>
      <w:r>
        <w:rPr>
          <w:rStyle w:val="VerbatimChar"/>
        </w:rPr>
        <w:t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API REST (JWT, roles)</w:t>
      </w:r>
      <w:r>
        <w:br/>
      </w:r>
      <w:r>
        <w:rPr>
          <w:rStyle w:val="VerbatimChar"/>
        </w:rPr>
        <w:t>┌───────────────────────────▼──────────────────────────────────┐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>│  CAPA 2 — BACKEND Y OPERACIONES (NestJS + PostgreSQL)          │</w:t>
      </w:r>
      <w:r>
        <w:br/>
      </w:r>
      <w:r>
        <w:rPr>
          <w:rStyle w:val="VerbatimChar"/>
        </w:rPr>
        <w:t>│  Identidad/KYC · Depósitos→Mint · Retiros→Burn ·               │</w:t>
      </w:r>
      <w:r>
        <w:br/>
      </w:r>
      <w:r>
        <w:rPr>
          <w:rStyle w:val="VerbatimChar"/>
        </w:rPr>
        <w:t xml:space="preserve">│  Custodia multifirma (Safe) · Listener de eventos · Tasas  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JSON-RPC (viem / ethers)</w:t>
      </w:r>
      <w:r>
        <w:br/>
      </w:r>
      <w:r>
        <w:rPr>
          <w:rStyle w:val="VerbatimChar"/>
        </w:rPr>
        <w:t>┌───────────────────────────▼──────────────────────────────────┐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>│  CAPA 1 — CONTRATO INTELIGENTE (Solidity, ERC-20 "BOBH")       │</w:t>
      </w:r>
      <w:r>
        <w:br/>
      </w:r>
      <w:r>
        <w:rPr>
          <w:rStyle w:val="VerbatimChar"/>
        </w:rPr>
        <w:t>│  Mint · Burn · Redención · Blacklist · Confiscación · Pausa    │</w:t>
      </w:r>
      <w:r>
        <w:br/>
      </w:r>
      <w:r>
        <w:rPr>
          <w:rStyle w:val="VerbatimChar"/>
        </w:rPr>
        <w:t>│  Eventos de auditoría inmutables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</w:p>
    <w:p w14:paraId="71074356" w14:textId="77777777" w:rsidR="004B09C8" w:rsidRDefault="0079736C">
      <w:pPr>
        <w:pStyle w:val="FirstParagraph"/>
      </w:pPr>
      <w:r>
        <w:rPr>
          <w:b/>
          <w:bCs/>
        </w:rPr>
        <w:t>Principio de diseño rector:</w:t>
      </w:r>
      <w:r>
        <w:t xml:space="preserve"> la blockchain aporta </w:t>
      </w:r>
      <w:r>
        <w:rPr>
          <w:i/>
          <w:iCs/>
        </w:rPr>
        <w:t>trazabilidad e integridad</w:t>
      </w:r>
      <w:r>
        <w:t xml:space="preserve">; el backend aporta </w:t>
      </w:r>
      <w:r>
        <w:rPr>
          <w:i/>
          <w:iCs/>
        </w:rPr>
        <w:t>control de cumplimiento y experiencia de usuario</w:t>
      </w:r>
      <w:r>
        <w:t xml:space="preserve">; y la gobernanza multifirma aporta </w:t>
      </w:r>
      <w:r>
        <w:rPr>
          <w:i/>
          <w:iCs/>
        </w:rPr>
        <w:t>confianza institucional</w:t>
      </w:r>
      <w:r>
        <w:t>. La paridad 1:1 se preserva porque la emisión solo ocurre tras la validación de respaldo fiat.</w:t>
      </w:r>
    </w:p>
    <w:p w14:paraId="3EAF2C82" w14:textId="77777777" w:rsidR="004B09C8" w:rsidRDefault="0079736C">
      <w:pPr>
        <w:pStyle w:val="Ttulo2"/>
      </w:pPr>
      <w:bookmarkStart w:id="52" w:name="capa-de-contrato-inteligente-token-bobh"/>
      <w:bookmarkStart w:id="53" w:name="_Toc232848567"/>
      <w:bookmarkEnd w:id="50"/>
      <w:r>
        <w:t>4.2. Capa de contrato inteligente (token BOBH)</w:t>
      </w:r>
      <w:bookmarkEnd w:id="53"/>
    </w:p>
    <w:p w14:paraId="614B5137" w14:textId="77777777" w:rsidR="004B09C8" w:rsidRDefault="0079736C">
      <w:pPr>
        <w:pStyle w:val="FirstParagraph"/>
      </w:pPr>
      <w:r>
        <w:t xml:space="preserve">El contrato </w:t>
      </w:r>
      <w:r>
        <w:rPr>
          <w:rStyle w:val="VerbatimChar"/>
        </w:rPr>
        <w:t>MyStableCoin</w:t>
      </w:r>
      <w:r>
        <w:t xml:space="preserve"> (nombre comercial </w:t>
      </w:r>
      <w:r>
        <w:rPr>
          <w:b/>
          <w:bCs/>
        </w:rPr>
        <w:t>HUNBOLI</w:t>
      </w:r>
      <w:r>
        <w:t xml:space="preserve">, símbolo </w:t>
      </w:r>
      <w:r>
        <w:rPr>
          <w:b/>
          <w:bCs/>
        </w:rPr>
        <w:t>BOBH</w:t>
      </w:r>
      <w:r>
        <w:t xml:space="preserve">) hereda de los módulos auditados de OpenZeppelin: </w:t>
      </w:r>
      <w:r>
        <w:rPr>
          <w:rStyle w:val="VerbatimChar"/>
        </w:rPr>
        <w:t>ERC20</w:t>
      </w:r>
      <w:r>
        <w:t xml:space="preserve">, </w:t>
      </w:r>
      <w:r>
        <w:rPr>
          <w:rStyle w:val="VerbatimChar"/>
        </w:rPr>
        <w:t>AccessControl</w:t>
      </w:r>
      <w:r>
        <w:t xml:space="preserve"> y </w:t>
      </w:r>
      <w:r>
        <w:rPr>
          <w:rStyle w:val="VerbatimChar"/>
        </w:rPr>
        <w:t>Pausable</w:t>
      </w:r>
      <w:r>
        <w:t>.</w:t>
      </w:r>
    </w:p>
    <w:p w14:paraId="21778A97" w14:textId="77777777" w:rsidR="004B09C8" w:rsidRDefault="0079736C">
      <w:pPr>
        <w:pStyle w:val="Textoindependiente"/>
      </w:pPr>
      <w:r>
        <w:rPr>
          <w:b/>
          <w:bCs/>
        </w:rPr>
        <w:t>Características técnicas verificadas:</w:t>
      </w:r>
    </w:p>
    <w:p w14:paraId="020C9402" w14:textId="77777777" w:rsidR="004B09C8" w:rsidRDefault="0079736C">
      <w:pPr>
        <w:pStyle w:val="Compact"/>
        <w:numPr>
          <w:ilvl w:val="0"/>
          <w:numId w:val="8"/>
        </w:numPr>
      </w:pPr>
      <w:r>
        <w:rPr>
          <w:b/>
          <w:bCs/>
        </w:rPr>
        <w:t>Decimales: 6</w:t>
      </w:r>
      <w:r>
        <w:t xml:space="preserve"> (requerimiento del modelo de pago).</w:t>
      </w:r>
    </w:p>
    <w:p w14:paraId="3796B957" w14:textId="77777777" w:rsidR="004B09C8" w:rsidRDefault="0079736C">
      <w:pPr>
        <w:pStyle w:val="Compact"/>
        <w:numPr>
          <w:ilvl w:val="0"/>
          <w:numId w:val="8"/>
        </w:numPr>
      </w:pPr>
      <w:r>
        <w:rPr>
          <w:b/>
          <w:bCs/>
        </w:rPr>
        <w:t>Suministro máximo (</w:t>
      </w:r>
      <w:r>
        <w:rPr>
          <w:rStyle w:val="VerbatimChar"/>
          <w:b/>
          <w:bCs/>
        </w:rPr>
        <w:t>MAX_SUPPLY</w:t>
      </w:r>
      <w:r>
        <w:rPr>
          <w:b/>
          <w:bCs/>
        </w:rPr>
        <w:t>) inmutable</w:t>
      </w:r>
      <w:r>
        <w:t>, fijado en el despliegue: techo de emisión que no puede alterarse, garantía anti-inflación.</w:t>
      </w:r>
    </w:p>
    <w:p w14:paraId="2C510352" w14:textId="77777777" w:rsidR="004B09C8" w:rsidRDefault="0079736C">
      <w:pPr>
        <w:pStyle w:val="Compact"/>
        <w:numPr>
          <w:ilvl w:val="0"/>
          <w:numId w:val="8"/>
        </w:numPr>
      </w:pPr>
      <w:r>
        <w:rPr>
          <w:b/>
          <w:bCs/>
        </w:rPr>
        <w:t>Separación de roles (control de acceso):</w:t>
      </w:r>
    </w:p>
    <w:p w14:paraId="3AF91A8F" w14:textId="77777777" w:rsidR="004B09C8" w:rsidRDefault="0079736C">
      <w:pPr>
        <w:pStyle w:val="Compact"/>
        <w:numPr>
          <w:ilvl w:val="1"/>
          <w:numId w:val="9"/>
        </w:numPr>
      </w:pPr>
      <w:r>
        <w:rPr>
          <w:rStyle w:val="VerbatimChar"/>
        </w:rPr>
        <w:t>MINTER_ROLE</w:t>
      </w:r>
      <w:r>
        <w:t xml:space="preserve"> — autoriza la emisión.</w:t>
      </w:r>
    </w:p>
    <w:p w14:paraId="017CBB84" w14:textId="77777777" w:rsidR="004B09C8" w:rsidRDefault="0079736C">
      <w:pPr>
        <w:pStyle w:val="Compact"/>
        <w:numPr>
          <w:ilvl w:val="1"/>
          <w:numId w:val="9"/>
        </w:numPr>
      </w:pPr>
      <w:r>
        <w:rPr>
          <w:rStyle w:val="VerbatimChar"/>
        </w:rPr>
        <w:t>BURNER_ROLE</w:t>
      </w:r>
      <w:r>
        <w:t xml:space="preserve"> </w:t>
      </w:r>
      <w:r>
        <w:t>— autoriza la destrucción / finalización de redenciones.</w:t>
      </w:r>
    </w:p>
    <w:p w14:paraId="29326915" w14:textId="77777777" w:rsidR="004B09C8" w:rsidRDefault="0079736C">
      <w:pPr>
        <w:pStyle w:val="Compact"/>
        <w:numPr>
          <w:ilvl w:val="1"/>
          <w:numId w:val="9"/>
        </w:numPr>
      </w:pPr>
      <w:r>
        <w:rPr>
          <w:rStyle w:val="VerbatimChar"/>
        </w:rPr>
        <w:t>PAUSER_ROLE</w:t>
      </w:r>
      <w:r>
        <w:t xml:space="preserve"> — pausa/reanuda el sistema.</w:t>
      </w:r>
    </w:p>
    <w:p w14:paraId="0DF611F7" w14:textId="77777777" w:rsidR="004B09C8" w:rsidRDefault="0079736C">
      <w:pPr>
        <w:pStyle w:val="Compact"/>
        <w:numPr>
          <w:ilvl w:val="1"/>
          <w:numId w:val="9"/>
        </w:numPr>
      </w:pPr>
      <w:r>
        <w:rPr>
          <w:rStyle w:val="VerbatimChar"/>
        </w:rPr>
        <w:t>BLACKLIST_MANAGER_ROLE</w:t>
      </w:r>
      <w:r>
        <w:t xml:space="preserve"> — gestiona la lista de restricción y la confiscación.</w:t>
      </w:r>
    </w:p>
    <w:p w14:paraId="341BECB6" w14:textId="77777777" w:rsidR="004B09C8" w:rsidRDefault="0079736C">
      <w:pPr>
        <w:pStyle w:val="Compact"/>
        <w:numPr>
          <w:ilvl w:val="1"/>
          <w:numId w:val="9"/>
        </w:numPr>
      </w:pPr>
      <w:r>
        <w:rPr>
          <w:rStyle w:val="VerbatimChar"/>
        </w:rPr>
        <w:t>DEFAULT_ADMIN_ROLE</w:t>
      </w:r>
      <w:r>
        <w:t xml:space="preserve"> — administración general.</w:t>
      </w:r>
    </w:p>
    <w:p w14:paraId="2E54D840" w14:textId="77777777" w:rsidR="004B09C8" w:rsidRDefault="0079736C">
      <w:pPr>
        <w:pStyle w:val="FirstParagraph"/>
      </w:pPr>
      <w:r>
        <w:rPr>
          <w:b/>
          <w:bCs/>
        </w:rPr>
        <w:t>Funciones regulatorias clave:</w:t>
      </w:r>
    </w:p>
    <w:p w14:paraId="07F8CE15" w14:textId="77777777" w:rsidR="004B09C8" w:rsidRDefault="0079736C">
      <w:pPr>
        <w:pStyle w:val="Compact"/>
        <w:numPr>
          <w:ilvl w:val="0"/>
          <w:numId w:val="10"/>
        </w:numPr>
      </w:pPr>
      <w:r>
        <w:rPr>
          <w:b/>
          <w:bCs/>
        </w:rPr>
        <w:t>Emisión controlada</w:t>
      </w:r>
      <w:r>
        <w:t xml:space="preserve"> (</w:t>
      </w:r>
      <w:r>
        <w:rPr>
          <w:rStyle w:val="VerbatimChar"/>
        </w:rPr>
        <w:t>mint</w:t>
      </w:r>
      <w:r>
        <w:t xml:space="preserve">, </w:t>
      </w:r>
      <w:r>
        <w:rPr>
          <w:rStyle w:val="VerbatimChar"/>
        </w:rPr>
        <w:t>mintBatch</w:t>
      </w:r>
      <w:r>
        <w:t xml:space="preserve">): solo direcciones con </w:t>
      </w:r>
      <w:r>
        <w:rPr>
          <w:rStyle w:val="VerbatimChar"/>
        </w:rPr>
        <w:t>MINTER_ROLE</w:t>
      </w:r>
      <w:r>
        <w:t xml:space="preserve">; valida que no se exceda </w:t>
      </w:r>
      <w:r>
        <w:rPr>
          <w:rStyle w:val="VerbatimChar"/>
        </w:rPr>
        <w:t>MAX_SUPPLY</w:t>
      </w:r>
      <w:r>
        <w:t xml:space="preserve">; emite evento </w:t>
      </w:r>
      <w:r>
        <w:rPr>
          <w:rStyle w:val="VerbatimChar"/>
        </w:rPr>
        <w:t>Minted</w:t>
      </w:r>
      <w:r>
        <w:t xml:space="preserve">. El </w:t>
      </w:r>
      <w:r>
        <w:rPr>
          <w:i/>
          <w:iCs/>
        </w:rPr>
        <w:t>batch</w:t>
      </w:r>
      <w:r>
        <w:t xml:space="preserve"> permite emisiones masivas eficientes en gas.</w:t>
      </w:r>
    </w:p>
    <w:p w14:paraId="6F06A7A6" w14:textId="77777777" w:rsidR="004B09C8" w:rsidRDefault="0079736C">
      <w:pPr>
        <w:pStyle w:val="Compact"/>
        <w:numPr>
          <w:ilvl w:val="0"/>
          <w:numId w:val="10"/>
        </w:numPr>
      </w:pPr>
      <w:r>
        <w:rPr>
          <w:b/>
          <w:bCs/>
        </w:rPr>
        <w:t>Flujo de redención formal:</w:t>
      </w:r>
    </w:p>
    <w:p w14:paraId="6D5A6D59" w14:textId="77777777" w:rsidR="004B09C8" w:rsidRDefault="0079736C">
      <w:pPr>
        <w:pStyle w:val="Compact"/>
        <w:numPr>
          <w:ilvl w:val="1"/>
          <w:numId w:val="11"/>
        </w:numPr>
      </w:pPr>
      <w:r>
        <w:rPr>
          <w:rStyle w:val="VerbatimChar"/>
        </w:rPr>
        <w:t>requestRedemption</w:t>
      </w:r>
      <w:r>
        <w:t xml:space="preserve"> — el usuario bloquea sus tokens en custodia del contrato (evento </w:t>
      </w:r>
      <w:r>
        <w:rPr>
          <w:rStyle w:val="VerbatimChar"/>
        </w:rPr>
        <w:t>RedemptionRequested</w:t>
      </w:r>
      <w:r>
        <w:t>).</w:t>
      </w:r>
    </w:p>
    <w:p w14:paraId="4121D011" w14:textId="77777777" w:rsidR="004B09C8" w:rsidRDefault="0079736C">
      <w:pPr>
        <w:pStyle w:val="Compact"/>
        <w:numPr>
          <w:ilvl w:val="1"/>
          <w:numId w:val="11"/>
        </w:numPr>
      </w:pPr>
      <w:r>
        <w:rPr>
          <w:rStyle w:val="VerbatimChar"/>
        </w:rPr>
        <w:t>finalizeRedemption</w:t>
      </w:r>
      <w:r>
        <w:t xml:space="preserve"> — la entidad destruye los tokens tras pagar el fiat (eventos </w:t>
      </w:r>
      <w:r>
        <w:rPr>
          <w:rStyle w:val="VerbatimChar"/>
        </w:rPr>
        <w:t>RedemptionFinalized</w:t>
      </w:r>
      <w:r>
        <w:t xml:space="preserve"> + </w:t>
      </w:r>
      <w:r>
        <w:rPr>
          <w:rStyle w:val="VerbatimChar"/>
        </w:rPr>
        <w:t>Burned</w:t>
      </w:r>
      <w:r>
        <w:t>).</w:t>
      </w:r>
    </w:p>
    <w:p w14:paraId="4937E2D5" w14:textId="77777777" w:rsidR="004B09C8" w:rsidRDefault="0079736C">
      <w:pPr>
        <w:pStyle w:val="Compact"/>
        <w:numPr>
          <w:ilvl w:val="1"/>
          <w:numId w:val="11"/>
        </w:numPr>
      </w:pPr>
      <w:r>
        <w:rPr>
          <w:rStyle w:val="VerbatimChar"/>
        </w:rPr>
        <w:t>rejectRedemption</w:t>
      </w:r>
      <w:r>
        <w:t xml:space="preserve"> — devuelve los tokens al usuario si la operación no procede.</w:t>
      </w:r>
    </w:p>
    <w:p w14:paraId="0005EA3D" w14:textId="77777777" w:rsidR="004B09C8" w:rsidRDefault="0079736C">
      <w:pPr>
        <w:pStyle w:val="Compact"/>
        <w:numPr>
          <w:ilvl w:val="0"/>
          <w:numId w:val="10"/>
        </w:numPr>
      </w:pPr>
      <w:r>
        <w:rPr>
          <w:b/>
          <w:bCs/>
        </w:rPr>
        <w:t>Lista de restricción (blacklist):</w:t>
      </w:r>
      <w:r>
        <w:t xml:space="preserve"> </w:t>
      </w:r>
      <w:r>
        <w:rPr>
          <w:rStyle w:val="VerbatimChar"/>
        </w:rPr>
        <w:t>addToBlacklist</w:t>
      </w:r>
      <w:r>
        <w:t xml:space="preserve"> / </w:t>
      </w:r>
      <w:r>
        <w:rPr>
          <w:rStyle w:val="VerbatimChar"/>
        </w:rPr>
        <w:t>removeFromBlacklist</w:t>
      </w:r>
      <w:r>
        <w:t xml:space="preserve">. Las cuentas restringidas no pueden transferir ni recibir, con excepciones controladas para acciones del sistema (devoluciones legítimas). Equivale al </w:t>
      </w:r>
      <w:r>
        <w:rPr>
          <w:b/>
          <w:bCs/>
        </w:rPr>
        <w:t>congelamiento de cuentas</w:t>
      </w:r>
      <w:r>
        <w:t xml:space="preserve"> por orden de autoridad competente.</w:t>
      </w:r>
    </w:p>
    <w:p w14:paraId="7DF7C600" w14:textId="77777777" w:rsidR="004B09C8" w:rsidRDefault="0079736C">
      <w:pPr>
        <w:pStyle w:val="Compact"/>
        <w:numPr>
          <w:ilvl w:val="0"/>
          <w:numId w:val="10"/>
        </w:numPr>
      </w:pPr>
      <w:r>
        <w:rPr>
          <w:b/>
          <w:bCs/>
        </w:rPr>
        <w:t>Confiscación</w:t>
      </w:r>
      <w:r>
        <w:t xml:space="preserve"> (</w:t>
      </w:r>
      <w:r>
        <w:rPr>
          <w:rStyle w:val="VerbatimChar"/>
        </w:rPr>
        <w:t>confiscate</w:t>
      </w:r>
      <w:r>
        <w:t>): permite, sobre una cuenta previamente restringida, destruir el saldo y las redenciones pendientes, dejando registro inmutable (</w:t>
      </w:r>
      <w:r>
        <w:rPr>
          <w:rStyle w:val="VerbatimChar"/>
        </w:rPr>
        <w:t>Confiscated</w:t>
      </w:r>
      <w:r>
        <w:t xml:space="preserve">). Es el mecanismo digital para cumplir </w:t>
      </w:r>
      <w:r>
        <w:rPr>
          <w:b/>
          <w:bCs/>
        </w:rPr>
        <w:t>órdenes judiciales o administrativas</w:t>
      </w:r>
      <w:r>
        <w:t xml:space="preserve"> de incautación.</w:t>
      </w:r>
    </w:p>
    <w:p w14:paraId="2573F5C6" w14:textId="77777777" w:rsidR="004B09C8" w:rsidRDefault="0079736C">
      <w:pPr>
        <w:pStyle w:val="Compact"/>
        <w:numPr>
          <w:ilvl w:val="0"/>
          <w:numId w:val="10"/>
        </w:numPr>
      </w:pPr>
      <w:r>
        <w:rPr>
          <w:b/>
          <w:bCs/>
        </w:rPr>
        <w:t>Pausa de emergencia</w:t>
      </w:r>
      <w:r>
        <w:t xml:space="preserve"> (</w:t>
      </w:r>
      <w:r>
        <w:rPr>
          <w:rStyle w:val="VerbatimChar"/>
        </w:rPr>
        <w:t>pause</w:t>
      </w:r>
      <w:r>
        <w:t xml:space="preserve"> / </w:t>
      </w:r>
      <w:r>
        <w:rPr>
          <w:rStyle w:val="VerbatimChar"/>
        </w:rPr>
        <w:t>unpause</w:t>
      </w:r>
      <w:r>
        <w:t>): detiene todas las transferencias ante un incidente de seguridad o instrucción regulatoria.</w:t>
      </w:r>
    </w:p>
    <w:p w14:paraId="6CA8736F" w14:textId="77777777" w:rsidR="004B09C8" w:rsidRDefault="0079736C">
      <w:pPr>
        <w:pStyle w:val="Compact"/>
        <w:numPr>
          <w:ilvl w:val="0"/>
          <w:numId w:val="10"/>
        </w:numPr>
      </w:pPr>
      <w:r>
        <w:rPr>
          <w:b/>
          <w:bCs/>
        </w:rPr>
        <w:t>Recuperación de tokens enviados por error</w:t>
      </w:r>
      <w:r>
        <w:t xml:space="preserve"> (</w:t>
      </w:r>
      <w:r>
        <w:rPr>
          <w:rStyle w:val="VerbatimChar"/>
        </w:rPr>
        <w:t>recoverERC20</w:t>
      </w:r>
      <w:r>
        <w:t>): protección al usuario, sin poder tocar el propio token BOBH.</w:t>
      </w:r>
    </w:p>
    <w:p w14:paraId="1561669B" w14:textId="77777777" w:rsidR="004B09C8" w:rsidRDefault="0079736C">
      <w:pPr>
        <w:pStyle w:val="FirstParagraph"/>
      </w:pPr>
      <w:r>
        <w:rPr>
          <w:b/>
          <w:bCs/>
        </w:rPr>
        <w:t>Auditoría por eventos:</w:t>
      </w:r>
      <w:r>
        <w:t xml:space="preserve"> cada operación sensible emite un evento inmutable (</w:t>
      </w:r>
      <w:r>
        <w:rPr>
          <w:rStyle w:val="VerbatimChar"/>
        </w:rPr>
        <w:t>Minted</w:t>
      </w:r>
      <w:r>
        <w:t xml:space="preserve">, </w:t>
      </w:r>
      <w:r>
        <w:rPr>
          <w:rStyle w:val="VerbatimChar"/>
        </w:rPr>
        <w:t>Burned</w:t>
      </w:r>
      <w:r>
        <w:t xml:space="preserve">, </w:t>
      </w:r>
      <w:r>
        <w:rPr>
          <w:rStyle w:val="VerbatimChar"/>
        </w:rPr>
        <w:t>RedemptionRequested/Finalized/Rejected</w:t>
      </w:r>
      <w:r>
        <w:t xml:space="preserve">, </w:t>
      </w:r>
      <w:r>
        <w:rPr>
          <w:rStyle w:val="VerbatimChar"/>
        </w:rPr>
        <w:t>Confiscated</w:t>
      </w:r>
      <w:r>
        <w:t xml:space="preserve">, </w:t>
      </w:r>
      <w:r>
        <w:rPr>
          <w:rStyle w:val="VerbatimChar"/>
        </w:rPr>
        <w:t>SystemPaused/Unpaused</w:t>
      </w:r>
      <w:r>
        <w:t xml:space="preserve">, </w:t>
      </w:r>
      <w:r>
        <w:rPr>
          <w:rStyle w:val="VerbatimChar"/>
        </w:rPr>
        <w:t>AddedToBlacklist/RemovedFromBlacklist</w:t>
      </w:r>
      <w:r>
        <w:t xml:space="preserve">, </w:t>
      </w:r>
      <w:r>
        <w:rPr>
          <w:rStyle w:val="VerbatimChar"/>
        </w:rPr>
        <w:t>TokensRecovered</w:t>
      </w:r>
      <w:r>
        <w:t xml:space="preserve">). Estos eventos constituyen una </w:t>
      </w:r>
      <w:r>
        <w:rPr>
          <w:b/>
          <w:bCs/>
        </w:rPr>
        <w:t>pista de auditoría pública y verificable</w:t>
      </w:r>
      <w:r>
        <w:t xml:space="preserve"> por el regulador en todo momento.</w:t>
      </w:r>
    </w:p>
    <w:p w14:paraId="54AA16C2" w14:textId="77777777" w:rsidR="004B09C8" w:rsidRDefault="0079736C">
      <w:pPr>
        <w:pStyle w:val="Textodebloque"/>
      </w:pPr>
      <w:r>
        <w:rPr>
          <w:b/>
          <w:bCs/>
        </w:rPr>
        <w:t>Conciliación clave inmutabilidad ↔ soberanía:</w:t>
      </w:r>
      <w:r>
        <w:t xml:space="preserve"> a diferencia de un criptoactivo descentralizado puro, HUNBOLI incorpora </w:t>
      </w:r>
      <w:r>
        <w:rPr>
          <w:i/>
          <w:iCs/>
        </w:rPr>
        <w:t>por diseño</w:t>
      </w:r>
      <w:r>
        <w:t xml:space="preserve"> las facultades que un Estado requiere (congelar, confiscar, pausar), pero las somete a control de acceso por roles y a gobernanza multifirma, de modo que su uso queda registrado y es auditable. Se obtiene así lo mejor de ambos mundos: integridad técnica y supervisión soberana.</w:t>
      </w:r>
    </w:p>
    <w:p w14:paraId="1C37F123" w14:textId="77777777" w:rsidR="004B09C8" w:rsidRDefault="0079736C">
      <w:pPr>
        <w:pStyle w:val="Ttulo2"/>
      </w:pPr>
      <w:bookmarkStart w:id="54" w:name="capa-de-backend-y-operaciones"/>
      <w:bookmarkStart w:id="55" w:name="_Toc232848568"/>
      <w:bookmarkEnd w:id="52"/>
      <w:r>
        <w:t>4.3. Capa de backend y operaciones</w:t>
      </w:r>
      <w:bookmarkEnd w:id="55"/>
    </w:p>
    <w:p w14:paraId="292A8B55" w14:textId="77777777" w:rsidR="004B09C8" w:rsidRDefault="0079736C">
      <w:pPr>
        <w:pStyle w:val="FirstParagraph"/>
      </w:pPr>
      <w:r>
        <w:t xml:space="preserve">Implementada en </w:t>
      </w:r>
      <w:r>
        <w:rPr>
          <w:b/>
          <w:bCs/>
        </w:rPr>
        <w:t>NestJS</w:t>
      </w:r>
      <w:r>
        <w:t xml:space="preserve"> con base de datos </w:t>
      </w:r>
      <w:r>
        <w:rPr>
          <w:b/>
          <w:bCs/>
        </w:rPr>
        <w:t>PostgreSQL</w:t>
      </w:r>
      <w:r>
        <w:t xml:space="preserve"> (ORM Prisma). Módulos principales (verificados):</w:t>
      </w:r>
    </w:p>
    <w:p w14:paraId="602FF785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Autenticación y usuarios:</w:t>
      </w:r>
      <w:r>
        <w:t xml:space="preserve"> </w:t>
      </w:r>
      <w:r>
        <w:t>registro, inicio de sesión (JWT), cuenta Google, recuperación de contraseña, roles (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OPERATOR_BO</w:t>
      </w:r>
      <w:r>
        <w:t xml:space="preserve">, </w:t>
      </w:r>
      <w:r>
        <w:rPr>
          <w:rStyle w:val="VerbatimChar"/>
        </w:rPr>
        <w:t>OPERATOR_PE</w:t>
      </w:r>
      <w:r>
        <w:t>).</w:t>
      </w:r>
    </w:p>
    <w:p w14:paraId="2B3799A3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KYC e identidad:</w:t>
      </w:r>
      <w:r>
        <w:t xml:space="preserve"> verificación con proveedor externo (similitud facial, </w:t>
      </w:r>
      <w:r>
        <w:rPr>
          <w:i/>
          <w:iCs/>
        </w:rPr>
        <w:t>liveness</w:t>
      </w:r>
      <w:r>
        <w:t>), estados (</w:t>
      </w:r>
      <w:r>
        <w:rPr>
          <w:rStyle w:val="VerbatimChar"/>
        </w:rPr>
        <w:t>UNVERIFIED</w:t>
      </w:r>
      <w:r>
        <w:t xml:space="preserve">, </w:t>
      </w:r>
      <w:r>
        <w:rPr>
          <w:rStyle w:val="VerbatimChar"/>
        </w:rPr>
        <w:t>PENDING</w:t>
      </w:r>
      <w:r>
        <w:t xml:space="preserve">, </w:t>
      </w:r>
      <w:r>
        <w:rPr>
          <w:rStyle w:val="VerbatimChar"/>
        </w:rPr>
        <w:t>VERIFIED</w:t>
      </w:r>
      <w:r>
        <w:t xml:space="preserve">, </w:t>
      </w:r>
      <w:r>
        <w:rPr>
          <w:rStyle w:val="VerbatimChar"/>
        </w:rPr>
        <w:t>REJECTED</w:t>
      </w:r>
      <w:r>
        <w:t xml:space="preserve">, </w:t>
      </w:r>
      <w:r>
        <w:rPr>
          <w:rStyle w:val="VerbatimChar"/>
        </w:rPr>
        <w:t>NEED_CORRECTION</w:t>
      </w:r>
      <w:r>
        <w:t xml:space="preserve">, </w:t>
      </w:r>
      <w:r>
        <w:rPr>
          <w:rStyle w:val="VerbatimChar"/>
        </w:rPr>
        <w:t>BLACKLISTED</w:t>
      </w:r>
      <w:r>
        <w:t xml:space="preserve">); </w:t>
      </w:r>
      <w:r>
        <w:rPr>
          <w:i/>
          <w:iCs/>
        </w:rPr>
        <w:t>webhook</w:t>
      </w:r>
      <w:r>
        <w:t xml:space="preserve"> de resultados.</w:t>
      </w:r>
    </w:p>
    <w:p w14:paraId="0F0DC069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Depósitos (fiat → emisión):</w:t>
      </w:r>
      <w:r>
        <w:t xml:space="preserve"> el usuario registra un depósito, sube comprobante (almacenado en Cloudinary); un operador lo valida; se genera una </w:t>
      </w:r>
      <w:r>
        <w:rPr>
          <w:b/>
          <w:bCs/>
        </w:rPr>
        <w:t>propuesta de emisión vía Safe (multifirma)</w:t>
      </w:r>
      <w:r>
        <w:t xml:space="preserve">; al confirmarse on-chain se registra el hash de la transacción de </w:t>
      </w:r>
      <w:r>
        <w:rPr>
          <w:i/>
          <w:iCs/>
        </w:rPr>
        <w:t>mint</w:t>
      </w:r>
      <w:r>
        <w:t>.</w:t>
      </w:r>
    </w:p>
    <w:p w14:paraId="1D9B267B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Retiros (destrucción → pago bancario):</w:t>
      </w:r>
      <w:r>
        <w:t xml:space="preserve"> se descuenta/destruye BOBH y se ejecuta el pago a la cuenta bancaria del usuario, con comprobante.</w:t>
      </w:r>
    </w:p>
    <w:p w14:paraId="64200836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Custodia multifirma (módulo Safe):</w:t>
      </w:r>
      <w:r>
        <w:t xml:space="preserve"> orquesta las propuestas y confirmaciones de las operaciones críticas (mint/burn/confiscación), garantizando control dual.</w:t>
      </w:r>
    </w:p>
    <w:p w14:paraId="3BE7DD0E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Listener de eventos on-chain:</w:t>
      </w:r>
      <w:r>
        <w:t xml:space="preserve"> escucha el contrato y </w:t>
      </w:r>
      <w:r>
        <w:rPr>
          <w:b/>
          <w:bCs/>
        </w:rPr>
        <w:t>registra cada evento en la base de datos</w:t>
      </w:r>
      <w:r>
        <w:t xml:space="preserve"> (</w:t>
      </w:r>
      <w:r>
        <w:rPr>
          <w:rStyle w:val="VerbatimChar"/>
        </w:rPr>
        <w:t>event_logs</w:t>
      </w:r>
      <w:r>
        <w:t>), evitando duplicados; sincroniza el estado off-chain con la verdad on-chain.</w:t>
      </w:r>
    </w:p>
    <w:p w14:paraId="491828F8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Tasas de cambio:</w:t>
      </w:r>
      <w:r>
        <w:t xml:space="preserve"> módulo de tipo de cambio con proveedor de referencia (Binance P2P) y registro de la tasa usada, fuente y vigencia por operación.</w:t>
      </w:r>
    </w:p>
    <w:p w14:paraId="3EE8857D" w14:textId="77777777" w:rsidR="004B09C8" w:rsidRDefault="0079736C">
      <w:pPr>
        <w:pStyle w:val="Compact"/>
        <w:numPr>
          <w:ilvl w:val="0"/>
          <w:numId w:val="12"/>
        </w:numPr>
      </w:pPr>
      <w:r>
        <w:rPr>
          <w:b/>
          <w:bCs/>
        </w:rPr>
        <w:t>Cuentas bancarias por país</w:t>
      </w:r>
      <w:r>
        <w:t xml:space="preserve"> (Bolivia/Perú) y cuentas de la empresa por moneda (BOB/PEN), con QR de pago.</w:t>
      </w:r>
    </w:p>
    <w:p w14:paraId="7955EC9D" w14:textId="77777777" w:rsidR="004B09C8" w:rsidRDefault="0079736C">
      <w:pPr>
        <w:pStyle w:val="FirstParagraph"/>
      </w:pPr>
      <w:r>
        <w:rPr>
          <w:b/>
          <w:bCs/>
        </w:rPr>
        <w:t>Modelo de datos (entidades principales):</w:t>
      </w:r>
      <w:r>
        <w:t xml:space="preserve"> 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FiatOperation</w:t>
      </w:r>
      <w:r>
        <w:t xml:space="preserve"> (con </w:t>
      </w:r>
      <w:r>
        <w:rPr>
          <w:rStyle w:val="VerbatimChar"/>
        </w:rPr>
        <w:t>DepositDetail</w:t>
      </w:r>
      <w:r>
        <w:t xml:space="preserve"> y </w:t>
      </w:r>
      <w:r>
        <w:rPr>
          <w:rStyle w:val="VerbatimChar"/>
        </w:rPr>
        <w:t>WithdrawalDetail</w:t>
      </w:r>
      <w:r>
        <w:t xml:space="preserve">), </w:t>
      </w:r>
      <w:r>
        <w:rPr>
          <w:rStyle w:val="VerbatimChar"/>
        </w:rPr>
        <w:t>BankAccount</w:t>
      </w:r>
      <w:r>
        <w:t xml:space="preserve">, </w:t>
      </w:r>
      <w:r>
        <w:rPr>
          <w:rStyle w:val="VerbatimChar"/>
        </w:rPr>
        <w:t>Banks</w:t>
      </w:r>
      <w:r>
        <w:t xml:space="preserve">, </w:t>
      </w:r>
      <w:r>
        <w:rPr>
          <w:rStyle w:val="VerbatimChar"/>
        </w:rPr>
        <w:t>CompanyBankAccount</w:t>
      </w:r>
      <w:r>
        <w:t xml:space="preserve">, </w:t>
      </w:r>
      <w:r>
        <w:rPr>
          <w:rStyle w:val="VerbatimChar"/>
        </w:rPr>
        <w:t>EventLog</w:t>
      </w:r>
      <w:r>
        <w:t xml:space="preserve">, </w:t>
      </w:r>
      <w:r>
        <w:rPr>
          <w:rStyle w:val="VerbatimChar"/>
        </w:rPr>
        <w:t>BlacklistEntry</w:t>
      </w:r>
      <w:r>
        <w:t xml:space="preserve">, </w:t>
      </w:r>
      <w:r>
        <w:rPr>
          <w:rStyle w:val="VerbatimChar"/>
        </w:rPr>
        <w:t>verification_requests</w:t>
      </w:r>
      <w:r>
        <w:t xml:space="preserve">. El registro de cada operación fiat incluye monto, comisión, tasa usada, código de referencia único y estado, lo que constituye </w:t>
      </w:r>
      <w:r>
        <w:rPr>
          <w:b/>
          <w:bCs/>
        </w:rPr>
        <w:t>contabilidad auditable de extremo a extremo</w:t>
      </w:r>
      <w:r>
        <w:t>.</w:t>
      </w:r>
    </w:p>
    <w:p w14:paraId="70634BED" w14:textId="77777777" w:rsidR="004B09C8" w:rsidRDefault="0079736C">
      <w:pPr>
        <w:pStyle w:val="Ttulo2"/>
      </w:pPr>
      <w:bookmarkStart w:id="56" w:name="capa-de-aplicación-de-usuario"/>
      <w:bookmarkStart w:id="57" w:name="_Toc232848569"/>
      <w:bookmarkEnd w:id="54"/>
      <w:r>
        <w:t>4.4. Capa de aplicación de usuario</w:t>
      </w:r>
      <w:bookmarkEnd w:id="57"/>
    </w:p>
    <w:p w14:paraId="2C64BDE8" w14:textId="77777777" w:rsidR="004B09C8" w:rsidRDefault="0079736C">
      <w:pPr>
        <w:pStyle w:val="FirstParagraph"/>
      </w:pPr>
      <w:r>
        <w:t xml:space="preserve">Desarrollada en </w:t>
      </w:r>
      <w:r>
        <w:rPr>
          <w:b/>
          <w:bCs/>
        </w:rPr>
        <w:t>Next.js 16 / React 19</w:t>
      </w:r>
      <w:r>
        <w:t xml:space="preserve">, con conexión a billeteras vía </w:t>
      </w:r>
      <w:r>
        <w:rPr>
          <w:b/>
          <w:bCs/>
        </w:rPr>
        <w:t>wagmi + RainbowKit + viem</w:t>
      </w:r>
      <w:r>
        <w:t>. Componentes:</w:t>
      </w:r>
    </w:p>
    <w:p w14:paraId="2FD63C08" w14:textId="77777777" w:rsidR="004B09C8" w:rsidRDefault="0079736C">
      <w:pPr>
        <w:pStyle w:val="Compact"/>
        <w:numPr>
          <w:ilvl w:val="0"/>
          <w:numId w:val="13"/>
        </w:numPr>
      </w:pPr>
      <w:r>
        <w:rPr>
          <w:b/>
          <w:bCs/>
        </w:rPr>
        <w:t>Sitio institucional</w:t>
      </w:r>
      <w:r>
        <w:t xml:space="preserve"> (landing) con presentación del proyecto, características y estadísticas.</w:t>
      </w:r>
    </w:p>
    <w:p w14:paraId="48C9D513" w14:textId="77777777" w:rsidR="004B09C8" w:rsidRDefault="0079736C">
      <w:pPr>
        <w:pStyle w:val="Compact"/>
        <w:numPr>
          <w:ilvl w:val="0"/>
          <w:numId w:val="13"/>
        </w:numPr>
      </w:pPr>
      <w:r>
        <w:rPr>
          <w:b/>
          <w:bCs/>
        </w:rPr>
        <w:t>Billetera / dashboard:</w:t>
      </w:r>
      <w:r>
        <w:t xml:space="preserve"> tarjeta de saldo, y operaciones de </w:t>
      </w:r>
      <w:r>
        <w:rPr>
          <w:b/>
          <w:bCs/>
        </w:rPr>
        <w:t>Depositar</w:t>
      </w:r>
      <w:r>
        <w:t xml:space="preserve">, </w:t>
      </w:r>
      <w:r>
        <w:rPr>
          <w:b/>
          <w:bCs/>
        </w:rPr>
        <w:t>Retirar</w:t>
      </w:r>
      <w:r>
        <w:t xml:space="preserve"> y </w:t>
      </w:r>
      <w:r>
        <w:rPr>
          <w:b/>
          <w:bCs/>
        </w:rPr>
        <w:t>Transferir</w:t>
      </w:r>
      <w:r>
        <w:t>, con actividad reciente.</w:t>
      </w:r>
    </w:p>
    <w:p w14:paraId="02000F66" w14:textId="77777777" w:rsidR="004B09C8" w:rsidRDefault="0079736C">
      <w:pPr>
        <w:pStyle w:val="Compact"/>
        <w:numPr>
          <w:ilvl w:val="0"/>
          <w:numId w:val="13"/>
        </w:numPr>
      </w:pPr>
      <w:r>
        <w:rPr>
          <w:b/>
          <w:bCs/>
        </w:rPr>
        <w:t>Onboarding y KYC</w:t>
      </w:r>
      <w:r>
        <w:t xml:space="preserve"> obligatorios: la aplicación bloquea las operaciones hasta que el usuario está verificado, con KYC aprobado y onboarding completo (control verificado en el código de la pantalla principal).</w:t>
      </w:r>
    </w:p>
    <w:p w14:paraId="575B7932" w14:textId="77777777" w:rsidR="004B09C8" w:rsidRDefault="0079736C">
      <w:pPr>
        <w:pStyle w:val="Compact"/>
        <w:numPr>
          <w:ilvl w:val="0"/>
          <w:numId w:val="13"/>
        </w:numPr>
      </w:pPr>
      <w:r>
        <w:rPr>
          <w:b/>
          <w:bCs/>
        </w:rPr>
        <w:t>Paneles de administración:</w:t>
      </w:r>
      <w:r>
        <w:t xml:space="preserve"> aprobación de emisiones (</w:t>
      </w:r>
      <w:r>
        <w:rPr>
          <w:i/>
          <w:iCs/>
        </w:rPr>
        <w:t>mints</w:t>
      </w:r>
      <w:r>
        <w:t>), gestión de retiros y revisión de verificaciones, segmentados por rol de operador.</w:t>
      </w:r>
    </w:p>
    <w:p w14:paraId="6B455565" w14:textId="77777777" w:rsidR="004B09C8" w:rsidRDefault="0079736C">
      <w:pPr>
        <w:pStyle w:val="Ttulo2"/>
      </w:pPr>
      <w:bookmarkStart w:id="58" w:name="flujos-operativos-completos"/>
      <w:bookmarkStart w:id="59" w:name="_Toc232848570"/>
      <w:bookmarkEnd w:id="56"/>
      <w:r>
        <w:t>4.5. Flujos operativos completos</w:t>
      </w:r>
      <w:bookmarkEnd w:id="59"/>
    </w:p>
    <w:p w14:paraId="5DE9F98D" w14:textId="77777777" w:rsidR="004B09C8" w:rsidRDefault="0079736C">
      <w:pPr>
        <w:pStyle w:val="FirstParagraph"/>
      </w:pPr>
      <w:r>
        <w:rPr>
          <w:b/>
          <w:bCs/>
        </w:rPr>
        <w:t>A. Depósito (compra de BOBH):</w:t>
      </w:r>
      <w:r>
        <w:t xml:space="preserve"> 1. Usuario verificado realiza una transferencia bancaria a la cuenta de la entidad y registra el depósito subiendo el comprobante. 2. Un operador valida el comprobante contra el ingreso real de fondos. 3. Se crea una propuesta de emisión en el Safe (multifirma); al alcanzar las firmas requeridas se ejecuta </w:t>
      </w:r>
      <w:r>
        <w:rPr>
          <w:rStyle w:val="VerbatimChar"/>
        </w:rPr>
        <w:t>mint</w:t>
      </w:r>
      <w:r>
        <w:t xml:space="preserve"> on-chain. 4. El listener detecta el evento </w:t>
      </w:r>
      <w:r>
        <w:rPr>
          <w:rStyle w:val="VerbatimChar"/>
        </w:rPr>
        <w:t>Minted</w:t>
      </w:r>
      <w:r>
        <w:t xml:space="preserve"> y acredita el saldo en la billetera del usuario. </w:t>
      </w:r>
      <w:r>
        <w:rPr>
          <w:i/>
          <w:iCs/>
        </w:rPr>
        <w:t>Resultado: BOBH emitido = fiat recibido (paridad 1:1).</w:t>
      </w:r>
    </w:p>
    <w:p w14:paraId="74178BC8" w14:textId="77777777" w:rsidR="004B09C8" w:rsidRDefault="0079736C">
      <w:pPr>
        <w:pStyle w:val="Textoindependiente"/>
      </w:pPr>
      <w:r>
        <w:rPr>
          <w:b/>
          <w:bCs/>
        </w:rPr>
        <w:t>B. Transferencia entre usuarios:</w:t>
      </w:r>
      <w:r>
        <w:t xml:space="preserve"> operación on-chain directa (ERC-20), sujeta a que ninguna de las partes esté restringida; registrada como evento </w:t>
      </w:r>
      <w:r>
        <w:rPr>
          <w:rStyle w:val="VerbatimChar"/>
        </w:rPr>
        <w:t>TRANSFER</w:t>
      </w:r>
      <w:r>
        <w:t>.</w:t>
      </w:r>
    </w:p>
    <w:p w14:paraId="465A77A2" w14:textId="77777777" w:rsidR="004B09C8" w:rsidRDefault="0079736C">
      <w:pPr>
        <w:pStyle w:val="Textoindependiente"/>
      </w:pPr>
      <w:r>
        <w:rPr>
          <w:b/>
          <w:bCs/>
        </w:rPr>
        <w:t>C. Retiro (venta de BOBH):</w:t>
      </w:r>
      <w:r>
        <w:t xml:space="preserve"> 1. El usuario solicita el retiro; sus tokens pasan a custodia (</w:t>
      </w:r>
      <w:r>
        <w:rPr>
          <w:rStyle w:val="VerbatimChar"/>
        </w:rPr>
        <w:t>requestRedemption</w:t>
      </w:r>
      <w:r>
        <w:t xml:space="preserve">). 2. La entidad realiza el pago bancario al usuario y sube el comprobante. 3. Se ejecuta </w:t>
      </w:r>
      <w:r>
        <w:rPr>
          <w:rStyle w:val="VerbatimChar"/>
        </w:rPr>
        <w:t>finalizeRedemption</w:t>
      </w:r>
      <w:r>
        <w:t xml:space="preserve"> (destrucción de los tokens) o </w:t>
      </w:r>
      <w:r>
        <w:rPr>
          <w:rStyle w:val="VerbatimChar"/>
        </w:rPr>
        <w:t>rejectRedemption</w:t>
      </w:r>
      <w:r>
        <w:t xml:space="preserve"> (devolución) según corresponda. </w:t>
      </w:r>
      <w:r>
        <w:rPr>
          <w:i/>
          <w:iCs/>
        </w:rPr>
        <w:t>Resultado: BOBH destruido = fiat entregado (la reserva se reduce en igual proporción).</w:t>
      </w:r>
    </w:p>
    <w:p w14:paraId="17AC64FC" w14:textId="77777777" w:rsidR="004B09C8" w:rsidRDefault="0079736C">
      <w:pPr>
        <w:pStyle w:val="Textoindependiente"/>
      </w:pPr>
      <w:r>
        <w:rPr>
          <w:b/>
          <w:bCs/>
        </w:rPr>
        <w:t>D. Cumplimiento (a requerimiento de autoridad competente):</w:t>
      </w:r>
      <w:r>
        <w:t xml:space="preserve"> restricción de cuenta (</w:t>
      </w:r>
      <w:r>
        <w:rPr>
          <w:rStyle w:val="VerbatimChar"/>
        </w:rPr>
        <w:t>addToBlacklist</w:t>
      </w:r>
      <w:r>
        <w:t xml:space="preserve">), y de ser necesario </w:t>
      </w:r>
      <w:r>
        <w:rPr>
          <w:rStyle w:val="VerbatimChar"/>
        </w:rPr>
        <w:t>confiscate</w:t>
      </w:r>
      <w:r>
        <w:t xml:space="preserve">, todo con registro inmutable y respaldo en </w:t>
      </w:r>
      <w:r>
        <w:rPr>
          <w:rStyle w:val="VerbatimChar"/>
        </w:rPr>
        <w:t>BlacklistEntry</w:t>
      </w:r>
      <w:r>
        <w:t xml:space="preserve"> (motivo, responsable, montos).</w:t>
      </w:r>
    </w:p>
    <w:p w14:paraId="4BAAD6F0" w14:textId="77777777" w:rsidR="004B09C8" w:rsidRDefault="0079736C">
      <w:pPr>
        <w:pStyle w:val="Ttulo2"/>
      </w:pPr>
      <w:bookmarkStart w:id="60" w:name="modelo-económico-paridad-y-respaldo"/>
      <w:bookmarkStart w:id="61" w:name="_Toc232848571"/>
      <w:bookmarkEnd w:id="58"/>
      <w:r>
        <w:t>4.6. Modelo económico (paridad y respaldo)</w:t>
      </w:r>
      <w:bookmarkEnd w:id="61"/>
    </w:p>
    <w:p w14:paraId="74048249" w14:textId="77777777" w:rsidR="004B09C8" w:rsidRDefault="0079736C">
      <w:pPr>
        <w:pStyle w:val="Compact"/>
        <w:numPr>
          <w:ilvl w:val="0"/>
          <w:numId w:val="14"/>
        </w:numPr>
      </w:pPr>
      <w:r>
        <w:rPr>
          <w:b/>
          <w:bCs/>
        </w:rPr>
        <w:t>Invariante de respaldo:</w:t>
      </w:r>
      <w:r>
        <w:t xml:space="preserve"> </w:t>
      </w:r>
      <w:r>
        <w:rPr>
          <w:rStyle w:val="VerbatimChar"/>
        </w:rPr>
        <w:t>Suministro en circulación (BOBH) = Reservas fiat en custodia (Bs)</w:t>
      </w:r>
      <w:r>
        <w:t>. La emisión solo procede contra respaldo verificado, y la destrucción libera reservas. Por construcción, el sistema no puede crear dinero sin respaldo.</w:t>
      </w:r>
    </w:p>
    <w:p w14:paraId="6C072733" w14:textId="77777777" w:rsidR="004B09C8" w:rsidRDefault="0079736C">
      <w:pPr>
        <w:pStyle w:val="Compact"/>
        <w:numPr>
          <w:ilvl w:val="0"/>
          <w:numId w:val="14"/>
        </w:numPr>
      </w:pPr>
      <w:r>
        <w:rPr>
          <w:b/>
          <w:bCs/>
        </w:rPr>
        <w:t>Comisiones (</w:t>
      </w:r>
      <w:r>
        <w:rPr>
          <w:b/>
          <w:bCs/>
          <w:i/>
          <w:iCs/>
        </w:rPr>
        <w:t>fee</w:t>
      </w:r>
      <w:r>
        <w:rPr>
          <w:b/>
          <w:bCs/>
        </w:rPr>
        <w:t>):</w:t>
      </w:r>
      <w:r>
        <w:t xml:space="preserve"> cada operación fiat registra una comisión de servicio y la tasa aplicada, fuente de sostenibilidad del modelo.</w:t>
      </w:r>
    </w:p>
    <w:p w14:paraId="6977B2F4" w14:textId="77777777" w:rsidR="004B09C8" w:rsidRDefault="0079736C">
      <w:pPr>
        <w:pStyle w:val="Compact"/>
        <w:numPr>
          <w:ilvl w:val="0"/>
          <w:numId w:val="14"/>
        </w:numPr>
      </w:pPr>
      <w:r>
        <w:rPr>
          <w:b/>
          <w:bCs/>
        </w:rPr>
        <w:t>Tope de emisión:</w:t>
      </w:r>
      <w:r>
        <w:t xml:space="preserve"> </w:t>
      </w:r>
      <w:r>
        <w:rPr>
          <w:rStyle w:val="VerbatimChar"/>
        </w:rPr>
        <w:t>MAX_SUPPLY</w:t>
      </w:r>
      <w:r>
        <w:t xml:space="preserve"> inmutable como salvaguarda anti-inflacionaria.</w:t>
      </w:r>
    </w:p>
    <w:p w14:paraId="30193C58" w14:textId="77777777" w:rsidR="004B09C8" w:rsidRDefault="0079736C">
      <w:pPr>
        <w:pStyle w:val="Compact"/>
        <w:numPr>
          <w:ilvl w:val="0"/>
          <w:numId w:val="14"/>
        </w:numPr>
      </w:pPr>
      <w:r>
        <w:rPr>
          <w:b/>
          <w:bCs/>
        </w:rPr>
        <w:t>Transparencia de reservas (recomendado):</w:t>
      </w:r>
      <w:r>
        <w:t xml:space="preserve"> publicación periódica de prueba de reservas (</w:t>
      </w:r>
      <w:r>
        <w:rPr>
          <w:i/>
          <w:iCs/>
        </w:rPr>
        <w:t>proof of reserves</w:t>
      </w:r>
      <w:r>
        <w:t>) auditada, comparando reservas bancarias con el suministro on-chain (que es público y verificable en todo momento).</w:t>
      </w:r>
    </w:p>
    <w:p w14:paraId="532CBF8E" w14:textId="77777777" w:rsidR="004B09C8" w:rsidRDefault="0079736C">
      <w:r>
        <w:pict w14:anchorId="5E1C4FB7">
          <v:rect id="_x0000_i1028" style="width:0;height:1.5pt" o:hralign="center" o:hrstd="t" o:hr="t"/>
        </w:pict>
      </w:r>
    </w:p>
    <w:p w14:paraId="76BD7E47" w14:textId="77777777" w:rsidR="004B09C8" w:rsidRDefault="0079736C">
      <w:pPr>
        <w:pStyle w:val="Ttulo1"/>
      </w:pPr>
      <w:bookmarkStart w:id="62" w:name="X70a55799ed506bc015a134681232412fd0a6b8b"/>
      <w:bookmarkStart w:id="63" w:name="_Toc232848572"/>
      <w:bookmarkEnd w:id="48"/>
      <w:bookmarkEnd w:id="60"/>
      <w:r>
        <w:t>Capítulo 5. Marco regulatorio y de cumplimiento</w:t>
      </w:r>
      <w:bookmarkEnd w:id="63"/>
    </w:p>
    <w:p w14:paraId="5EA265DF" w14:textId="77777777" w:rsidR="004B09C8" w:rsidRDefault="0079736C">
      <w:pPr>
        <w:pStyle w:val="FirstParagraph"/>
      </w:pPr>
      <w:r>
        <w:rPr>
          <w:b/>
          <w:bCs/>
        </w:rPr>
        <w:t>Principio:</w:t>
      </w:r>
      <w:r>
        <w:t xml:space="preserve"> HUNBOLI está diseñado para operar </w:t>
      </w:r>
      <w:r>
        <w:rPr>
          <w:i/>
          <w:iCs/>
        </w:rPr>
        <w:t>dentro</w:t>
      </w:r>
      <w:r>
        <w:t xml:space="preserve"> del marco legal, no al margen de él.</w:t>
      </w:r>
    </w:p>
    <w:p w14:paraId="172B146D" w14:textId="77777777" w:rsidR="004B09C8" w:rsidRDefault="0079736C">
      <w:pPr>
        <w:pStyle w:val="Compact"/>
        <w:numPr>
          <w:ilvl w:val="0"/>
          <w:numId w:val="15"/>
        </w:numPr>
      </w:pPr>
      <w:r>
        <w:rPr>
          <w:b/>
          <w:bCs/>
        </w:rPr>
        <w:t>Habilitación normativa (BCB):</w:t>
      </w:r>
      <w:r>
        <w:t xml:space="preserve"> </w:t>
      </w:r>
      <w:r>
        <w:t xml:space="preserve">la propuesta se apoya en la apertura regulatoria de 2024 que permite operaciones con activos virtuales a través de canales electrónicos autorizados. </w:t>
      </w:r>
      <w:r>
        <w:rPr>
          <w:i/>
          <w:iCs/>
        </w:rPr>
        <w:t>(Citar resolución vigente.)</w:t>
      </w:r>
    </w:p>
    <w:p w14:paraId="6ABB491A" w14:textId="77777777" w:rsidR="004B09C8" w:rsidRDefault="0079736C">
      <w:pPr>
        <w:pStyle w:val="Compact"/>
        <w:numPr>
          <w:ilvl w:val="0"/>
          <w:numId w:val="15"/>
        </w:numPr>
      </w:pPr>
      <w:r>
        <w:rPr>
          <w:b/>
          <w:bCs/>
        </w:rPr>
        <w:t>Supervisión prudencial (ASFI):</w:t>
      </w:r>
      <w:r>
        <w:t xml:space="preserve"> el modelo es compatible con un rol supervisor de la Autoridad de Supervisión del Sistema Financiero sobre el emisor, las reservas y la conducta de mercado.</w:t>
      </w:r>
    </w:p>
    <w:p w14:paraId="2DF04A6E" w14:textId="77777777" w:rsidR="004B09C8" w:rsidRDefault="0079736C">
      <w:pPr>
        <w:pStyle w:val="Compact"/>
        <w:numPr>
          <w:ilvl w:val="0"/>
          <w:numId w:val="15"/>
        </w:numPr>
      </w:pPr>
      <w:r>
        <w:rPr>
          <w:b/>
          <w:bCs/>
        </w:rPr>
        <w:t>Prevención de lavado de activos (UIF / GAFI):</w:t>
      </w:r>
      <w:r>
        <w:t xml:space="preserve"> KYC obligatorio, trazabilidad total on-chain, capacidad de congelamiento y confiscación, y reportes de operaciones sospechosas. Alineación con las 40 Recomendaciones del GAFI.</w:t>
      </w:r>
    </w:p>
    <w:p w14:paraId="76642B95" w14:textId="77777777" w:rsidR="004B09C8" w:rsidRDefault="0079736C">
      <w:pPr>
        <w:pStyle w:val="Compact"/>
        <w:numPr>
          <w:ilvl w:val="0"/>
          <w:numId w:val="15"/>
        </w:numPr>
      </w:pPr>
      <w:r>
        <w:rPr>
          <w:b/>
          <w:bCs/>
        </w:rPr>
        <w:t>Protección al consumidor financiero:</w:t>
      </w:r>
      <w:r>
        <w:t xml:space="preserve"> respaldo 1:1 verificable, comprobantes, recuperación de fondos enviados por error y reglas claras de redención.</w:t>
      </w:r>
    </w:p>
    <w:p w14:paraId="7BE8FA39" w14:textId="77777777" w:rsidR="004B09C8" w:rsidRDefault="0079736C">
      <w:pPr>
        <w:pStyle w:val="Compact"/>
        <w:numPr>
          <w:ilvl w:val="0"/>
          <w:numId w:val="15"/>
        </w:numPr>
      </w:pPr>
      <w:r>
        <w:rPr>
          <w:b/>
          <w:bCs/>
        </w:rPr>
        <w:t>Gobernanza:</w:t>
      </w:r>
      <w:r>
        <w:t xml:space="preserve"> custodia multifirma y separación de roles que impiden la emisión unilateral o el abuso interno.</w:t>
      </w:r>
    </w:p>
    <w:p w14:paraId="33D449BB" w14:textId="77777777" w:rsidR="004B09C8" w:rsidRDefault="0079736C">
      <w:pPr>
        <w:pStyle w:val="FirstParagraph"/>
      </w:pPr>
      <w:r>
        <w:rPr>
          <w:b/>
          <w:bCs/>
        </w:rPr>
        <w:t>Propuesta de gobernanza institucional:</w:t>
      </w:r>
      <w:r>
        <w:t xml:space="preserve"> se recomienda que las llaves de los roles críticos (</w:t>
      </w:r>
      <w:r>
        <w:rPr>
          <w:rStyle w:val="VerbatimChar"/>
        </w:rPr>
        <w:t>MINTER</w:t>
      </w:r>
      <w:r>
        <w:t xml:space="preserve">, </w:t>
      </w:r>
      <w:r>
        <w:rPr>
          <w:rStyle w:val="VerbatimChar"/>
        </w:rPr>
        <w:t>BURNER</w:t>
      </w:r>
      <w:r>
        <w:t xml:space="preserve">, </w:t>
      </w:r>
      <w:r>
        <w:rPr>
          <w:rStyle w:val="VerbatimChar"/>
        </w:rPr>
        <w:t>PAUSER</w:t>
      </w:r>
      <w:r>
        <w:t xml:space="preserve">, </w:t>
      </w:r>
      <w:r>
        <w:rPr>
          <w:rStyle w:val="VerbatimChar"/>
        </w:rPr>
        <w:t>BLACKLIST_MANAGER</w:t>
      </w:r>
      <w:r>
        <w:t xml:space="preserve">) se distribuyan entre la entidad emisora y, opcionalmente, un observador del regulador, bajo esquema multifirma, dando al Estado </w:t>
      </w:r>
      <w:r>
        <w:rPr>
          <w:b/>
          <w:bCs/>
        </w:rPr>
        <w:t>visibilidad y, si se decide, co-control</w:t>
      </w:r>
      <w:r>
        <w:t xml:space="preserve"> sobre la emisión.</w:t>
      </w:r>
    </w:p>
    <w:p w14:paraId="721D497F" w14:textId="77777777" w:rsidR="004B09C8" w:rsidRDefault="0079736C">
      <w:r>
        <w:pict w14:anchorId="7F2B19FC">
          <v:rect id="_x0000_i1029" style="width:0;height:1.5pt" o:hralign="center" o:hrstd="t" o:hr="t"/>
        </w:pict>
      </w:r>
    </w:p>
    <w:p w14:paraId="689980AD" w14:textId="77777777" w:rsidR="004B09C8" w:rsidRDefault="0079736C">
      <w:pPr>
        <w:pStyle w:val="Ttulo1"/>
      </w:pPr>
      <w:bookmarkStart w:id="64" w:name="X419619779379f8d4c4c12862990182082be65bf"/>
      <w:bookmarkStart w:id="65" w:name="_Toc232848573"/>
      <w:bookmarkEnd w:id="62"/>
      <w:r>
        <w:t>Capítulo 6. Análisis de impacto y resultados esperados</w:t>
      </w:r>
      <w:bookmarkEnd w:id="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4104"/>
        <w:gridCol w:w="2964"/>
      </w:tblGrid>
      <w:tr w:rsidR="004B09C8" w14:paraId="725926C5" w14:textId="77777777" w:rsidTr="004B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63EA4A48" w14:textId="77777777" w:rsidR="004B09C8" w:rsidRDefault="0079736C">
            <w:pPr>
              <w:pStyle w:val="Compact"/>
            </w:pPr>
            <w:r>
              <w:t>Dimensión</w:t>
            </w:r>
          </w:p>
        </w:tc>
        <w:tc>
          <w:tcPr>
            <w:tcW w:w="3394" w:type="dxa"/>
          </w:tcPr>
          <w:p w14:paraId="2E309967" w14:textId="77777777" w:rsidR="004B09C8" w:rsidRDefault="0079736C">
            <w:pPr>
              <w:pStyle w:val="Compact"/>
            </w:pPr>
            <w:r>
              <w:t>Situación actual</w:t>
            </w:r>
          </w:p>
        </w:tc>
        <w:tc>
          <w:tcPr>
            <w:tcW w:w="2451" w:type="dxa"/>
          </w:tcPr>
          <w:p w14:paraId="1979D7D1" w14:textId="77777777" w:rsidR="004B09C8" w:rsidRDefault="0079736C">
            <w:pPr>
              <w:pStyle w:val="Compact"/>
            </w:pPr>
            <w:r>
              <w:t>Con HUNBOLI</w:t>
            </w:r>
          </w:p>
        </w:tc>
      </w:tr>
      <w:tr w:rsidR="004B09C8" w14:paraId="612F200B" w14:textId="77777777">
        <w:tc>
          <w:tcPr>
            <w:tcW w:w="2074" w:type="dxa"/>
          </w:tcPr>
          <w:p w14:paraId="61313618" w14:textId="77777777" w:rsidR="004B09C8" w:rsidRDefault="0079736C">
            <w:pPr>
              <w:pStyle w:val="Compact"/>
            </w:pPr>
            <w:r>
              <w:t>Inclusión financiera</w:t>
            </w:r>
          </w:p>
        </w:tc>
        <w:tc>
          <w:tcPr>
            <w:tcW w:w="3394" w:type="dxa"/>
          </w:tcPr>
          <w:p w14:paraId="37F53187" w14:textId="77777777" w:rsidR="004B09C8" w:rsidRDefault="0079736C">
            <w:pPr>
              <w:pStyle w:val="Compact"/>
            </w:pPr>
            <w:r>
              <w:t>Acceso limitado, alto uso de efectivo</w:t>
            </w:r>
          </w:p>
        </w:tc>
        <w:tc>
          <w:tcPr>
            <w:tcW w:w="2451" w:type="dxa"/>
          </w:tcPr>
          <w:p w14:paraId="5479D6B7" w14:textId="77777777" w:rsidR="004B09C8" w:rsidRDefault="0079736C">
            <w:pPr>
              <w:pStyle w:val="Compact"/>
            </w:pPr>
            <w:r>
              <w:t>Billetera desde el móvil con KYC</w:t>
            </w:r>
          </w:p>
        </w:tc>
      </w:tr>
      <w:tr w:rsidR="004B09C8" w14:paraId="5A2B1A2C" w14:textId="77777777">
        <w:tc>
          <w:tcPr>
            <w:tcW w:w="2074" w:type="dxa"/>
          </w:tcPr>
          <w:p w14:paraId="67ED1F9C" w14:textId="77777777" w:rsidR="004B09C8" w:rsidRDefault="0079736C">
            <w:pPr>
              <w:pStyle w:val="Compact"/>
            </w:pPr>
            <w:r>
              <w:t>Costo de transferencia</w:t>
            </w:r>
          </w:p>
        </w:tc>
        <w:tc>
          <w:tcPr>
            <w:tcW w:w="3394" w:type="dxa"/>
          </w:tcPr>
          <w:p w14:paraId="0EE286CE" w14:textId="77777777" w:rsidR="004B09C8" w:rsidRDefault="0079736C">
            <w:pPr>
              <w:pStyle w:val="Compact"/>
            </w:pPr>
            <w:r>
              <w:t>Comisiones y demoras interbancarias</w:t>
            </w:r>
          </w:p>
        </w:tc>
        <w:tc>
          <w:tcPr>
            <w:tcW w:w="2451" w:type="dxa"/>
          </w:tcPr>
          <w:p w14:paraId="235A4C3A" w14:textId="77777777" w:rsidR="004B09C8" w:rsidRDefault="0079736C">
            <w:pPr>
              <w:pStyle w:val="Compact"/>
            </w:pPr>
            <w:r>
              <w:t>Transferencia casi instantánea de bajo costo</w:t>
            </w:r>
          </w:p>
        </w:tc>
      </w:tr>
      <w:tr w:rsidR="004B09C8" w14:paraId="5D07CD31" w14:textId="77777777">
        <w:tc>
          <w:tcPr>
            <w:tcW w:w="2074" w:type="dxa"/>
          </w:tcPr>
          <w:p w14:paraId="4297E04D" w14:textId="77777777" w:rsidR="004B09C8" w:rsidRDefault="0079736C">
            <w:pPr>
              <w:pStyle w:val="Compact"/>
            </w:pPr>
            <w:r>
              <w:t>Trazabilidad</w:t>
            </w:r>
          </w:p>
        </w:tc>
        <w:tc>
          <w:tcPr>
            <w:tcW w:w="3394" w:type="dxa"/>
          </w:tcPr>
          <w:p w14:paraId="5784CD67" w14:textId="77777777" w:rsidR="004B09C8" w:rsidRDefault="0079736C">
            <w:pPr>
              <w:pStyle w:val="Compact"/>
            </w:pPr>
            <w:r>
              <w:t>Flujos informales opacos</w:t>
            </w:r>
          </w:p>
        </w:tc>
        <w:tc>
          <w:tcPr>
            <w:tcW w:w="2451" w:type="dxa"/>
          </w:tcPr>
          <w:p w14:paraId="1CC8C3AF" w14:textId="77777777" w:rsidR="004B09C8" w:rsidRDefault="0079736C">
            <w:pPr>
              <w:pStyle w:val="Compact"/>
            </w:pPr>
            <w:r>
              <w:t>Registro inmutable y auditable por operación</w:t>
            </w:r>
          </w:p>
        </w:tc>
      </w:tr>
      <w:tr w:rsidR="004B09C8" w14:paraId="1C533B55" w14:textId="77777777">
        <w:tc>
          <w:tcPr>
            <w:tcW w:w="2074" w:type="dxa"/>
          </w:tcPr>
          <w:p w14:paraId="0F57A89F" w14:textId="77777777" w:rsidR="004B09C8" w:rsidRDefault="0079736C">
            <w:pPr>
              <w:pStyle w:val="Compact"/>
            </w:pPr>
            <w:r>
              <w:t>Soberanía</w:t>
            </w:r>
          </w:p>
        </w:tc>
        <w:tc>
          <w:tcPr>
            <w:tcW w:w="3394" w:type="dxa"/>
          </w:tcPr>
          <w:p w14:paraId="30EC8ABE" w14:textId="77777777" w:rsidR="004B09C8" w:rsidRDefault="0079736C">
            <w:pPr>
              <w:pStyle w:val="Compact"/>
            </w:pPr>
            <w:r>
              <w:t>Uso de stablecoins extranjeras</w:t>
            </w:r>
          </w:p>
        </w:tc>
        <w:tc>
          <w:tcPr>
            <w:tcW w:w="2451" w:type="dxa"/>
          </w:tcPr>
          <w:p w14:paraId="7D937097" w14:textId="77777777" w:rsidR="004B09C8" w:rsidRDefault="0079736C">
            <w:pPr>
              <w:pStyle w:val="Compact"/>
            </w:pPr>
            <w:r>
              <w:t>Instrumento nacional respaldado en Bs</w:t>
            </w:r>
          </w:p>
        </w:tc>
      </w:tr>
      <w:tr w:rsidR="004B09C8" w14:paraId="586EDC36" w14:textId="77777777">
        <w:tc>
          <w:tcPr>
            <w:tcW w:w="2074" w:type="dxa"/>
          </w:tcPr>
          <w:p w14:paraId="4017E3B3" w14:textId="77777777" w:rsidR="004B09C8" w:rsidRDefault="0079736C">
            <w:pPr>
              <w:pStyle w:val="Compact"/>
            </w:pPr>
            <w:r>
              <w:t>Recaudación / formalización</w:t>
            </w:r>
          </w:p>
        </w:tc>
        <w:tc>
          <w:tcPr>
            <w:tcW w:w="3394" w:type="dxa"/>
          </w:tcPr>
          <w:p w14:paraId="6F87303A" w14:textId="77777777" w:rsidR="004B09C8" w:rsidRDefault="0079736C">
            <w:pPr>
              <w:pStyle w:val="Compact"/>
            </w:pPr>
            <w:r>
              <w:t>Economía informal amplia</w:t>
            </w:r>
          </w:p>
        </w:tc>
        <w:tc>
          <w:tcPr>
            <w:tcW w:w="2451" w:type="dxa"/>
          </w:tcPr>
          <w:p w14:paraId="305217FC" w14:textId="77777777" w:rsidR="004B09C8" w:rsidRDefault="0079736C">
            <w:pPr>
              <w:pStyle w:val="Compact"/>
            </w:pPr>
            <w:r>
              <w:t>Flujos integrables a la economía formal</w:t>
            </w:r>
          </w:p>
        </w:tc>
      </w:tr>
      <w:tr w:rsidR="004B09C8" w14:paraId="428099C8" w14:textId="77777777">
        <w:tc>
          <w:tcPr>
            <w:tcW w:w="2074" w:type="dxa"/>
          </w:tcPr>
          <w:p w14:paraId="3002F044" w14:textId="77777777" w:rsidR="004B09C8" w:rsidRDefault="0079736C">
            <w:pPr>
              <w:pStyle w:val="Compact"/>
            </w:pPr>
            <w:r>
              <w:t>Supervisión</w:t>
            </w:r>
          </w:p>
        </w:tc>
        <w:tc>
          <w:tcPr>
            <w:tcW w:w="3394" w:type="dxa"/>
          </w:tcPr>
          <w:p w14:paraId="7BC822B6" w14:textId="77777777" w:rsidR="004B09C8" w:rsidRDefault="0079736C">
            <w:pPr>
              <w:pStyle w:val="Compact"/>
            </w:pPr>
            <w:r>
              <w:t>Difícil sobre cripto extranjero</w:t>
            </w:r>
          </w:p>
        </w:tc>
        <w:tc>
          <w:tcPr>
            <w:tcW w:w="2451" w:type="dxa"/>
          </w:tcPr>
          <w:p w14:paraId="47E8A14B" w14:textId="77777777" w:rsidR="004B09C8" w:rsidRDefault="0079736C">
            <w:pPr>
              <w:pStyle w:val="Compact"/>
            </w:pPr>
            <w:r>
              <w:t>Congelamiento/confiscación/pausa por diseño</w:t>
            </w:r>
          </w:p>
        </w:tc>
      </w:tr>
    </w:tbl>
    <w:p w14:paraId="5A9857D5" w14:textId="77777777" w:rsidR="004B09C8" w:rsidRDefault="0079736C">
      <w:pPr>
        <w:pStyle w:val="Textoindependiente"/>
      </w:pPr>
      <w:r>
        <w:rPr>
          <w:b/>
          <w:bCs/>
        </w:rPr>
        <w:t>Resultados técnicos alcanzados (MVP):</w:t>
      </w:r>
      <w:r>
        <w:t xml:space="preserve"> contrato funcional con todos los controles descritos, desplegable en testnet; backend operativo con KYC, validación de depósitos/retiros, custodia multifirma e indexación de eventos; aplicación de usuario funcional para las operaciones principales.</w:t>
      </w:r>
    </w:p>
    <w:p w14:paraId="216E7FD7" w14:textId="77777777" w:rsidR="004B09C8" w:rsidRDefault="0079736C">
      <w:r>
        <w:pict w14:anchorId="3390D813">
          <v:rect id="_x0000_i1030" style="width:0;height:1.5pt" o:hralign="center" o:hrstd="t" o:hr="t"/>
        </w:pict>
      </w:r>
    </w:p>
    <w:p w14:paraId="272B1F71" w14:textId="77777777" w:rsidR="004B09C8" w:rsidRDefault="0079736C">
      <w:pPr>
        <w:pStyle w:val="Ttulo1"/>
      </w:pPr>
      <w:bookmarkStart w:id="66" w:name="Xdb0dda87e77b66e2623244fdf3fb38a05b182bc"/>
      <w:bookmarkStart w:id="67" w:name="_Toc232848574"/>
      <w:bookmarkEnd w:id="64"/>
      <w:r>
        <w:t>Capítulo 7. Análisis de riesgos y mitigaciones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0"/>
        <w:gridCol w:w="7946"/>
      </w:tblGrid>
      <w:tr w:rsidR="004B09C8" w14:paraId="244A6A22" w14:textId="77777777" w:rsidTr="004B0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8" w:type="dxa"/>
          </w:tcPr>
          <w:p w14:paraId="3C61FEB4" w14:textId="77777777" w:rsidR="004B09C8" w:rsidRDefault="0079736C">
            <w:pPr>
              <w:pStyle w:val="Compact"/>
            </w:pPr>
            <w:r>
              <w:t>Riesgo</w:t>
            </w:r>
          </w:p>
        </w:tc>
        <w:tc>
          <w:tcPr>
            <w:tcW w:w="6571" w:type="dxa"/>
          </w:tcPr>
          <w:p w14:paraId="16751244" w14:textId="77777777" w:rsidR="004B09C8" w:rsidRDefault="0079736C">
            <w:pPr>
              <w:pStyle w:val="Compact"/>
            </w:pPr>
            <w:r>
              <w:t>Mitigación implementada / recomendada</w:t>
            </w:r>
          </w:p>
        </w:tc>
      </w:tr>
      <w:tr w:rsidR="004B09C8" w14:paraId="7786678C" w14:textId="77777777">
        <w:tc>
          <w:tcPr>
            <w:tcW w:w="1348" w:type="dxa"/>
          </w:tcPr>
          <w:p w14:paraId="55D6735E" w14:textId="77777777" w:rsidR="004B09C8" w:rsidRDefault="0079736C">
            <w:pPr>
              <w:pStyle w:val="Compact"/>
            </w:pPr>
            <w:r>
              <w:t>Emisión sin respaldo / fraude interno</w:t>
            </w:r>
          </w:p>
        </w:tc>
        <w:tc>
          <w:tcPr>
            <w:tcW w:w="6571" w:type="dxa"/>
          </w:tcPr>
          <w:p w14:paraId="1F14AEE6" w14:textId="77777777" w:rsidR="004B09C8" w:rsidRDefault="0079736C">
            <w:pPr>
              <w:pStyle w:val="Compact"/>
            </w:pPr>
            <w:r>
              <w:t>Custodia multifirma (Safe) + separación de roles + emisión solo contra depósito validado</w:t>
            </w:r>
          </w:p>
        </w:tc>
      </w:tr>
      <w:tr w:rsidR="004B09C8" w14:paraId="20258258" w14:textId="77777777">
        <w:tc>
          <w:tcPr>
            <w:tcW w:w="1348" w:type="dxa"/>
          </w:tcPr>
          <w:p w14:paraId="7A3F5653" w14:textId="77777777" w:rsidR="004B09C8" w:rsidRDefault="0079736C">
            <w:pPr>
              <w:pStyle w:val="Compact"/>
            </w:pPr>
            <w:r>
              <w:t>Vulnerabilidad en el contrato</w:t>
            </w:r>
          </w:p>
        </w:tc>
        <w:tc>
          <w:tcPr>
            <w:tcW w:w="6571" w:type="dxa"/>
          </w:tcPr>
          <w:p w14:paraId="6ADFA0B7" w14:textId="77777777" w:rsidR="004B09C8" w:rsidRDefault="0079736C">
            <w:pPr>
              <w:pStyle w:val="Compact"/>
            </w:pPr>
            <w:r>
              <w:t>Uso de OpenZeppelin auditado; recomendación de auditoría externa certificada antes de producción</w:t>
            </w:r>
          </w:p>
        </w:tc>
      </w:tr>
      <w:tr w:rsidR="004B09C8" w14:paraId="1C31E0EE" w14:textId="77777777">
        <w:tc>
          <w:tcPr>
            <w:tcW w:w="1348" w:type="dxa"/>
          </w:tcPr>
          <w:p w14:paraId="5A06392B" w14:textId="77777777" w:rsidR="004B09C8" w:rsidRDefault="0079736C">
            <w:pPr>
              <w:pStyle w:val="Compact"/>
            </w:pPr>
            <w:r>
              <w:t>Pérdida de paridad (</w:t>
            </w:r>
            <w:r>
              <w:rPr>
                <w:i/>
                <w:iCs/>
              </w:rPr>
              <w:t>depeg</w:t>
            </w:r>
            <w:r>
              <w:t>)</w:t>
            </w:r>
          </w:p>
        </w:tc>
        <w:tc>
          <w:tcPr>
            <w:tcW w:w="6571" w:type="dxa"/>
          </w:tcPr>
          <w:p w14:paraId="3BCC003C" w14:textId="77777777" w:rsidR="004B09C8" w:rsidRDefault="0079736C">
            <w:pPr>
              <w:pStyle w:val="Compact"/>
            </w:pPr>
            <w:r>
              <w:t>Respaldo 1:1 estricto + tope de suministro + prueba de reservas</w:t>
            </w:r>
          </w:p>
        </w:tc>
      </w:tr>
      <w:tr w:rsidR="004B09C8" w14:paraId="4BEDA2ED" w14:textId="77777777">
        <w:tc>
          <w:tcPr>
            <w:tcW w:w="1348" w:type="dxa"/>
          </w:tcPr>
          <w:p w14:paraId="408EC9DA" w14:textId="77777777" w:rsidR="004B09C8" w:rsidRDefault="0079736C">
            <w:pPr>
              <w:pStyle w:val="Compact"/>
            </w:pPr>
            <w:r>
              <w:t>Uso ilícito (lavado, fraude)</w:t>
            </w:r>
          </w:p>
        </w:tc>
        <w:tc>
          <w:tcPr>
            <w:tcW w:w="6571" w:type="dxa"/>
          </w:tcPr>
          <w:p w14:paraId="40E27D4C" w14:textId="77777777" w:rsidR="004B09C8" w:rsidRDefault="0079736C">
            <w:pPr>
              <w:pStyle w:val="Compact"/>
            </w:pPr>
            <w:r>
              <w:t>KYC obligatorio + trazabilidad + blacklist + confiscación + reportes</w:t>
            </w:r>
          </w:p>
        </w:tc>
      </w:tr>
      <w:tr w:rsidR="004B09C8" w14:paraId="75A19A77" w14:textId="77777777">
        <w:tc>
          <w:tcPr>
            <w:tcW w:w="1348" w:type="dxa"/>
          </w:tcPr>
          <w:p w14:paraId="76904186" w14:textId="77777777" w:rsidR="004B09C8" w:rsidRDefault="0079736C">
            <w:pPr>
              <w:pStyle w:val="Compact"/>
            </w:pPr>
            <w:r>
              <w:t>Incidente de seguridad operativo</w:t>
            </w:r>
          </w:p>
        </w:tc>
        <w:tc>
          <w:tcPr>
            <w:tcW w:w="6571" w:type="dxa"/>
          </w:tcPr>
          <w:p w14:paraId="172EB34F" w14:textId="77777777" w:rsidR="004B09C8" w:rsidRDefault="0079736C">
            <w:pPr>
              <w:pStyle w:val="Compact"/>
            </w:pPr>
            <w:r>
              <w:t>Pausa de emergencia del sistema</w:t>
            </w:r>
          </w:p>
        </w:tc>
      </w:tr>
      <w:tr w:rsidR="004B09C8" w14:paraId="38D3D25D" w14:textId="77777777">
        <w:tc>
          <w:tcPr>
            <w:tcW w:w="1348" w:type="dxa"/>
          </w:tcPr>
          <w:p w14:paraId="53AFACFB" w14:textId="77777777" w:rsidR="004B09C8" w:rsidRDefault="0079736C">
            <w:pPr>
              <w:pStyle w:val="Compact"/>
            </w:pPr>
            <w:r>
              <w:t>Custodia de reservas fiat</w:t>
            </w:r>
          </w:p>
        </w:tc>
        <w:tc>
          <w:tcPr>
            <w:tcW w:w="6571" w:type="dxa"/>
          </w:tcPr>
          <w:p w14:paraId="158C0CCD" w14:textId="77777777" w:rsidR="004B09C8" w:rsidRDefault="0079736C">
            <w:pPr>
              <w:pStyle w:val="Compact"/>
            </w:pPr>
            <w:r>
              <w:t>Cuentas bancarias segregadas y supervisadas; auditoría periódica</w:t>
            </w:r>
          </w:p>
        </w:tc>
      </w:tr>
      <w:tr w:rsidR="004B09C8" w14:paraId="623E8787" w14:textId="77777777">
        <w:tc>
          <w:tcPr>
            <w:tcW w:w="1348" w:type="dxa"/>
          </w:tcPr>
          <w:p w14:paraId="313A14F9" w14:textId="77777777" w:rsidR="004B09C8" w:rsidRDefault="0079736C">
            <w:pPr>
              <w:pStyle w:val="Compact"/>
            </w:pPr>
            <w:r>
              <w:t>Dependencia tecnológica de la red</w:t>
            </w:r>
          </w:p>
        </w:tc>
        <w:tc>
          <w:tcPr>
            <w:tcW w:w="6571" w:type="dxa"/>
          </w:tcPr>
          <w:p w14:paraId="1C437079" w14:textId="77777777" w:rsidR="004B09C8" w:rsidRDefault="0079736C">
            <w:pPr>
              <w:pStyle w:val="Compact"/>
            </w:pPr>
            <w:r>
              <w:t>Arquitectura portable (testnet → BNB Chain); posibilidad de red propia/permisionada</w:t>
            </w:r>
          </w:p>
        </w:tc>
      </w:tr>
    </w:tbl>
    <w:p w14:paraId="13E24161" w14:textId="77777777" w:rsidR="004B09C8" w:rsidRDefault="0079736C">
      <w:r>
        <w:pict w14:anchorId="56BE30BC">
          <v:rect id="_x0000_i1031" style="width:0;height:1.5pt" o:hralign="center" o:hrstd="t" o:hr="t"/>
        </w:pict>
      </w:r>
    </w:p>
    <w:p w14:paraId="69F2D8F6" w14:textId="77777777" w:rsidR="004B09C8" w:rsidRDefault="0079736C">
      <w:pPr>
        <w:pStyle w:val="Ttulo1"/>
      </w:pPr>
      <w:bookmarkStart w:id="68" w:name="X6d410c53bb2ba13b4607eb6b13888f07d841cb5"/>
      <w:bookmarkStart w:id="69" w:name="_Toc232848575"/>
      <w:bookmarkEnd w:id="66"/>
      <w:r>
        <w:t>Capítulo 8. Conclusiones y recomendaciones</w:t>
      </w:r>
      <w:bookmarkEnd w:id="69"/>
    </w:p>
    <w:p w14:paraId="247A5473" w14:textId="77777777" w:rsidR="004B09C8" w:rsidRDefault="0079736C">
      <w:pPr>
        <w:pStyle w:val="FirstParagraph"/>
      </w:pPr>
      <w:r>
        <w:rPr>
          <w:b/>
          <w:bCs/>
        </w:rPr>
        <w:t>Conclusiones.</w:t>
      </w:r>
      <w:r>
        <w:t xml:space="preserve"> 1. Se demostró la </w:t>
      </w:r>
      <w:r>
        <w:rPr>
          <w:b/>
          <w:bCs/>
        </w:rPr>
        <w:t>viabilidad técnica</w:t>
      </w:r>
      <w:r>
        <w:t xml:space="preserve"> de una stablecoin nacional respaldada 1:1, mediante un sistema funcional de tres capas. 2. Es posible </w:t>
      </w:r>
      <w:r>
        <w:rPr>
          <w:b/>
          <w:bCs/>
        </w:rPr>
        <w:t>conciliar la tecnología blockchain con la soberanía del Estado</w:t>
      </w:r>
      <w:r>
        <w:t xml:space="preserve">: HUNBOLI incorpora por diseño las facultades de congelar, confiscar y pausar, bajo gobernanza multifirma y auditoría por eventos. 3. El modelo es </w:t>
      </w:r>
      <w:r>
        <w:rPr>
          <w:b/>
          <w:bCs/>
        </w:rPr>
        <w:t>pertinente y oportuno</w:t>
      </w:r>
      <w:r>
        <w:t xml:space="preserve"> dado el cambio normativo boliviano de 2024 y el uso creciente —pero no supervisado— de stablecoins extranjeras. 4. La propuesta ofrece benefi</w:t>
      </w:r>
      <w:r>
        <w:t xml:space="preserve">cios concretos en </w:t>
      </w:r>
      <w:r>
        <w:rPr>
          <w:b/>
          <w:bCs/>
        </w:rPr>
        <w:t>inclusión, eficiencia, trazabilidad, soberanía y formalización</w:t>
      </w:r>
      <w:r>
        <w:t>.</w:t>
      </w:r>
    </w:p>
    <w:p w14:paraId="040675A8" w14:textId="77777777" w:rsidR="004B09C8" w:rsidRDefault="0079736C">
      <w:pPr>
        <w:pStyle w:val="Textoindependiente"/>
      </w:pPr>
      <w:r>
        <w:rPr>
          <w:b/>
          <w:bCs/>
        </w:rPr>
        <w:t>Recomendaciones.</w:t>
      </w:r>
      <w:r>
        <w:t xml:space="preserve"> - Realizar </w:t>
      </w:r>
      <w:r>
        <w:rPr>
          <w:b/>
          <w:bCs/>
        </w:rPr>
        <w:t>auditoría de seguridad externa certificada</w:t>
      </w:r>
      <w:r>
        <w:t xml:space="preserve"> del contrato antes de cualquier despliegue en producción. - Constituir un </w:t>
      </w:r>
      <w:r>
        <w:rPr>
          <w:b/>
          <w:bCs/>
        </w:rPr>
        <w:t>esquema de custodia de reservas segregadas</w:t>
      </w:r>
      <w:r>
        <w:t xml:space="preserve"> con auditoría independiente y publicación de prueba de reservas. - Diseñar el </w:t>
      </w:r>
      <w:r>
        <w:rPr>
          <w:b/>
          <w:bCs/>
        </w:rPr>
        <w:t>modelo de gobernanza institucional</w:t>
      </w:r>
      <w:r>
        <w:t xml:space="preserve"> (distribución de llaves, participación del regulador). - Iniciar un </w:t>
      </w:r>
      <w:r>
        <w:rPr>
          <w:b/>
          <w:bCs/>
        </w:rPr>
        <w:t>piloto controlado (sandbox regulatorio)</w:t>
      </w:r>
      <w:r>
        <w:t xml:space="preserve"> con el BCB/ASFI. - Definir el </w:t>
      </w:r>
      <w:r>
        <w:rPr>
          <w:b/>
          <w:bCs/>
        </w:rPr>
        <w:t>marco contractual y de protección al usuario</w:t>
      </w:r>
      <w:r>
        <w:t>.</w:t>
      </w:r>
    </w:p>
    <w:p w14:paraId="06DC5227" w14:textId="77777777" w:rsidR="004B09C8" w:rsidRDefault="0079736C">
      <w:r>
        <w:pict w14:anchorId="59608259">
          <v:rect id="_x0000_i1032" style="width:0;height:1.5pt" o:hralign="center" o:hrstd="t" o:hr="t"/>
        </w:pict>
      </w:r>
    </w:p>
    <w:p w14:paraId="4D484469" w14:textId="77777777" w:rsidR="004B09C8" w:rsidRDefault="0079736C">
      <w:pPr>
        <w:pStyle w:val="Ttulo1"/>
      </w:pPr>
      <w:bookmarkStart w:id="70" w:name="capítulo-9.-bibliografía"/>
      <w:bookmarkStart w:id="71" w:name="_Toc232848576"/>
      <w:bookmarkEnd w:id="68"/>
      <w:r>
        <w:t>Capítulo 9. Bibliografía</w:t>
      </w:r>
      <w:bookmarkEnd w:id="71"/>
    </w:p>
    <w:p w14:paraId="68754A5B" w14:textId="77777777" w:rsidR="004B09C8" w:rsidRDefault="0079736C">
      <w:pPr>
        <w:pStyle w:val="Textodebloque"/>
      </w:pPr>
      <w:r>
        <w:rPr>
          <w:i/>
          <w:iCs/>
        </w:rPr>
        <w:t>Lista preliminar — completar con formato APA 7.ª edición y verificar cada fuente.</w:t>
      </w:r>
    </w:p>
    <w:p w14:paraId="76B27992" w14:textId="77777777" w:rsidR="004B09C8" w:rsidRDefault="0079736C">
      <w:pPr>
        <w:pStyle w:val="Compact"/>
        <w:numPr>
          <w:ilvl w:val="0"/>
          <w:numId w:val="16"/>
        </w:numPr>
      </w:pPr>
      <w:r>
        <w:t xml:space="preserve">Nakamoto, S. (2008). </w:t>
      </w:r>
      <w:r>
        <w:rPr>
          <w:i/>
          <w:iCs/>
        </w:rPr>
        <w:t>Bitcoin: A Peer-to-Peer Electronic Cash System.</w:t>
      </w:r>
    </w:p>
    <w:p w14:paraId="37EEC130" w14:textId="77777777" w:rsidR="004B09C8" w:rsidRDefault="0079736C">
      <w:pPr>
        <w:pStyle w:val="Compact"/>
        <w:numPr>
          <w:ilvl w:val="0"/>
          <w:numId w:val="16"/>
        </w:numPr>
      </w:pPr>
      <w:r>
        <w:t xml:space="preserve">Buterin, V. (2014). </w:t>
      </w:r>
      <w:r>
        <w:rPr>
          <w:i/>
          <w:iCs/>
        </w:rPr>
        <w:t>Ethereum White Paper.</w:t>
      </w:r>
    </w:p>
    <w:p w14:paraId="5D761EAF" w14:textId="77777777" w:rsidR="004B09C8" w:rsidRDefault="0079736C">
      <w:pPr>
        <w:pStyle w:val="Compact"/>
        <w:numPr>
          <w:ilvl w:val="0"/>
          <w:numId w:val="16"/>
        </w:numPr>
      </w:pPr>
      <w:r>
        <w:t xml:space="preserve">Grupo de Acción Financiera Internacional (GAFI). </w:t>
      </w:r>
      <w:r>
        <w:rPr>
          <w:i/>
          <w:iCs/>
        </w:rPr>
        <w:t>Las 40 Recomendaciones.</w:t>
      </w:r>
    </w:p>
    <w:p w14:paraId="17840E05" w14:textId="77777777" w:rsidR="004B09C8" w:rsidRDefault="0079736C">
      <w:pPr>
        <w:pStyle w:val="Compact"/>
        <w:numPr>
          <w:ilvl w:val="0"/>
          <w:numId w:val="16"/>
        </w:numPr>
      </w:pPr>
      <w:r>
        <w:t>Banco de Pagos Internacionales (BIS). Informes sobre stablecoins y CBDC.</w:t>
      </w:r>
    </w:p>
    <w:p w14:paraId="401AA59E" w14:textId="77777777" w:rsidR="004B09C8" w:rsidRDefault="0079736C">
      <w:pPr>
        <w:pStyle w:val="Compact"/>
        <w:numPr>
          <w:ilvl w:val="0"/>
          <w:numId w:val="16"/>
        </w:numPr>
      </w:pPr>
      <w:r>
        <w:t>Banco Central de Bolivia (BCB). Normativa sobre activos virtuales (verificar resolución vigente, 2024).</w:t>
      </w:r>
    </w:p>
    <w:p w14:paraId="59506308" w14:textId="77777777" w:rsidR="004B09C8" w:rsidRDefault="0079736C">
      <w:pPr>
        <w:pStyle w:val="Compact"/>
        <w:numPr>
          <w:ilvl w:val="0"/>
          <w:numId w:val="16"/>
        </w:numPr>
      </w:pPr>
      <w:r>
        <w:t>Autoridad de Supervisión del Sistema Financiero (ASFI). Normativa aplicable.</w:t>
      </w:r>
    </w:p>
    <w:p w14:paraId="7BF4126E" w14:textId="77777777" w:rsidR="004B09C8" w:rsidRDefault="0079736C">
      <w:pPr>
        <w:pStyle w:val="Compact"/>
        <w:numPr>
          <w:ilvl w:val="0"/>
          <w:numId w:val="16"/>
        </w:numPr>
      </w:pPr>
      <w:r>
        <w:t xml:space="preserve">OpenZeppelin. </w:t>
      </w:r>
      <w:r>
        <w:rPr>
          <w:i/>
          <w:iCs/>
        </w:rPr>
        <w:t>Contracts Documentation.</w:t>
      </w:r>
    </w:p>
    <w:p w14:paraId="5D73EEB6" w14:textId="77777777" w:rsidR="004B09C8" w:rsidRDefault="0079736C">
      <w:pPr>
        <w:pStyle w:val="Compact"/>
        <w:numPr>
          <w:ilvl w:val="0"/>
          <w:numId w:val="16"/>
        </w:numPr>
      </w:pPr>
      <w:r>
        <w:t xml:space="preserve">Ethereum Foundation. </w:t>
      </w:r>
      <w:r>
        <w:rPr>
          <w:i/>
          <w:iCs/>
        </w:rPr>
        <w:t>ERC-20 Token Standard (EIP-20).</w:t>
      </w:r>
    </w:p>
    <w:p w14:paraId="4399938F" w14:textId="77777777" w:rsidR="004B09C8" w:rsidRDefault="0079736C">
      <w:r>
        <w:pict w14:anchorId="6675794E">
          <v:rect id="_x0000_i1033" style="width:0;height:1.5pt" o:hralign="center" o:hrstd="t" o:hr="t"/>
        </w:pict>
      </w:r>
    </w:p>
    <w:p w14:paraId="75BEADD0" w14:textId="77777777" w:rsidR="004B09C8" w:rsidRDefault="0079736C">
      <w:pPr>
        <w:pStyle w:val="Ttulo1"/>
      </w:pPr>
      <w:bookmarkStart w:id="72" w:name="capítulo-10.-anexos"/>
      <w:bookmarkStart w:id="73" w:name="_Toc232848577"/>
      <w:bookmarkEnd w:id="70"/>
      <w:r>
        <w:t>Capítulo 10. Anexos</w:t>
      </w:r>
      <w:bookmarkEnd w:id="73"/>
    </w:p>
    <w:p w14:paraId="2F1EEEBD" w14:textId="77777777" w:rsidR="004B09C8" w:rsidRDefault="0079736C">
      <w:pPr>
        <w:pStyle w:val="Ttulo2"/>
      </w:pPr>
      <w:bookmarkStart w:id="74" w:name="anexo-a-glosario"/>
      <w:bookmarkStart w:id="75" w:name="_Toc232848578"/>
      <w:r>
        <w:t>Anexo A — Glosario</w:t>
      </w:r>
      <w:bookmarkEnd w:id="75"/>
    </w:p>
    <w:p w14:paraId="50B98AF9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Stablecoin:</w:t>
      </w:r>
      <w:r>
        <w:t xml:space="preserve"> moneda digital diseñada para mantener un valor estable, usualmente respaldada por activos.</w:t>
      </w:r>
    </w:p>
    <w:p w14:paraId="791542C7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BOBH:</w:t>
      </w:r>
      <w:r>
        <w:t xml:space="preserve"> símbolo del token HUNBOLI, con paridad al boliviano.</w:t>
      </w:r>
    </w:p>
    <w:p w14:paraId="3FAFC1B5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ERC-20:</w:t>
      </w:r>
      <w:r>
        <w:t xml:space="preserve"> estándar de tokens fungibles interoperables.</w:t>
      </w:r>
    </w:p>
    <w:p w14:paraId="54A70881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Mint / Burn:</w:t>
      </w:r>
      <w:r>
        <w:t xml:space="preserve"> emisión / destrucción de tokens.</w:t>
      </w:r>
    </w:p>
    <w:p w14:paraId="26FE2F35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KYC / AML:</w:t>
      </w:r>
      <w:r>
        <w:t xml:space="preserve"> </w:t>
      </w:r>
      <w:r>
        <w:t>verificación de identidad / prevención de lavado de activos.</w:t>
      </w:r>
    </w:p>
    <w:p w14:paraId="0065BEC7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Multisig (Safe):</w:t>
      </w:r>
      <w:r>
        <w:t xml:space="preserve"> firma múltiple para autorizar operaciones críticas.</w:t>
      </w:r>
    </w:p>
    <w:p w14:paraId="5A548673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Blacklist / Confiscación:</w:t>
      </w:r>
      <w:r>
        <w:t xml:space="preserve"> restricción y, en su caso, incautación de fondos por orden competente.</w:t>
      </w:r>
    </w:p>
    <w:p w14:paraId="77B6BF6B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Testnet / Mainnet:</w:t>
      </w:r>
      <w:r>
        <w:t xml:space="preserve"> red de pruebas / red de producción.</w:t>
      </w:r>
    </w:p>
    <w:p w14:paraId="38DA6BB3" w14:textId="77777777" w:rsidR="004B09C8" w:rsidRDefault="0079736C">
      <w:pPr>
        <w:pStyle w:val="Compact"/>
        <w:numPr>
          <w:ilvl w:val="0"/>
          <w:numId w:val="17"/>
        </w:numPr>
      </w:pPr>
      <w:r>
        <w:rPr>
          <w:b/>
          <w:bCs/>
        </w:rPr>
        <w:t>Proof of Reserves:</w:t>
      </w:r>
      <w:r>
        <w:t xml:space="preserve"> prueba auditable de que las reservas respaldan el suministro.</w:t>
      </w:r>
    </w:p>
    <w:p w14:paraId="2E62875F" w14:textId="77777777" w:rsidR="004B09C8" w:rsidRDefault="0079736C">
      <w:pPr>
        <w:pStyle w:val="Ttulo2"/>
      </w:pPr>
      <w:bookmarkStart w:id="76" w:name="anexo-b-eventos-auditables-del-contrato"/>
      <w:bookmarkStart w:id="77" w:name="_Toc232848579"/>
      <w:bookmarkEnd w:id="74"/>
      <w:r>
        <w:t>Anexo B — Eventos auditables del contrato</w:t>
      </w:r>
      <w:bookmarkEnd w:id="77"/>
    </w:p>
    <w:p w14:paraId="14F01D15" w14:textId="77777777" w:rsidR="004B09C8" w:rsidRDefault="0079736C">
      <w:pPr>
        <w:pStyle w:val="FirstParagraph"/>
      </w:pPr>
      <w:r>
        <w:rPr>
          <w:rStyle w:val="VerbatimChar"/>
        </w:rPr>
        <w:t>Minted</w:t>
      </w:r>
      <w:r>
        <w:t xml:space="preserve">, </w:t>
      </w:r>
      <w:r>
        <w:rPr>
          <w:rStyle w:val="VerbatimChar"/>
        </w:rPr>
        <w:t>Burned</w:t>
      </w:r>
      <w:r>
        <w:t xml:space="preserve">, </w:t>
      </w:r>
      <w:r>
        <w:rPr>
          <w:rStyle w:val="VerbatimChar"/>
        </w:rPr>
        <w:t>RedemptionRequested</w:t>
      </w:r>
      <w:r>
        <w:t xml:space="preserve">, </w:t>
      </w:r>
      <w:r>
        <w:rPr>
          <w:rStyle w:val="VerbatimChar"/>
        </w:rPr>
        <w:t>RedemptionFinalized</w:t>
      </w:r>
      <w:r>
        <w:t xml:space="preserve">, </w:t>
      </w:r>
      <w:r>
        <w:rPr>
          <w:rStyle w:val="VerbatimChar"/>
        </w:rPr>
        <w:t>RedemptionRejected</w:t>
      </w:r>
      <w:r>
        <w:t xml:space="preserve">, </w:t>
      </w:r>
      <w:r>
        <w:rPr>
          <w:rStyle w:val="VerbatimChar"/>
        </w:rPr>
        <w:t>Confiscated</w:t>
      </w:r>
      <w:r>
        <w:t xml:space="preserve">, </w:t>
      </w:r>
      <w:r>
        <w:rPr>
          <w:rStyle w:val="VerbatimChar"/>
        </w:rPr>
        <w:t>SystemPaused</w:t>
      </w:r>
      <w:r>
        <w:t xml:space="preserve">, </w:t>
      </w:r>
      <w:r>
        <w:rPr>
          <w:rStyle w:val="VerbatimChar"/>
        </w:rPr>
        <w:t>SystemUnpaused</w:t>
      </w:r>
      <w:r>
        <w:t xml:space="preserve">, </w:t>
      </w:r>
      <w:r>
        <w:rPr>
          <w:rStyle w:val="VerbatimChar"/>
        </w:rPr>
        <w:t>AddedToBlacklist</w:t>
      </w:r>
      <w:r>
        <w:t xml:space="preserve">, </w:t>
      </w:r>
      <w:r>
        <w:rPr>
          <w:rStyle w:val="VerbatimChar"/>
        </w:rPr>
        <w:t>RemovedFromBlacklist</w:t>
      </w:r>
      <w:r>
        <w:t xml:space="preserve">, </w:t>
      </w:r>
      <w:r>
        <w:rPr>
          <w:rStyle w:val="VerbatimChar"/>
        </w:rPr>
        <w:t>TokensRecovered</w:t>
      </w:r>
      <w:r>
        <w:t xml:space="preserve">, </w:t>
      </w:r>
      <w:r>
        <w:rPr>
          <w:rStyle w:val="VerbatimChar"/>
        </w:rPr>
        <w:t>Transfer</w:t>
      </w:r>
      <w:r>
        <w:t>.</w:t>
      </w:r>
    </w:p>
    <w:p w14:paraId="5A9872BD" w14:textId="77777777" w:rsidR="004B09C8" w:rsidRDefault="0079736C">
      <w:pPr>
        <w:pStyle w:val="Ttulo2"/>
      </w:pPr>
      <w:bookmarkStart w:id="78" w:name="Xe75fb3064c0c6781648e824712a28d48d8187ea"/>
      <w:bookmarkStart w:id="79" w:name="_Toc232848580"/>
      <w:bookmarkEnd w:id="76"/>
      <w:r>
        <w:t>Anexo C — Diagrama del flujo depósito → emisión (texto)</w:t>
      </w:r>
      <w:bookmarkEnd w:id="79"/>
    </w:p>
    <w:p w14:paraId="25769AC6" w14:textId="77777777" w:rsidR="004B09C8" w:rsidRDefault="0079736C">
      <w:pPr>
        <w:pStyle w:val="SourceCode"/>
      </w:pPr>
      <w:r>
        <w:rPr>
          <w:rStyle w:val="VerbatimChar"/>
        </w:rPr>
        <w:t>Usuario (KYC OK) ─▶ Transferencia bancaria ─▶ Registro de depósito + comprobante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Operador valida ─▶ Propuesta de mint en Safe ─▶ Firmas (multisig) ─▶ mint() on-chain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Listener capta "Minted" ─▶ Acredita saldo BOBH al usuario   (BOBH = Bs depositados)</w:t>
      </w:r>
    </w:p>
    <w:p w14:paraId="521C56CD" w14:textId="77777777" w:rsidR="004B09C8" w:rsidRDefault="0079736C">
      <w:r>
        <w:pict w14:anchorId="43BB9188">
          <v:rect id="_x0000_i1034" style="width:0;height:1.5pt" o:hralign="center" o:hrstd="t" o:hr="t"/>
        </w:pict>
      </w:r>
    </w:p>
    <w:p w14:paraId="243ACB25" w14:textId="77777777" w:rsidR="004B09C8" w:rsidRDefault="0079736C">
      <w:pPr>
        <w:pStyle w:val="Ttulo2"/>
      </w:pPr>
      <w:bookmarkStart w:id="80" w:name="Xbd0e1b6d8ec2f425b727f5ffc1900b6eeb82144"/>
      <w:bookmarkStart w:id="81" w:name="_Toc232848581"/>
      <w:bookmarkEnd w:id="78"/>
      <w:r>
        <w:t>⚠</w:t>
      </w:r>
      <w:r>
        <w:t>️</w:t>
      </w:r>
      <w:r>
        <w:t xml:space="preserve"> Advertencias y siguientes pasos (no forman parte del documento académico)</w:t>
      </w:r>
      <w:bookmarkEnd w:id="81"/>
    </w:p>
    <w:p w14:paraId="7E9007A8" w14:textId="77777777" w:rsidR="004B09C8" w:rsidRDefault="0079736C">
      <w:pPr>
        <w:pStyle w:val="Compact"/>
        <w:numPr>
          <w:ilvl w:val="0"/>
          <w:numId w:val="18"/>
        </w:numPr>
      </w:pPr>
      <w:r>
        <w:rPr>
          <w:b/>
          <w:bCs/>
        </w:rPr>
        <w:t>Verificar todas las citas normativas</w:t>
      </w:r>
      <w:r>
        <w:t xml:space="preserve"> (resolución del BCB de 2024, normativa ASFI, recomendaciones GAFI) con la fuente oficial vigente antes de presentar. En este borrador están referenciadas de forma general y deben precisarse.</w:t>
      </w:r>
    </w:p>
    <w:p w14:paraId="7682A13A" w14:textId="77777777" w:rsidR="004B09C8" w:rsidRDefault="0079736C">
      <w:pPr>
        <w:pStyle w:val="Compact"/>
        <w:numPr>
          <w:ilvl w:val="0"/>
          <w:numId w:val="18"/>
        </w:numPr>
      </w:pPr>
      <w:r>
        <w:rPr>
          <w:b/>
          <w:bCs/>
        </w:rPr>
        <w:t>Completar los datos institucionales</w:t>
      </w:r>
      <w:r>
        <w:t xml:space="preserve"> marcados con </w:t>
      </w:r>
      <w:r>
        <w:rPr>
          <w:rStyle w:val="VerbatimChar"/>
        </w:rPr>
        <w:t>[…]</w:t>
      </w:r>
      <w:r>
        <w:t xml:space="preserve"> (autor, tutor, universidad, carrera).</w:t>
      </w:r>
    </w:p>
    <w:p w14:paraId="0C702F2D" w14:textId="77777777" w:rsidR="004B09C8" w:rsidRDefault="0079736C">
      <w:pPr>
        <w:pStyle w:val="Compact"/>
        <w:numPr>
          <w:ilvl w:val="0"/>
          <w:numId w:val="18"/>
        </w:numPr>
      </w:pPr>
      <w:r>
        <w:rPr>
          <w:b/>
          <w:bCs/>
        </w:rPr>
        <w:t>Confirmar la paridad de BOBH:</w:t>
      </w:r>
      <w:r>
        <w:t xml:space="preserve"> el código sugiere paridad con el boliviano (sufijo BOB) y expansión a PEN; confirmar el diseño monetario definitivo.</w:t>
      </w:r>
    </w:p>
    <w:p w14:paraId="46CE83A0" w14:textId="77777777" w:rsidR="004B09C8" w:rsidRDefault="0079736C">
      <w:pPr>
        <w:pStyle w:val="Compact"/>
        <w:numPr>
          <w:ilvl w:val="0"/>
          <w:numId w:val="18"/>
        </w:numPr>
      </w:pPr>
      <w:r>
        <w:rPr>
          <w:b/>
          <w:bCs/>
        </w:rPr>
        <w:t>Datos cuantitativos:</w:t>
      </w:r>
      <w:r>
        <w:t xml:space="preserve"> las tablas de impacto son cualitativas; si tienes cifras reales (usuarios, montos, costos comparados) conviene incorporarlas para fortalecer la sustentación.</w:t>
      </w:r>
    </w:p>
    <w:p w14:paraId="7B9C6664" w14:textId="77777777" w:rsidR="004B09C8" w:rsidRDefault="0079736C">
      <w:pPr>
        <w:pStyle w:val="Compact"/>
        <w:numPr>
          <w:ilvl w:val="0"/>
          <w:numId w:val="18"/>
        </w:numPr>
      </w:pPr>
      <w:r>
        <w:rPr>
          <w:b/>
          <w:bCs/>
        </w:rPr>
        <w:t>Exportación:</w:t>
      </w:r>
      <w:r>
        <w:t xml:space="preserve"> este archivo Markdown puede convertirse a Word/PDF (por ejemplo con Pandoc) manteniendo el formato.</w:t>
      </w:r>
    </w:p>
    <w:p w14:paraId="3A10FF4B" w14:textId="77777777" w:rsidR="004B09C8" w:rsidRDefault="0079736C">
      <w:r>
        <w:pict w14:anchorId="0DCAF357">
          <v:rect id="_x0000_i1035" style="width:0;height:1.5pt" o:hralign="center" o:hrstd="t" o:hr="t"/>
        </w:pict>
      </w:r>
    </w:p>
    <w:p w14:paraId="391EA88D" w14:textId="77777777" w:rsidR="004B09C8" w:rsidRDefault="0079736C">
      <w:pPr>
        <w:pStyle w:val="FirstParagraph"/>
      </w:pPr>
      <w:r>
        <w:rPr>
          <w:i/>
          <w:iCs/>
        </w:rPr>
        <w:t>Documento elaborado a partir del análisis directo del código fuente del proyecto HUNBOLI (contratos Solidity, backend NestJS/Prisma y frontend Next.js).</w:t>
      </w:r>
      <w:bookmarkEnd w:id="72"/>
      <w:bookmarkEnd w:id="80"/>
    </w:p>
    <w:sectPr w:rsidR="004B09C8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4C8D" w14:textId="77777777" w:rsidR="0079736C" w:rsidRDefault="0079736C">
      <w:pPr>
        <w:spacing w:line="240" w:lineRule="auto"/>
      </w:pPr>
      <w:r>
        <w:separator/>
      </w:r>
    </w:p>
  </w:endnote>
  <w:endnote w:type="continuationSeparator" w:id="0">
    <w:p w14:paraId="148601D2" w14:textId="77777777" w:rsidR="0079736C" w:rsidRDefault="007973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E486" w14:textId="77777777" w:rsidR="0079736C" w:rsidRDefault="0079736C">
      <w:pPr>
        <w:spacing w:line="240" w:lineRule="auto"/>
      </w:pPr>
      <w:r>
        <w:separator/>
      </w:r>
    </w:p>
  </w:footnote>
  <w:footnote w:type="continuationSeparator" w:id="0">
    <w:p w14:paraId="35B67C51" w14:textId="77777777" w:rsidR="0079736C" w:rsidRDefault="007973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7D53" w14:textId="77777777" w:rsidR="004B09C8" w:rsidRDefault="0079736C">
    <w:pPr>
      <w:jc w:val="right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 w:rsidR="0079514D">
      <w:rPr>
        <w:rFonts w:ascii="Times New Roman" w:hAnsi="Times New Roman"/>
      </w:rPr>
      <w:fldChar w:fldCharType="separate"/>
    </w:r>
    <w:r w:rsidR="0079514D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C286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C260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047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2465694">
    <w:abstractNumId w:val="0"/>
  </w:num>
  <w:num w:numId="2" w16cid:durableId="1651474053">
    <w:abstractNumId w:val="1"/>
  </w:num>
  <w:num w:numId="3" w16cid:durableId="1330134038">
    <w:abstractNumId w:val="1"/>
  </w:num>
  <w:num w:numId="4" w16cid:durableId="922682067">
    <w:abstractNumId w:val="1"/>
  </w:num>
  <w:num w:numId="5" w16cid:durableId="1481727248">
    <w:abstractNumId w:val="1"/>
  </w:num>
  <w:num w:numId="6" w16cid:durableId="835807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09988314">
    <w:abstractNumId w:val="1"/>
  </w:num>
  <w:num w:numId="8" w16cid:durableId="1936397884">
    <w:abstractNumId w:val="1"/>
  </w:num>
  <w:num w:numId="9" w16cid:durableId="1378748079">
    <w:abstractNumId w:val="1"/>
  </w:num>
  <w:num w:numId="10" w16cid:durableId="1441949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99619103">
    <w:abstractNumId w:val="1"/>
  </w:num>
  <w:num w:numId="12" w16cid:durableId="258488077">
    <w:abstractNumId w:val="1"/>
  </w:num>
  <w:num w:numId="13" w16cid:durableId="1165588347">
    <w:abstractNumId w:val="1"/>
  </w:num>
  <w:num w:numId="14" w16cid:durableId="1988583955">
    <w:abstractNumId w:val="1"/>
  </w:num>
  <w:num w:numId="15" w16cid:durableId="270744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54975028">
    <w:abstractNumId w:val="1"/>
  </w:num>
  <w:num w:numId="17" w16cid:durableId="63458247">
    <w:abstractNumId w:val="1"/>
  </w:num>
  <w:num w:numId="18" w16cid:durableId="1326661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9C8"/>
    <w:rsid w:val="004B09C8"/>
    <w:rsid w:val="0079514D"/>
    <w:rsid w:val="0079736C"/>
    <w:rsid w:val="00C6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82D6"/>
  <w15:docId w15:val="{479BFBCF-88F8-40E7-89B1-D4DAD0D0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ind w:firstLine="708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 w:line="240" w:lineRule="auto"/>
      <w:ind w:firstLine="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 w:firstLine="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79514D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9514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5554</Words>
  <Characters>30553</Characters>
  <Application>Microsoft Office Word</Application>
  <DocSecurity>0</DocSecurity>
  <Lines>254</Lines>
  <Paragraphs>72</Paragraphs>
  <ScaleCrop>false</ScaleCrop>
  <Company/>
  <LinksUpToDate>false</LinksUpToDate>
  <CharactersWithSpaces>36035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Jhaseft Saat</cp:lastModifiedBy>
  <cp:revision>2</cp:revision>
  <dcterms:created xsi:type="dcterms:W3CDTF">2026-06-20T15:42:00Z</dcterms:created>
  <dcterms:modified xsi:type="dcterms:W3CDTF">2026-06-20T15:48:00Z</dcterms:modified>
</cp:coreProperties>
</file>