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</w:rPr>
        <w:t xml:space="preserve">EVIDENCIA DE PRODUCTO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EVALUACIÓN Y CERTIFICACIÓN DE COMPETENCIAS LABORALES - ECCL SENA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NOMBRES Y APELLIDOS DEL CANDIDATO: [NOMBRES Y APELLIDOS]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DOCUMENTO: [NÚMERO DE DOCUMENTO]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NORMA: 220501095 Diseñar la solución de software de acuerdo con procedimientos y requisitos técnicos.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ENTREGA: [DD/MM/AAAA]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Documento de diseño de software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Introducción del sistema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PlanCity es una aplicación web orientada al descubrimiento y la gestión de eventos y actividades locales, tales como conciertos, talleres y actividades deportivas. El sistema responde a la necesidad de centralizar la oferta de eventos de una ciudad en un catálogo consultable, con información completa de cada evento (fecha, ubicación, precio, capacidad e imágenes) y con mecanismos de personalización mediante cuentas de usuario y listas de favoritos.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solución se compone de dos paquetes desacoplados que conviven en un monorepo publicado en https://github.com/Jhaymayleth/plancity-api.git: una aplicación de página única (SPA) desarrollada con React 19, TypeScript, Vite y Tailwind CSS, y una interfaz de programación de aplicaciones (API) REST desarrollada con NestJS 11, TypeORM y PostgreSQL, protegida con autenticación JWT y control de acceso basado en roles (administrador y usuario).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objetivo general del diseño consistió en especificar una arquitectura escalable, mantenible, tipada, modular, reutilizable, verificable mediante pruebas automatizadas y coherente en la experiencia de usuario. Los objetivos específicos fueron: (a) definir los requisitos funcionales y no funcionales trazables al código; (b) establecer la arquitectura por capas y los patrones aplicables; (c) describir los módulos de ambos paquetes; (d) justificar técnicamente cada decisión; (e) modelar el sistema en UML; y (f) especificar el modelo de datos con sus restricciones de integridad.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alcance del presente documento cubre el diseño vigente a la fecha de entrega, correspondiente a las fases 1 a 5 del desarrollo del frontend y al estado funcional de la API. Como supuesto de diseño se establece que la API es la única vía de acceso a los datos: el frontend jamás accede directamente a la base de datos. Como restricción, la API expone únicamente los filtros search y categoryId en el listado de eventos y no implementa paginación en servidor, por lo cual la paginación progresiva se resolvió en el cliente.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Requisitos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Actores del sistema: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1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
Actores y permisos.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 sin registro que explora el catálogo.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Explorar eventos, categorías y detalles; registrarse; iniciar sesión.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registrado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 autenticado con JWT.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Hereda al Visitante; gestiona favoritos y su sesión.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con rol admin.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Hereda al Usuario; CRUD de eventos y categorías.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Nota. La herencia de permisos se verifica en cada petición mediante JwtAuthGuard y RolesGuard.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Requisitos funcionales: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2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
Requisitos funcionales trazables a rutas y endpoints.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Trazabilidad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Explorar el catálogo de eventos con búsqueda por texto (nombre o descripción) y filtro por categoría.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/events · ruta /events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Consultar el detalle de un evento con fecha, ubicación, precio, capacidad, categoría e imágenes.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/events/:id · ruta /events/:id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Explorar categorías, su conteo de eventos y los eventos de cada una.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/categories[/:id] · rutas /categories, /categories/:id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Registrarse (con inicio de sesión automático) e iniciar sesión con correo y contraseña.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/auth/register, POST /auth/login · rutas /register, /login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y quitar eventos de la lista personal de favoritos, con respuesta optimista.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 DELETE /favorites/:eventId · ruta /favorites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Cerrar sesión invalidando el token en el cliente.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/auth/logout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Crear, editar y eliminar eventos con validación y hasta diez imágenes por evento.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 PATCH / DELETE /events · rutas /admin/events/...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Crear, editar y eliminar categorías; el borrado se restringe si existen eventos asociados.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 PATCH / DELETE /categories · rutas /admin/categories/...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Compartir eventos mediante enlace y descubrir eventos relacionados de la misma categoría.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Ruta /events/:id (cliente)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Navegar con paginación progresiva y estados de carga, error con reintento y vacío en cada listado.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(la API retorna el arreglo completo)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Recibir retroalimentación de cada acción mediante notificaciones y diálogos de confirmación accesibles.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Componentes ui/ (Toaster, ConfirmDialog)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Consultar documentación interactiva de la API.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Desarrollador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Swagger en /api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Nota. La columna de trazabilidad vincula cada requisito con su endpoint y su ruta del frontend.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Requisitos no funcionales: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3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
Requisitos no funcionales con criterio de aceptación medible.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y criterio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Seguridad: contraseñas con bcrypt (coste 10), JWT con expiración de un día, autorización por roles en cada ruta sensible y ningún secreto del backend expuesto en variables VITE_*.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Tipado y validación: TypeScript estricto sin errores (tsc), validación class-validator en la API y Zod en formularios con reglas idénticas a los DTO.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Respuesta adaptable: breakpoints sm/md/lg/xl y navegación móvil con menú hamburguesa.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Accesibilidad: skip-link, roles ARIA, etiquetas asociadas, focos visibles, títulos por ruta e idioma es.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Rendimiento: fragmentación de código por ruta (paquete inicial de 337 kB), debounce de 300 ms en búsquedas y caché de consultas de 30 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Calidad verificable: ESLint sin errores, 35 pruebas automatizadas del frontend y compilaciones reproducibles de ambos paquetes.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Nota. Los criterios se verifican con tsc --noEmit, npm run lint, npm run test:run y npm run build.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Arquitectura del software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Estilo arquitectónico.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sistema adopta un estilo cliente-servidor con dos piezas desacopladas: una SPA desacoplada del backend y una API REST implementada como monolito modular. Se descartó una arquitectura de microservicios por desproporción frente al dominio (cinco agregados) y al equipo: el monolito modular ofrece despliegue único, transacciones simples y frontières claras por módulo, con la posibilidad de extraer módulos en el futuro sin reescribir el dominio.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Organización del código: por característica frente a por capa técnica.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backend se organiza por característica de dominio (feature-based): cada módulo NestJS (auth, users, categories, events, favorites) agrupa su controlador, servicio, DTO y entidades, de modo que una funcionalidad puede comprenderse y modificarse sin recorrer todo el proyecto. El frontend, en cambio, se organiza por capa técnica (type-based): pages, components, services, hooks, schemas y types separan responsabilidades transversales, mientras que los servicios (authService, eventService, categoryService, favoriteService) aportan la dimensión por dominio. Esta combinación es deliberada: el backend gana cohesión de negocio y el frontend gana reutilización de infraestructura de presentación (sistema de diseño, caché y validación compartidos).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Capas y responsabilidades.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Figura 1. Arquitectura en capas de PlanCity y flujo de una petición.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4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
Capas del sistema y tecnologías responsables.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Presentación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19, React Router 7, componentes ui/, EventCard, Navbar, páginas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Renderizar vistas, navegación con rutas protegidas y de administración, y diseño responsive.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y formularios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TanStack Query 5, RHF 7 + Zod 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Caché con invalidación, validación idéntica a los DTO y estados de carga/error.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HTTP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Axios 1.x, VITE_API_URL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Instancia centralizada con interceptor JWT y depuración de sesión ante 401.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 11: controladores, servicios, DTO, guards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Casos de uso, validación class-validator, autorización JWT/RBAC y documentación Swagger.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Persistencia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TypeORM 0.3, migraciones, PostgreSQL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Entidades, QueryBuilder, integridad referencial y versionado del esquema.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Nota. El frontend nunca accede a la base de datos; toda la seguridad se verifica en la API.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Patrones aplicados.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Repositorio: </w:t>
      </w:r>
      <w:r>
        <w:rPr>
          <w:rFonts w:ascii="Arial" w:cs="Arial" w:eastAsia="Arial" w:hAnsi="Arial"/>
          <w:sz w:val="22"/>
          <w:szCs w:val="22"/>
        </w:rPr>
        <w:t xml:space="preserve">Las entidades TypeORM aíslan el acceso a datos y el QueryBuilder concentra las consultas filtradas.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DTO: </w:t>
      </w:r>
      <w:r>
        <w:rPr>
          <w:rFonts w:ascii="Arial" w:cs="Arial" w:eastAsia="Arial" w:hAnsi="Arial"/>
          <w:sz w:val="22"/>
          <w:szCs w:val="22"/>
        </w:rPr>
        <w:t xml:space="preserve">Cada operación expone un contrato validado (CreateEventDto, QueryEventDto, RegisterDto) independiente de la entidad.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Guardia e interceptor: </w:t>
      </w:r>
      <w:r>
        <w:rPr>
          <w:rFonts w:ascii="Arial" w:cs="Arial" w:eastAsia="Arial" w:hAnsi="Arial"/>
          <w:sz w:val="22"/>
          <w:szCs w:val="22"/>
        </w:rPr>
        <w:t xml:space="preserve">JwtAuthGuard y RolesGuard interceptan las rutas sensibles antes de ejecutar la lógica.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Observador: </w:t>
      </w:r>
      <w:r>
        <w:rPr>
          <w:rFonts w:ascii="Arial" w:cs="Arial" w:eastAsia="Arial" w:hAnsi="Arial"/>
          <w:sz w:val="22"/>
          <w:szCs w:val="22"/>
        </w:rPr>
        <w:t xml:space="preserve">La caché de React Query observa las mutaciones y re-renderiza a los suscriptores tras invalidar.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optimista: </w:t>
      </w:r>
      <w:r>
        <w:rPr>
          <w:rFonts w:ascii="Arial" w:cs="Arial" w:eastAsia="Arial" w:hAnsi="Arial"/>
          <w:sz w:val="22"/>
          <w:szCs w:val="22"/>
        </w:rPr>
        <w:t xml:space="preserve">El favorito se refleja de inmediato y se concilia con el servidor, con reversión ante 409/404.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Carga diferida: </w:t>
      </w:r>
      <w:r>
        <w:rPr>
          <w:rFonts w:ascii="Arial" w:cs="Arial" w:eastAsia="Arial" w:hAnsi="Arial"/>
          <w:sz w:val="22"/>
          <w:szCs w:val="22"/>
        </w:rPr>
        <w:t xml:space="preserve">React.lazy fragmenta cada ruta en paquetes independientes cargados bajo demanda.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Vista de despliegue.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En desarrollo, la API escucha en el puerto 3000 (variables PORT, DATABASE_URL, JWT_SECRET, JWT_EXPIRES_IN) y el frontend en el puerto 5173 con VITE_API_URL apuntando a la API. En producción, el frontend se sirve como paquete estático generado por Vite (npm run build) y la API como proceso Node (npm run start:prod) contra PostgreSQL gestionado; el esquema se aplica exclusivamente mediante migraciones (migration:run), nunca con sincronización automática.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1.4 Descripción de módulos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Módulos del backend (plancity-api/src/modules), cada uno con controlador, servicio, DTO y entidades: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5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
Módulos del backend y sus endpoints.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/auth/register, POST /auth/login, POST /auth/logout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con auto-login; logout stateless (confirmación para limpiar el token); hash bcrypt.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/users/me, PATCH /users/me/password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del portador del token; roles admin y user.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/categories[/:id], POST / PATCH / DELETE (admin)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único; borrado RESTRICT con eventos asociados.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/events[?search&amp;categoryId], GET /:id, POST / PATCH / DELETE (admin)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Búsqueda ILIKE, nombre único con 409, imágenes en cascada, orden por fecha.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favorites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/favorites, POST / DELETE /favorites/:eventId (auth)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 (usuario, evento) único con 409; 404 si el evento no existe; orden descendente.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(transversal)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JwtAuthGuard, RolesGuard y decoradores CurrentUser y Roles.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Nota. Fuente: controladores y servicios en src/modules.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Áreas del frontend (plancity-frontend/src, 57 archivos):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6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
Áreas del frontend y su contenido verificado.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Área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 representativos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 + routes/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HomePage, EventsPage, EventDetailPage, admin/EventFormPage, AppRouter, ProtectedRoute, AdminRoute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Vistas por ruta y guardias de acceso.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 (8 piezas), EventCard, Navbar, ErrorBoundary, Footer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de diseño y componentes de dominio.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 + services/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client, request, queryClient; auth/category/event/favorite services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centralizado y operaciones por agregado.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useEventsQuery (6 hooks), useDebounce, useDocumentTitle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Caché, utilidades de interacción y SEO.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schemas/ + types/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forms.ts; auth, category, event, user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Validación Zod espejo de DTO y contratos TS.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context/ + layouts/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AuthContext, MainLayout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Sesión con restauración y marco visual con Toaster.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Nota. Conteo obtenido del árbol real del repositorio a la fecha de entrega.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1.5 Justificación técnica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Cada decisión se adoptó tras comparar alternativas frente a los requisitos y restricciones del proyecto: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7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
Decisiones de diseño y alternativas descartadas (ADR resumido).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Decisión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Alternativas descartadas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TypeScript frente a JavaScript plano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 sin tipos, Angular/Vue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Componentización con seguridad de tipos en Event, User y Favorite; curva conocida.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 frente a Create React App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 (obsoleto y lento)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Arranque instantáneo y build optimizado con fragmentación.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frente a Sass/CSS manual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Sass (dependencia problemática sass-embedded)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Consistencia responsive sin hojas repetitivas ni dependencias frágiles.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TanStack Query frente a useEffect manual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manual con useState/useEffect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Caché, reintentos e invalidación declarativos en 6 hooks.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RHF + Zod frente a formularios controlados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Validación ad hoc por campo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Reglas idénticas a los DTO evita 400/409 predecibles.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 modular frente a Express plano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 sin estructura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Módulos por dominio, guards, DTO y Swagger integrados.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TypeORM + migraciones frente a synchronize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synchronize: true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Versionado auditable del esquema y seed reproducible del admin.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stateless frente a sesiones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Sesiones en servidor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Escalabilidad sin estado y RBAC simple con dos roles.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Nota. El detalle de cada decisión consta en plancity-api/README.frontend.md.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Diagramas de Lenguaje Unificado de Modelado (UML)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Diagrama de casos de uso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identificaron once casos de uso agrupados por actor, con herencia Visitante &lt; Usuario &lt; Administrador. Los casos de escritura incluyen la autenticación y la autorización correspondiente.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Figura 2. Casos de uso CU-01 a CU-11 de PlanCity.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8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
Catálogo de casos de uso.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Precondición / Poscondición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Explorar eventos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/ Listado filtrado por search y categoryId.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detalle de evento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Existe el id / Ficha con mapa, compartir y relacionados.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Explorar categorías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/ Categorías con conteo y sus eventos.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Correo no registrado / Sesión iniciada automáticamente.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Iniciar sesión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Cuenta existente / JWT almacenado y perfil cargado.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Gestionar favoritos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válido / Lista personal actualizada con 409/404 controlados.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Cerrar sesión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Sesión activa / Token eliminado en cliente.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evento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 admin, categoría válida / 201 y caché invalidada.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 evento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Evento existente / 200 con imágenes reemplazadas.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Eliminar evento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Confirmación / 204 con cascada a imágenes y favoritos.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Gestionar categorías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 admin / CRUD con RESTRICT ante eventos asociados.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Nota. Los CU-06 a CU-11 incluyen autenticación; los CU-08 a CU-11 exigen rol admin.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Diagrama de clases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Las clases del dominio se derivan directamente de las entidades TypeORM y sus relaciones: un usuario guarda varios favoritos, un evento recibe varios favoritos y muestra varias imágenes ordenadas, y una categoría agrupa varios eventos.</w:t>
      </w:r>
    </w:p>
    <w:p>
      <w:pPr>
        <w:spacing w:after="60" w:before="120"/>
        <w:jc w:val="center"/>
      </w:pPr>
      <w:r>
        <w:drawing>
          <wp:inline distT="0" distB="0" distL="0" distR="0">
            <wp:extent cx="4495800" cy="773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Figura 3. Clases del dominio y sus multiplicidades.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Diagrama de secuencia: inicio de sesión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visitante diligencia el formulario validado con Zod; AuthContext delega en authService; la API compara el hash bcrypt y responde 200 con accessToken y usuario; el contexto persiste el token y navega al inicio.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Figura 4. Secuencia de inicio de sesión.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Diagrama de secuencia: agregar a favoritos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usuario pulsa el corazón en EventCard; la mutación aplica el estado optimista, invoca POST /favorites/:eventId con JWT y, tras el 201, muestra la notificación e invalida la consulta de favoritos para conciliar con el servidor.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Figura 5. Secuencia de agregado a favoritos.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2.5 Diagrama de actividad: crear evento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administrador completa el formulario con validación por campo; si los datos son válidos se envían con rol admin; ante 400 o 409 se exhibe el mensaje del servidor y ante 201 se invalida el caché y se navega al listado.</w:t>
      </w:r>
    </w:p>
    <w:p>
      <w:pPr>
        <w:spacing w:after="60" w:before="120"/>
        <w:jc w:val="center"/>
      </w:pPr>
      <w:r>
        <w:drawing>
          <wp:inline distT="0" distB="0" distL="0" distR="0">
            <wp:extent cx="5438775" cy="1099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09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Figura 6. Actividad de creación de evento.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Prototipo de solución de software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prototipo evolucionó de forma iterativa hasta la implementación funcional que se entrega; por ello, cada pantalla del prototipo corresponde uno a uno con una ruta verificada de la aplicación: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9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
Trazabilidad entre el prototipo solicitado y la implementación.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 solicitado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Pantalla implementada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 y estados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Pantalla principal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Inicio con hero, buscador, estadísticas, próximos y categorías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 (carga, vacío, error)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proyectos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eventos: listado, detalle, creación, edición y eliminación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/events, /events/:id, /admin/events/...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tareas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categorías y de favoritos personales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/categories, /categories/:id, /favorites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Formularios de creación/edición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(login/registro) y administración con validación por campo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/login, /register, /admin/...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Nota. La equivalencia proyectos→eventos y tareas→categorías/favoritos adapta la guía genérica al dominio real.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Pantalla principal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ruta raíz presenta un hero con buscador funcional que navega a /events?search=, indicadores de próximos eventos, categorías y eventos gratuitos, una sección de próximos eventos con tarjetas, un explorador de categorías con conteo y bloques de propuesta de valor y registro.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Gestión de eventos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listado combina búsqueda con debounce de 300 ms, filtro por categoría, esqueletos de carga, vacíos con limpieza de filtros, errores con reintento, contador de resultados y paginación progresiva en cliente. El detalle exhibe galería, insignias de estado (gratis, hoy, finalizado), fecha y precio formateados, enlace a mapa, botón de compartir y eventos relacionados.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Gestión de categorías y favoritos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Las categorías se presentan como tarjetas con conteo de eventos y acciones de administración; el detalle lista sus eventos. Los favoritos aplican actualización optimista con reversión ante 409 o 404 y confirmaciones mediante diálogo accesible en las eliminaciones.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Formularios de creación y edición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Los formularios de acceso y administración validan cada campo con las reglas de los DTO (correo, mínimo de 6 caracteres, UUID de categoría, URL de imágenes, máximo de diez imágenes) y exhiben los mensajes del servidor, incluidos los conflictos de nombre o correo duplicado.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Modelo de base de datos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modelo relacional consta de cinco tablas en PostgreSQL con identificadores UUID (extensión uuid-ossp), unicidades de negocio y claves foráneas con reglas de borrado diferenciadas, versionado en la migración InitSchema1787602695769.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637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Figura 7. Diagrama entidad-relación de PlanCity.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Tabla users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10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
Campos de users.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Restricciones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DEFAULT uuid_generate_v4()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 NOT NULL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 NOT NULL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UK (UQ_users_email)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 NOT NULL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 bcrypt, jamás se expone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enum('admin','user') DEFAULT 'user'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RBAC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DEFAULT now()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Nota. Fuente: migración InitSchema y entidad User.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Tabla categories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11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
Campos de categories.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Restricciones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DEFAULT uuid_generate_v4()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 NOT NULL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UK (UQ_categories_name)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 NULL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DEFAULT now()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Nota. El nombre único origina el 409 en duplicados.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Tabla events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12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
Campos de events.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Restricciones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DEFAULT uuid_generate_v4()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 NOT NULL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UK (UQ_events_name)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NOT NULL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 del catálogo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 NOT NULL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numeric(10,2) NOT NULL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= gratuito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DEFAULT 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Aforo total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categories (RESTRICT)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DEFAULT now()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Nota. El precio con dos decimales se valida en cliente y servidor.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Tabla event_images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13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
Campos de event_images.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Restricciones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DEFAULT uuid_generate_v4()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varchar(500) NOT NULL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http(s), máx. 10 por evento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DEFAULT 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 de exhibición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events (CASCADE)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DEFAULT now()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Nota. La edición reemplaza la colección completa de imágenes.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4.5 Tabla favorites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14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
Campos de favorites.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Restricciones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DEFAULT uuid_generate_v4()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 (CASCADE)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events (CASCADE)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DEFAULT now()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 descendente del listado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(user_id, event_id)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UK (origen del 409 en duplicados)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Nota. La unicidad compuesta garantiza un favorito por par usuario-evento.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4.6 Llaves y relaciones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15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
Reglas de integridad referencial.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Relación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Cardinalidad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 de borrado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categories — events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Impide borrar categorías con eventos; protege el catálogo.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 — event_images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 imágenes huérfanas al borrar el evento.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 — favorites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Limpia favoritos del usuario eliminado.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 — favorites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1:N (N:M lógica users↔events)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Limpia favoritos del evento eliminado.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Nota. Toda eliminación sensible exige confirmación previa en la interfaz.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Referencias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Meta Platforms. (2024). React documentation. https://react.dev/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NestJS. (2024). NestJS documentation. https://docs.nestjs.com/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TypeORM. (2024). TypeORM documentation. https://typeorm.io/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PostgreSQL Global Development Group. (2024). PostgreSQL documentation. https://www.postgresql.org/docs/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Jones, M., Bradley, J. y Sakimura, N. (2015). JSON Web Token (JWT) (RFC 7519). IETF. https://www.rfc-editor.org/rfc/rfc7519.html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World Wide Web Consortium. (2023). Web Content Accessibility Guidelines (WCAG) 2.2. https://www.w3.org/TR/WCAG22/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Firma: _________________________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Nombres y Apellidos del candidato: [NOMBRES Y APELLIDOS]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Documento: [NÚMERO DE DOCUMENTO]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618a85fc425a18c0bd806be24184ac23690a37.png"/><Relationship Id="rId8" Type="http://schemas.openxmlformats.org/officeDocument/2006/relationships/image" Target="media/a29e641c9e830af646eef088dfbb416488886ad8.png"/><Relationship Id="rId9" Type="http://schemas.openxmlformats.org/officeDocument/2006/relationships/image" Target="media/65db19a9b4609b5fe07cec46b07ced3a9856cfdc.png"/><Relationship Id="rId10" Type="http://schemas.openxmlformats.org/officeDocument/2006/relationships/image" Target="media/eb2883f7a56b78f3185f2dccad62993c7ec90457.png"/><Relationship Id="rId11" Type="http://schemas.openxmlformats.org/officeDocument/2006/relationships/image" Target="media/df2c2e09851c1c697a0efb91c1fe9c40be0e8409.png"/><Relationship Id="rId12" Type="http://schemas.openxmlformats.org/officeDocument/2006/relationships/image" Target="media/d17addaad0e2c5f3210d8863f123bee75e8dcc59.png"/><Relationship Id="rId13" Type="http://schemas.openxmlformats.org/officeDocument/2006/relationships/image" Target="media/d16ea2ebb2b6cf834e8a060c18a231e716fd8d8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de producto - Norma 220501095</dc:title>
  <dc:creator>PlanCity</dc:creator>
  <cp:lastModifiedBy>Un-named</cp:lastModifiedBy>
  <cp:revision>1</cp:revision>
  <dcterms:created xsi:type="dcterms:W3CDTF">2026-09-07T00:20:40.494Z</dcterms:created>
  <dcterms:modified xsi:type="dcterms:W3CDTF">2026-09-07T00:20:40.495Z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