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17324D"/>
          <w:sz w:val="44"/>
          <w:szCs w:val="44"/>
        </w:rPr>
        <w:t xml:space="preserve">ACTA DE CONSTITUCIÓN DEL PROYECTO</w:t>
      </w:r>
    </w:p>
    <w:p>
      <w:pPr>
        <w:spacing w:after="100" w:before="200"/>
        <w:jc w:val="center"/>
      </w:pPr>
      <w:r>
        <w:rPr>
          <w:rFonts w:ascii="Calibri" w:cs="Calibri" w:eastAsia="Calibri" w:hAnsi="Calibri"/>
          <w:i/>
          <w:iCs/>
          <w:color w:val="117C74"/>
          <w:sz w:val="26"/>
          <w:szCs w:val="26"/>
        </w:rPr>
        <w:t xml:space="preserve">Project Charter</w:t>
      </w:r>
    </w:p>
    <w:p>
      <w:pPr>
        <w:spacing w:before="400"/>
        <w:jc w:val="center"/>
      </w:pPr>
      <w:r>
        <w:rPr>
          <w:rFonts w:ascii="Calibri" w:cs="Calibri" w:eastAsia="Calibri" w:hAnsi="Calibri"/>
          <w:b/>
          <w:bCs/>
          <w:color w:val="24577F"/>
          <w:sz w:val="32"/>
          <w:szCs w:val="32"/>
        </w:rPr>
        <w:t xml:space="preserve">"Banca Online Integral"</w:t>
      </w:r>
    </w:p>
    <w:p>
      <w:pPr>
        <w:spacing w:after="600" w:before="100"/>
        <w:jc w:val="center"/>
      </w:pPr>
      <w:r>
        <w:rPr>
          <w:rFonts w:ascii="Calibri" w:cs="Calibri" w:eastAsia="Calibri" w:hAnsi="Calibri"/>
          <w:i/>
          <w:iCs/>
          <w:color w:val="243447"/>
          <w:sz w:val="22"/>
          <w:szCs w:val="22"/>
        </w:rPr>
        <w:t xml:space="preserve">Plataforma de banca digital, billetera y préstamos con control transaccional y cumplimiento</w:t>
      </w:r>
    </w:p>
    <w:p>
      <w:pPr>
        <w:spacing w:before="100"/>
        <w:jc w:val="center"/>
      </w:pPr>
      <w:r>
        <w:rPr>
          <w:rFonts w:ascii="Calibri" w:cs="Calibri" w:eastAsia="Calibri" w:hAnsi="Calibri"/>
          <w:color w:val="243447"/>
          <w:sz w:val="20"/>
          <w:szCs w:val="20"/>
        </w:rPr>
        <w:t xml:space="preserve">Proyecto académico — Curso de Desarrollo de Software</w:t>
      </w:r>
    </w:p>
    <w:p>
      <w:pPr>
        <w:spacing w:before="60"/>
        <w:jc w:val="center"/>
      </w:pPr>
      <w:r>
        <w:rPr>
          <w:rFonts w:ascii="Calibri" w:cs="Calibri" w:eastAsia="Calibri" w:hAnsi="Calibri"/>
          <w:color w:val="243447"/>
          <w:sz w:val="20"/>
          <w:szCs w:val="20"/>
        </w:rPr>
        <w:t xml:space="preserve">Fecha de elaboración: 20 de agosto de 2026</w:t>
      </w:r>
    </w:p>
    <w:p>
      <w:r>
        <w:br w:type="page"/>
      </w:r>
    </w:p>
    <w:p>
      <w:pPr>
        <w:pStyle w:val="Heading1"/>
        <w:pBdr>
          <w:bottom w:val="single" w:color="117C74" w:sz="6" w:space="4"/>
        </w:pBdr>
        <w:spacing w:after="160" w:before="320"/>
      </w:pPr>
      <w:r>
        <w:rPr>
          <w:rFonts w:ascii="Calibri" w:cs="Calibri" w:eastAsia="Calibri" w:hAnsi="Calibri"/>
          <w:b/>
          <w:bCs/>
          <w:color w:val="24577F"/>
          <w:sz w:val="28"/>
          <w:szCs w:val="28"/>
        </w:rPr>
        <w:t xml:space="preserve">1. Información General del Proyecto</w:t>
      </w:r>
    </w:p>
    <w:p>
      <w:pPr>
        <w:spacing w:after="140" w:line="300"/>
        <w:jc w:val="both"/>
      </w:pPr>
      <w:r>
        <w:rPr>
          <w:rFonts w:ascii="Calibri" w:cs="Calibri" w:eastAsia="Calibri" w:hAnsi="Calibri"/>
          <w:color w:val="243447"/>
          <w:sz w:val="21"/>
          <w:szCs w:val="21"/>
        </w:rPr>
        <w:t xml:space="preserve">El presente documento constituye el Acta de Constitución (Project Charter) del proyecto "Banca Online Integral", desarrollado en el marco de un curso universitario de desarrollo de software bajo metodología ágil Scrum. Formaliza la existencia del proyecto, autoriza al equipo a emplear recursos del curso para su ejecución y establece el marco de referencia para la planificación posterior.</w:t>
      </w:r>
    </w:p>
    <w:p>
      <w:pPr>
        <w:spacing w:after="140" w:line="300"/>
        <w:jc w:val="both"/>
      </w:pPr>
      <w:r>
        <w:rPr>
          <w:rFonts w:ascii="Calibri" w:cs="Calibri" w:eastAsia="Calibri" w:hAnsi="Calibri"/>
          <w:color w:val="243447"/>
          <w:sz w:val="21"/>
          <w:szCs w:val="21"/>
        </w:rPr>
        <w:t xml:space="preserve">El proyecto consiste en el diseño y desarrollo de una plataforma de banca online integral que permite a los clientes gestionar cuentas, realizar transferencias, solicitar préstamos, operar una billetera digital con pagos QR, y que incorpora controles de seguridad, prevención de fraude y cumplimiento normativo, incluyendo una integración real de transferencias interbancarias con un segundo equipo del curso.</w:t>
      </w:r>
    </w:p>
    <w:p>
      <w:pPr>
        <w:pStyle w:val="Heading1"/>
        <w:pBdr>
          <w:bottom w:val="single" w:color="117C74" w:sz="6" w:space="4"/>
        </w:pBdr>
        <w:spacing w:after="160" w:before="320"/>
      </w:pPr>
      <w:r>
        <w:rPr>
          <w:rFonts w:ascii="Calibri" w:cs="Calibri" w:eastAsia="Calibri" w:hAnsi="Calibri"/>
          <w:b/>
          <w:bCs/>
          <w:color w:val="24577F"/>
          <w:sz w:val="28"/>
          <w:szCs w:val="28"/>
        </w:rPr>
        <w:t xml:space="preserve">2. Justificación del Proyecto</w:t>
      </w:r>
    </w:p>
    <w:p>
      <w:pPr>
        <w:spacing w:after="140" w:line="300"/>
        <w:jc w:val="both"/>
      </w:pPr>
      <w:r>
        <w:rPr>
          <w:rFonts w:ascii="Calibri" w:cs="Calibri" w:eastAsia="Calibri" w:hAnsi="Calibri"/>
          <w:color w:val="243447"/>
          <w:sz w:val="21"/>
          <w:szCs w:val="21"/>
        </w:rPr>
        <w:t xml:space="preserve">La banca digital es uno de los dominios más exigentes para un proyecto de formación en ingeniería de software: combina seguridad de la información, integridad transaccional, trazabilidad contable y experiencia de usuario en un solo sistema. Desarrollar una versión acotada y realista de este dominio permite al equipo aplicar buenas prácticas de arquitectura, control de acceso, manejo de transacciones atómicas y trabajo colaborativo entre equipos (integración interbancaria), constituyendo un ejercicio integral que combina conocimientos técnicos y de gestión de proyectos ágiles.</w:t>
      </w:r>
    </w:p>
    <w:p>
      <w:pPr>
        <w:pStyle w:val="Heading1"/>
        <w:pBdr>
          <w:bottom w:val="single" w:color="117C74" w:sz="6" w:space="4"/>
        </w:pBdr>
        <w:spacing w:after="160" w:before="320"/>
      </w:pPr>
      <w:r>
        <w:rPr>
          <w:rFonts w:ascii="Calibri" w:cs="Calibri" w:eastAsia="Calibri" w:hAnsi="Calibri"/>
          <w:b/>
          <w:bCs/>
          <w:color w:val="24577F"/>
          <w:sz w:val="28"/>
          <w:szCs w:val="28"/>
        </w:rPr>
        <w:t xml:space="preserve">3. Objetivos del Proyecto</w:t>
      </w:r>
    </w:p>
    <w:p>
      <w:pPr>
        <w:pStyle w:val="Heading2"/>
        <w:spacing w:after="120" w:before="240"/>
      </w:pPr>
      <w:r>
        <w:rPr>
          <w:rFonts w:ascii="Calibri" w:cs="Calibri" w:eastAsia="Calibri" w:hAnsi="Calibri"/>
          <w:b/>
          <w:bCs/>
          <w:color w:val="117C74"/>
          <w:sz w:val="24"/>
          <w:szCs w:val="24"/>
        </w:rPr>
        <w:t xml:space="preserve">3.1 Objetivo General</w:t>
      </w:r>
    </w:p>
    <w:p>
      <w:pPr>
        <w:spacing w:after="140" w:line="300"/>
        <w:jc w:val="both"/>
      </w:pPr>
      <w:r>
        <w:rPr>
          <w:rFonts w:ascii="Calibri" w:cs="Calibri" w:eastAsia="Calibri" w:hAnsi="Calibri"/>
          <w:color w:val="243447"/>
          <w:sz w:val="21"/>
          <w:szCs w:val="21"/>
        </w:rPr>
        <w:t xml:space="preserve">Desarrollar una plataforma de banca online integral que permita a los clientes gestionar sus productos financieros digitales (cuentas, transferencias, préstamos y billetera) de forma segura, con controles internos de fraude, cumplimiento y trazabilidad, dentro del plazo de 18 semanas establecido por el curso.</w:t>
      </w:r>
    </w:p>
    <w:p>
      <w:pPr>
        <w:pStyle w:val="Heading2"/>
        <w:spacing w:after="120" w:before="240"/>
      </w:pPr>
      <w:r>
        <w:rPr>
          <w:rFonts w:ascii="Calibri" w:cs="Calibri" w:eastAsia="Calibri" w:hAnsi="Calibri"/>
          <w:b/>
          <w:bCs/>
          <w:color w:val="117C74"/>
          <w:sz w:val="24"/>
          <w:szCs w:val="24"/>
        </w:rPr>
        <w:t xml:space="preserve">3.2 Objetivos Específicos</w:t>
      </w:r>
    </w:p>
    <w:p>
      <w:pPr>
        <w:pStyle w:val="ListParagraph"/>
        <w:numPr>
          <w:ilvl w:val="0"/>
          <w:numId w:val="2"/>
        </w:numPr>
        <w:spacing w:after="80" w:line="280"/>
      </w:pPr>
      <w:r>
        <w:rPr>
          <w:rFonts w:ascii="Calibri" w:cs="Calibri" w:eastAsia="Calibri" w:hAnsi="Calibri"/>
          <w:color w:val="243447"/>
          <w:sz w:val="21"/>
          <w:szCs w:val="21"/>
        </w:rPr>
        <w:t xml:space="preserve">Implementar un módulo de identidad, acceso y seguridad que permita el registro validado del cliente y el control de accesos por rol.</w:t>
      </w:r>
    </w:p>
    <w:p>
      <w:pPr>
        <w:pStyle w:val="ListParagraph"/>
        <w:numPr>
          <w:ilvl w:val="0"/>
          <w:numId w:val="2"/>
        </w:numPr>
        <w:spacing w:after="80" w:line="280"/>
      </w:pPr>
      <w:r>
        <w:rPr>
          <w:rFonts w:ascii="Calibri" w:cs="Calibri" w:eastAsia="Calibri" w:hAnsi="Calibri"/>
          <w:color w:val="243447"/>
          <w:sz w:val="21"/>
          <w:szCs w:val="21"/>
        </w:rPr>
        <w:t xml:space="preserve">Construir el núcleo de cuentas y transferencias (propias, a terceros y entre entidades) con un motor transaccional que garantice integridad y trazabilidad.</w:t>
      </w:r>
    </w:p>
    <w:p>
      <w:pPr>
        <w:pStyle w:val="ListParagraph"/>
        <w:numPr>
          <w:ilvl w:val="0"/>
          <w:numId w:val="2"/>
        </w:numPr>
        <w:spacing w:after="80" w:line="280"/>
      </w:pPr>
      <w:r>
        <w:rPr>
          <w:rFonts w:ascii="Calibri" w:cs="Calibri" w:eastAsia="Calibri" w:hAnsi="Calibri"/>
          <w:color w:val="243447"/>
          <w:sz w:val="21"/>
          <w:szCs w:val="21"/>
        </w:rPr>
        <w:t xml:space="preserve">Desarrollar un ciclo digital de préstamos, desde la simulación hasta el desembolso y el cronograma de pagos.</w:t>
      </w:r>
    </w:p>
    <w:p>
      <w:pPr>
        <w:pStyle w:val="ListParagraph"/>
        <w:numPr>
          <w:ilvl w:val="0"/>
          <w:numId w:val="2"/>
        </w:numPr>
        <w:spacing w:after="80" w:line="280"/>
      </w:pPr>
      <w:r>
        <w:rPr>
          <w:rFonts w:ascii="Calibri" w:cs="Calibri" w:eastAsia="Calibri" w:hAnsi="Calibri"/>
          <w:color w:val="243447"/>
          <w:sz w:val="21"/>
          <w:szCs w:val="21"/>
        </w:rPr>
        <w:t xml:space="preserve">Implementar una billetera digital con pagos mediante código QR, incluyendo su generación, lectura y autorización segura.</w:t>
      </w:r>
    </w:p>
    <w:p>
      <w:pPr>
        <w:pStyle w:val="ListParagraph"/>
        <w:numPr>
          <w:ilvl w:val="0"/>
          <w:numId w:val="2"/>
        </w:numPr>
        <w:spacing w:after="80" w:line="280"/>
      </w:pPr>
      <w:r>
        <w:rPr>
          <w:rFonts w:ascii="Calibri" w:cs="Calibri" w:eastAsia="Calibri" w:hAnsi="Calibri"/>
          <w:color w:val="243447"/>
          <w:sz w:val="21"/>
          <w:szCs w:val="21"/>
        </w:rPr>
        <w:t xml:space="preserve">Establecer un mecanismo de control del dinero basado en partida doble, con conciliación entre los sistemas involucrados.</w:t>
      </w:r>
    </w:p>
    <w:p>
      <w:pPr>
        <w:pStyle w:val="ListParagraph"/>
        <w:numPr>
          <w:ilvl w:val="0"/>
          <w:numId w:val="2"/>
        </w:numPr>
        <w:spacing w:after="80" w:line="280"/>
      </w:pPr>
      <w:r>
        <w:rPr>
          <w:rFonts w:ascii="Calibri" w:cs="Calibri" w:eastAsia="Calibri" w:hAnsi="Calibri"/>
          <w:color w:val="243447"/>
          <w:sz w:val="21"/>
          <w:szCs w:val="21"/>
        </w:rPr>
        <w:t xml:space="preserve">Incorporar controles de monitoreo antifraude, cumplimiento y auditoría sobre las operaciones del sistema.</w:t>
      </w:r>
    </w:p>
    <w:p>
      <w:pPr>
        <w:pStyle w:val="ListParagraph"/>
        <w:numPr>
          <w:ilvl w:val="0"/>
          <w:numId w:val="2"/>
        </w:numPr>
        <w:spacing w:after="80" w:line="280"/>
      </w:pPr>
      <w:r>
        <w:rPr>
          <w:rFonts w:ascii="Calibri" w:cs="Calibri" w:eastAsia="Calibri" w:hAnsi="Calibri"/>
          <w:color w:val="243447"/>
          <w:sz w:val="21"/>
          <w:szCs w:val="21"/>
        </w:rPr>
        <w:t xml:space="preserve">Incluir funcionalidades de valor agregado: cuentas múltiples, cambio de divisas, metas de ahorro, pago de servicios y distribución automática de sueldo.</w:t>
      </w:r>
    </w:p>
    <w:p>
      <w:pPr>
        <w:pStyle w:val="Heading1"/>
        <w:pBdr>
          <w:bottom w:val="single" w:color="117C74" w:sz="6" w:space="4"/>
        </w:pBdr>
        <w:spacing w:after="160" w:before="320"/>
      </w:pPr>
      <w:r>
        <w:rPr>
          <w:rFonts w:ascii="Calibri" w:cs="Calibri" w:eastAsia="Calibri" w:hAnsi="Calibri"/>
          <w:b/>
          <w:bCs/>
          <w:color w:val="24577F"/>
          <w:sz w:val="28"/>
          <w:szCs w:val="28"/>
        </w:rPr>
        <w:t xml:space="preserve">4. Alcance del Proyecto</w:t>
      </w:r>
    </w:p>
    <w:p>
      <w:pPr>
        <w:pStyle w:val="Heading2"/>
        <w:spacing w:after="120" w:before="240"/>
      </w:pPr>
      <w:r>
        <w:rPr>
          <w:rFonts w:ascii="Calibri" w:cs="Calibri" w:eastAsia="Calibri" w:hAnsi="Calibri"/>
          <w:b/>
          <w:bCs/>
          <w:color w:val="117C74"/>
          <w:sz w:val="24"/>
          <w:szCs w:val="24"/>
        </w:rPr>
        <w:t xml:space="preserve">4.1 Incluye (dentro del alcance)</w:t>
      </w:r>
    </w:p>
    <w:p>
      <w:pPr>
        <w:pStyle w:val="ListParagraph"/>
        <w:numPr>
          <w:ilvl w:val="0"/>
          <w:numId w:val="2"/>
        </w:numPr>
        <w:spacing w:after="80" w:line="280"/>
      </w:pPr>
      <w:r>
        <w:rPr>
          <w:rFonts w:ascii="Calibri" w:cs="Calibri" w:eastAsia="Calibri" w:hAnsi="Calibri"/>
          <w:b/>
          <w:bCs/>
          <w:color w:val="17324D"/>
          <w:sz w:val="21"/>
          <w:szCs w:val="21"/>
        </w:rPr>
        <w:t xml:space="preserve">Identidad, acceso y seguridad — </w:t>
      </w:r>
      <w:r>
        <w:rPr>
          <w:rFonts w:ascii="Calibri" w:cs="Calibri" w:eastAsia="Calibri" w:hAnsi="Calibri"/>
          <w:color w:val="243447"/>
          <w:sz w:val="21"/>
          <w:szCs w:val="21"/>
        </w:rPr>
        <w:t xml:space="preserve">registro con validación de identidad (DNI + reconocimiento facial y prueba de vida), autenticación con un factor de verificación (huella, Face ID o PIN), gestión de roles y permisos, y recuperación de acceso.</w:t>
      </w:r>
    </w:p>
    <w:p>
      <w:pPr>
        <w:pStyle w:val="ListParagraph"/>
        <w:numPr>
          <w:ilvl w:val="0"/>
          <w:numId w:val="2"/>
        </w:numPr>
        <w:spacing w:after="80" w:line="280"/>
      </w:pPr>
      <w:r>
        <w:rPr>
          <w:rFonts w:ascii="Calibri" w:cs="Calibri" w:eastAsia="Calibri" w:hAnsi="Calibri"/>
          <w:b/>
          <w:bCs/>
          <w:color w:val="17324D"/>
          <w:sz w:val="21"/>
          <w:szCs w:val="21"/>
        </w:rPr>
        <w:t xml:space="preserve">Cuentas y transferencias — </w:t>
      </w:r>
      <w:r>
        <w:rPr>
          <w:rFonts w:ascii="Calibri" w:cs="Calibri" w:eastAsia="Calibri" w:hAnsi="Calibri"/>
          <w:color w:val="243447"/>
          <w:sz w:val="21"/>
          <w:szCs w:val="21"/>
        </w:rPr>
        <w:t xml:space="preserve">consulta de saldos y movimientos, cuentas múltiples por cliente, transferencias propias y a terceros (incluyendo transferencia interbancaria real con el sistema del equipo homólogo), gestión de beneficiarios y cambio de divisas.</w:t>
      </w:r>
    </w:p>
    <w:p>
      <w:pPr>
        <w:pStyle w:val="ListParagraph"/>
        <w:numPr>
          <w:ilvl w:val="0"/>
          <w:numId w:val="2"/>
        </w:numPr>
        <w:spacing w:after="80" w:line="280"/>
      </w:pPr>
      <w:r>
        <w:rPr>
          <w:rFonts w:ascii="Calibri" w:cs="Calibri" w:eastAsia="Calibri" w:hAnsi="Calibri"/>
          <w:b/>
          <w:bCs/>
          <w:color w:val="17324D"/>
          <w:sz w:val="21"/>
          <w:szCs w:val="21"/>
        </w:rPr>
        <w:t xml:space="preserve">Préstamos digitales — </w:t>
      </w:r>
      <w:r>
        <w:rPr>
          <w:rFonts w:ascii="Calibri" w:cs="Calibri" w:eastAsia="Calibri" w:hAnsi="Calibri"/>
          <w:color w:val="243447"/>
          <w:sz w:val="21"/>
          <w:szCs w:val="21"/>
        </w:rPr>
        <w:t xml:space="preserve">simulador de crédito, solicitud, evaluación mediante un motor de reglas de negocio, desembolso y cronograma de cuotas.</w:t>
      </w:r>
    </w:p>
    <w:p>
      <w:pPr>
        <w:pStyle w:val="ListParagraph"/>
        <w:numPr>
          <w:ilvl w:val="0"/>
          <w:numId w:val="2"/>
        </w:numPr>
        <w:spacing w:after="80" w:line="280"/>
      </w:pPr>
      <w:r>
        <w:rPr>
          <w:rFonts w:ascii="Calibri" w:cs="Calibri" w:eastAsia="Calibri" w:hAnsi="Calibri"/>
          <w:b/>
          <w:bCs/>
          <w:color w:val="17324D"/>
          <w:sz w:val="21"/>
          <w:szCs w:val="21"/>
        </w:rPr>
        <w:t xml:space="preserve">Billetera digital y pagos QR — </w:t>
      </w:r>
      <w:r>
        <w:rPr>
          <w:rFonts w:ascii="Calibri" w:cs="Calibri" w:eastAsia="Calibri" w:hAnsi="Calibri"/>
          <w:color w:val="243447"/>
          <w:sz w:val="21"/>
          <w:szCs w:val="21"/>
        </w:rPr>
        <w:t xml:space="preserve">recarga y retiro de fondos, generación y lectura de códigos QR, y autorización de pago con factor de verificación.</w:t>
      </w:r>
    </w:p>
    <w:p>
      <w:pPr>
        <w:pStyle w:val="ListParagraph"/>
        <w:numPr>
          <w:ilvl w:val="0"/>
          <w:numId w:val="2"/>
        </w:numPr>
        <w:spacing w:after="80" w:line="280"/>
      </w:pPr>
      <w:r>
        <w:rPr>
          <w:rFonts w:ascii="Calibri" w:cs="Calibri" w:eastAsia="Calibri" w:hAnsi="Calibri"/>
          <w:b/>
          <w:bCs/>
          <w:color w:val="17324D"/>
          <w:sz w:val="21"/>
          <w:szCs w:val="21"/>
        </w:rPr>
        <w:t xml:space="preserve">Procesamiento y control del dinero — </w:t>
      </w:r>
      <w:r>
        <w:rPr>
          <w:rFonts w:ascii="Calibri" w:cs="Calibri" w:eastAsia="Calibri" w:hAnsi="Calibri"/>
          <w:color w:val="243447"/>
          <w:sz w:val="21"/>
          <w:szCs w:val="21"/>
        </w:rPr>
        <w:t xml:space="preserve">motor transaccional (validación de saldo, límites y duplicidad), libro mayor con partida doble, y conciliación entre los sistemas y el equipo interbancario.</w:t>
      </w:r>
    </w:p>
    <w:p>
      <w:pPr>
        <w:pStyle w:val="ListParagraph"/>
        <w:numPr>
          <w:ilvl w:val="0"/>
          <w:numId w:val="2"/>
        </w:numPr>
        <w:spacing w:after="80" w:line="280"/>
      </w:pPr>
      <w:r>
        <w:rPr>
          <w:rFonts w:ascii="Calibri" w:cs="Calibri" w:eastAsia="Calibri" w:hAnsi="Calibri"/>
          <w:b/>
          <w:bCs/>
          <w:color w:val="17324D"/>
          <w:sz w:val="21"/>
          <w:szCs w:val="21"/>
        </w:rPr>
        <w:t xml:space="preserve">Fraude, auditoría y cumplimiento — </w:t>
      </w:r>
      <w:r>
        <w:rPr>
          <w:rFonts w:ascii="Calibri" w:cs="Calibri" w:eastAsia="Calibri" w:hAnsi="Calibri"/>
          <w:color w:val="243447"/>
          <w:sz w:val="21"/>
          <w:szCs w:val="21"/>
        </w:rPr>
        <w:t xml:space="preserve">monitoreo antifraude basado en reglas, consulta de trazabilidad para cumplimiento, notificaciones al cliente y registro de auditoría de solo lectura.</w:t>
      </w:r>
    </w:p>
    <w:p>
      <w:pPr>
        <w:pStyle w:val="ListParagraph"/>
        <w:numPr>
          <w:ilvl w:val="0"/>
          <w:numId w:val="2"/>
        </w:numPr>
        <w:spacing w:after="80" w:line="280"/>
      </w:pPr>
      <w:r>
        <w:rPr>
          <w:rFonts w:ascii="Calibri" w:cs="Calibri" w:eastAsia="Calibri" w:hAnsi="Calibri"/>
          <w:b/>
          <w:bCs/>
          <w:color w:val="17324D"/>
          <w:sz w:val="21"/>
          <w:szCs w:val="21"/>
        </w:rPr>
        <w:t xml:space="preserve">Beneficios adicionales — </w:t>
      </w:r>
      <w:r>
        <w:rPr>
          <w:rFonts w:ascii="Calibri" w:cs="Calibri" w:eastAsia="Calibri" w:hAnsi="Calibri"/>
          <w:color w:val="243447"/>
          <w:sz w:val="21"/>
          <w:szCs w:val="21"/>
        </w:rPr>
        <w:t xml:space="preserve">metas de ahorro y pago de servicios desde un catálogo de proveedores, y distribución automática del sueldo entre cuentas mediante reglas configurables.</w:t>
      </w:r>
    </w:p>
    <w:p>
      <w:pPr>
        <w:pStyle w:val="Heading2"/>
        <w:spacing w:after="120" w:before="240"/>
      </w:pPr>
      <w:r>
        <w:rPr>
          <w:rFonts w:ascii="Calibri" w:cs="Calibri" w:eastAsia="Calibri" w:hAnsi="Calibri"/>
          <w:b/>
          <w:bCs/>
          <w:color w:val="117C74"/>
          <w:sz w:val="24"/>
          <w:szCs w:val="24"/>
        </w:rPr>
        <w:t xml:space="preserve">4.2 No incluye (fuera del alcance) y limitaciones</w:t>
      </w:r>
    </w:p>
    <w:p>
      <w:pPr>
        <w:spacing w:after="140" w:line="300"/>
        <w:jc w:val="both"/>
      </w:pPr>
      <w:r>
        <w:rPr>
          <w:rFonts w:ascii="Calibri" w:cs="Calibri" w:eastAsia="Calibri" w:hAnsi="Calibri"/>
          <w:color w:val="243447"/>
          <w:sz w:val="21"/>
          <w:szCs w:val="21"/>
        </w:rPr>
        <w:t xml:space="preserve">Con el fin de mantener el proyecto dentro de lo razonable para un equipo estudiantil en 18 semanas, se establecen explícitamente los siguientes límites frente a lo que sería un sistema bancario de producción:</w:t>
      </w:r>
    </w:p>
    <w:p>
      <w:pPr>
        <w:pStyle w:val="ListParagraph"/>
        <w:numPr>
          <w:ilvl w:val="0"/>
          <w:numId w:val="2"/>
        </w:numPr>
        <w:spacing w:after="80" w:line="280"/>
      </w:pPr>
      <w:r>
        <w:rPr>
          <w:rFonts w:ascii="Calibri" w:cs="Calibri" w:eastAsia="Calibri" w:hAnsi="Calibri"/>
          <w:b/>
          <w:bCs/>
          <w:color w:val="17324D"/>
          <w:sz w:val="21"/>
          <w:szCs w:val="21"/>
        </w:rPr>
        <w:t xml:space="preserve">Validación de identidad real ante RENIEC u otra entidad oficial — </w:t>
      </w:r>
      <w:r>
        <w:rPr>
          <w:rFonts w:ascii="Calibri" w:cs="Calibri" w:eastAsia="Calibri" w:hAnsi="Calibri"/>
          <w:color w:val="243447"/>
          <w:sz w:val="21"/>
          <w:szCs w:val="21"/>
        </w:rPr>
        <w:t xml:space="preserve">el registro utiliza reconocimiento facial y prueba de vida (liveness) desarrollados por el propio equipo, más lectura OCR del DNI, pero no se valida contra una base de datos gubernamental real.</w:t>
      </w:r>
    </w:p>
    <w:p>
      <w:pPr>
        <w:pStyle w:val="ListParagraph"/>
        <w:numPr>
          <w:ilvl w:val="0"/>
          <w:numId w:val="2"/>
        </w:numPr>
        <w:spacing w:after="80" w:line="280"/>
      </w:pPr>
      <w:r>
        <w:rPr>
          <w:rFonts w:ascii="Calibri" w:cs="Calibri" w:eastAsia="Calibri" w:hAnsi="Calibri"/>
          <w:b/>
          <w:bCs/>
          <w:color w:val="17324D"/>
          <w:sz w:val="21"/>
          <w:szCs w:val="21"/>
        </w:rPr>
        <w:t xml:space="preserve">Autenticación biométrica de huella dactilar — </w:t>
      </w:r>
      <w:r>
        <w:rPr>
          <w:rFonts w:ascii="Calibri" w:cs="Calibri" w:eastAsia="Calibri" w:hAnsi="Calibri"/>
          <w:color w:val="243447"/>
          <w:sz w:val="21"/>
          <w:szCs w:val="21"/>
        </w:rPr>
        <w:t xml:space="preserve">no se implementa lectura de huella; se reemplaza por autenticación biométrica del propio dispositivo móvil (Face ID / equivalente Android), disponible únicamente en la versión móvil de la aplicación.</w:t>
      </w:r>
    </w:p>
    <w:p>
      <w:pPr>
        <w:pStyle w:val="ListParagraph"/>
        <w:numPr>
          <w:ilvl w:val="0"/>
          <w:numId w:val="2"/>
        </w:numPr>
        <w:spacing w:after="80" w:line="280"/>
      </w:pPr>
      <w:r>
        <w:rPr>
          <w:rFonts w:ascii="Calibri" w:cs="Calibri" w:eastAsia="Calibri" w:hAnsi="Calibri"/>
          <w:b/>
          <w:bCs/>
          <w:color w:val="17324D"/>
          <w:sz w:val="21"/>
          <w:szCs w:val="21"/>
        </w:rPr>
        <w:t xml:space="preserve">Doble factor de autenticación (MFA) — </w:t>
      </w:r>
      <w:r>
        <w:rPr>
          <w:rFonts w:ascii="Calibri" w:cs="Calibri" w:eastAsia="Calibri" w:hAnsi="Calibri"/>
          <w:color w:val="243447"/>
          <w:sz w:val="21"/>
          <w:szCs w:val="21"/>
        </w:rPr>
        <w:t xml:space="preserve">el sistema opera con un único factor de verificación por operación (huella, Face ID o PIN), no con la combinación de dos factores independientes.</w:t>
      </w:r>
    </w:p>
    <w:p>
      <w:pPr>
        <w:pStyle w:val="ListParagraph"/>
        <w:numPr>
          <w:ilvl w:val="0"/>
          <w:numId w:val="2"/>
        </w:numPr>
        <w:spacing w:after="80" w:line="280"/>
      </w:pPr>
      <w:r>
        <w:rPr>
          <w:rFonts w:ascii="Calibri" w:cs="Calibri" w:eastAsia="Calibri" w:hAnsi="Calibri"/>
          <w:b/>
          <w:bCs/>
          <w:color w:val="17324D"/>
          <w:sz w:val="21"/>
          <w:szCs w:val="21"/>
        </w:rPr>
        <w:t xml:space="preserve">Evaluación crediticia con modelos de riesgo o machine learning — </w:t>
      </w:r>
      <w:r>
        <w:rPr>
          <w:rFonts w:ascii="Calibri" w:cs="Calibri" w:eastAsia="Calibri" w:hAnsi="Calibri"/>
          <w:color w:val="243447"/>
          <w:sz w:val="21"/>
          <w:szCs w:val="21"/>
        </w:rPr>
        <w:t xml:space="preserve">la evaluación de préstamos se resuelve mediante un motor de reglas de negocio simple (ratio deuda/ingreso, tope de monto, historial interno), no mediante modelos de score reales ni fuentes externas de central de riesgo.</w:t>
      </w:r>
    </w:p>
    <w:p>
      <w:pPr>
        <w:pStyle w:val="ListParagraph"/>
        <w:numPr>
          <w:ilvl w:val="0"/>
          <w:numId w:val="2"/>
        </w:numPr>
        <w:spacing w:after="80" w:line="280"/>
      </w:pPr>
      <w:r>
        <w:rPr>
          <w:rFonts w:ascii="Calibri" w:cs="Calibri" w:eastAsia="Calibri" w:hAnsi="Calibri"/>
          <w:b/>
          <w:bCs/>
          <w:color w:val="17324D"/>
          <w:sz w:val="21"/>
          <w:szCs w:val="21"/>
        </w:rPr>
        <w:t xml:space="preserve">Interoperabilidad con redes de pago reales — </w:t>
      </w:r>
      <w:r>
        <w:rPr>
          <w:rFonts w:ascii="Calibri" w:cs="Calibri" w:eastAsia="Calibri" w:hAnsi="Calibri"/>
          <w:color w:val="243447"/>
          <w:sz w:val="21"/>
          <w:szCs w:val="21"/>
        </w:rPr>
        <w:t xml:space="preserve">los pagos QR y las transferencias a "otros bancos" son interoperables únicamente entre los dos sistemas desarrollados dentro del curso, no con redes bancarias o de pago reales.</w:t>
      </w:r>
    </w:p>
    <w:p>
      <w:pPr>
        <w:pStyle w:val="ListParagraph"/>
        <w:numPr>
          <w:ilvl w:val="0"/>
          <w:numId w:val="2"/>
        </w:numPr>
        <w:spacing w:after="80" w:line="280"/>
      </w:pPr>
      <w:r>
        <w:rPr>
          <w:rFonts w:ascii="Calibri" w:cs="Calibri" w:eastAsia="Calibri" w:hAnsi="Calibri"/>
          <w:b/>
          <w:bCs/>
          <w:color w:val="17324D"/>
          <w:sz w:val="21"/>
          <w:szCs w:val="21"/>
        </w:rPr>
        <w:t xml:space="preserve">Cumplimiento normativo real (SBS, UIF u organismos equivalentes) — </w:t>
      </w:r>
      <w:r>
        <w:rPr>
          <w:rFonts w:ascii="Calibri" w:cs="Calibri" w:eastAsia="Calibri" w:hAnsi="Calibri"/>
          <w:color w:val="243447"/>
          <w:sz w:val="21"/>
          <w:szCs w:val="21"/>
        </w:rPr>
        <w:t xml:space="preserve">los módulos de cumplimiento y prevención de fraude son representativos del proceso de control interno, pero no constituyen una implementación certificable ante un regulador.</w:t>
      </w:r>
    </w:p>
    <w:p>
      <w:pPr>
        <w:pStyle w:val="ListParagraph"/>
        <w:numPr>
          <w:ilvl w:val="0"/>
          <w:numId w:val="2"/>
        </w:numPr>
        <w:spacing w:after="80" w:line="280"/>
      </w:pPr>
      <w:r>
        <w:rPr>
          <w:rFonts w:ascii="Calibri" w:cs="Calibri" w:eastAsia="Calibri" w:hAnsi="Calibri"/>
          <w:b/>
          <w:bCs/>
          <w:color w:val="17324D"/>
          <w:sz w:val="21"/>
          <w:szCs w:val="21"/>
        </w:rPr>
        <w:t xml:space="preserve">Procesamiento de dinero real — </w:t>
      </w:r>
      <w:r>
        <w:rPr>
          <w:rFonts w:ascii="Calibri" w:cs="Calibri" w:eastAsia="Calibri" w:hAnsi="Calibri"/>
          <w:color w:val="243447"/>
          <w:sz w:val="21"/>
          <w:szCs w:val="21"/>
        </w:rPr>
        <w:t xml:space="preserve">todo el dinero gestionado por la plataforma es simulado; el sistema no procesa pagos con dinero real ni se conecta a pasarelas de pago comerciales.</w:t>
      </w:r>
    </w:p>
    <w:p>
      <w:pPr>
        <w:pStyle w:val="ListParagraph"/>
        <w:numPr>
          <w:ilvl w:val="0"/>
          <w:numId w:val="2"/>
        </w:numPr>
        <w:spacing w:after="80" w:line="280"/>
      </w:pPr>
      <w:r>
        <w:rPr>
          <w:rFonts w:ascii="Calibri" w:cs="Calibri" w:eastAsia="Calibri" w:hAnsi="Calibri"/>
          <w:b/>
          <w:bCs/>
          <w:color w:val="17324D"/>
          <w:sz w:val="21"/>
          <w:szCs w:val="21"/>
        </w:rPr>
        <w:t xml:space="preserve">Escalabilidad y disponibilidad de nivel productivo — </w:t>
      </w:r>
      <w:r>
        <w:rPr>
          <w:rFonts w:ascii="Calibri" w:cs="Calibri" w:eastAsia="Calibri" w:hAnsi="Calibri"/>
          <w:color w:val="243447"/>
          <w:sz w:val="21"/>
          <w:szCs w:val="21"/>
        </w:rPr>
        <w:t xml:space="preserve">no se diseñan mecanismos de alta disponibilidad, balanceo de carga ni recuperación ante desastres propios de un entorno bancario real.</w:t>
      </w:r>
    </w:p>
    <w:p>
      <w:pPr>
        <w:pStyle w:val="Heading1"/>
        <w:pBdr>
          <w:bottom w:val="single" w:color="117C74" w:sz="6" w:space="4"/>
        </w:pBdr>
        <w:spacing w:after="160" w:before="320"/>
      </w:pPr>
      <w:r>
        <w:rPr>
          <w:rFonts w:ascii="Calibri" w:cs="Calibri" w:eastAsia="Calibri" w:hAnsi="Calibri"/>
          <w:b/>
          <w:bCs/>
          <w:color w:val="24577F"/>
          <w:sz w:val="28"/>
          <w:szCs w:val="28"/>
        </w:rPr>
        <w:t xml:space="preserve">5. Restricciones del Proyecto</w:t>
      </w:r>
    </w:p>
    <w:p>
      <w:pPr>
        <w:pStyle w:val="ListParagraph"/>
        <w:numPr>
          <w:ilvl w:val="0"/>
          <w:numId w:val="2"/>
        </w:numPr>
        <w:spacing w:after="80" w:line="280"/>
      </w:pPr>
      <w:r>
        <w:rPr>
          <w:rFonts w:ascii="Calibri" w:cs="Calibri" w:eastAsia="Calibri" w:hAnsi="Calibri"/>
          <w:b/>
          <w:bCs/>
          <w:color w:val="17324D"/>
          <w:sz w:val="21"/>
          <w:szCs w:val="21"/>
        </w:rPr>
        <w:t xml:space="preserve">Tiempo — </w:t>
      </w:r>
      <w:r>
        <w:rPr>
          <w:rFonts w:ascii="Calibri" w:cs="Calibri" w:eastAsia="Calibri" w:hAnsi="Calibri"/>
          <w:color w:val="243447"/>
          <w:sz w:val="21"/>
          <w:szCs w:val="21"/>
        </w:rPr>
        <w:t xml:space="preserve">el proyecto debe completarse en 18 semanas, incluyendo análisis, diseño, 6 sprints de desarrollo y cierre/exposición.</w:t>
      </w:r>
    </w:p>
    <w:p>
      <w:pPr>
        <w:pStyle w:val="ListParagraph"/>
        <w:numPr>
          <w:ilvl w:val="0"/>
          <w:numId w:val="2"/>
        </w:numPr>
        <w:spacing w:after="80" w:line="280"/>
      </w:pPr>
      <w:r>
        <w:rPr>
          <w:rFonts w:ascii="Calibri" w:cs="Calibri" w:eastAsia="Calibri" w:hAnsi="Calibri"/>
          <w:b/>
          <w:bCs/>
          <w:color w:val="17324D"/>
          <w:sz w:val="21"/>
          <w:szCs w:val="21"/>
        </w:rPr>
        <w:t xml:space="preserve">Equipo — </w:t>
      </w:r>
      <w:r>
        <w:rPr>
          <w:rFonts w:ascii="Calibri" w:cs="Calibri" w:eastAsia="Calibri" w:hAnsi="Calibri"/>
          <w:color w:val="243447"/>
          <w:sz w:val="21"/>
          <w:szCs w:val="21"/>
        </w:rPr>
        <w:t xml:space="preserve">el desarrollo está a cargo de un equipo de 5 a 6 integrantes con roles fijos (Scrum Master, Backend, Frontend, Datos, QA/Seguridad y DevOps).</w:t>
      </w:r>
    </w:p>
    <w:p>
      <w:pPr>
        <w:pStyle w:val="ListParagraph"/>
        <w:numPr>
          <w:ilvl w:val="0"/>
          <w:numId w:val="2"/>
        </w:numPr>
        <w:spacing w:after="80" w:line="280"/>
      </w:pPr>
      <w:r>
        <w:rPr>
          <w:rFonts w:ascii="Calibri" w:cs="Calibri" w:eastAsia="Calibri" w:hAnsi="Calibri"/>
          <w:b/>
          <w:bCs/>
          <w:color w:val="17324D"/>
          <w:sz w:val="21"/>
          <w:szCs w:val="21"/>
        </w:rPr>
        <w:t xml:space="preserve">Presupuesto — </w:t>
      </w:r>
      <w:r>
        <w:rPr>
          <w:rFonts w:ascii="Calibri" w:cs="Calibri" w:eastAsia="Calibri" w:hAnsi="Calibri"/>
          <w:color w:val="243447"/>
          <w:sz w:val="21"/>
          <w:szCs w:val="21"/>
        </w:rPr>
        <w:t xml:space="preserve">el proyecto no cuenta con presupuesto asignado; solo se emplean herramientas, librerías y servicios de nivel gratuito.</w:t>
      </w:r>
    </w:p>
    <w:p>
      <w:pPr>
        <w:pStyle w:val="ListParagraph"/>
        <w:numPr>
          <w:ilvl w:val="0"/>
          <w:numId w:val="2"/>
        </w:numPr>
        <w:spacing w:after="80" w:line="280"/>
      </w:pPr>
      <w:r>
        <w:rPr>
          <w:rFonts w:ascii="Calibri" w:cs="Calibri" w:eastAsia="Calibri" w:hAnsi="Calibri"/>
          <w:b/>
          <w:bCs/>
          <w:color w:val="17324D"/>
          <w:sz w:val="21"/>
          <w:szCs w:val="21"/>
        </w:rPr>
        <w:t xml:space="preserve">Dependencia de un equipo externo — </w:t>
      </w:r>
      <w:r>
        <w:rPr>
          <w:rFonts w:ascii="Calibri" w:cs="Calibri" w:eastAsia="Calibri" w:hAnsi="Calibri"/>
          <w:color w:val="243447"/>
          <w:sz w:val="21"/>
          <w:szCs w:val="21"/>
        </w:rPr>
        <w:t xml:space="preserve">la funcionalidad de transferencia interbancaria depende de la disponibilidad y del contrato de API acordado con el equipo homólogo del curso; cualquier cambio en su sistema puede impactar el cronograma.</w:t>
      </w:r>
    </w:p>
    <w:p>
      <w:pPr>
        <w:pStyle w:val="ListParagraph"/>
        <w:numPr>
          <w:ilvl w:val="0"/>
          <w:numId w:val="2"/>
        </w:numPr>
        <w:spacing w:after="80" w:line="280"/>
      </w:pPr>
      <w:r>
        <w:rPr>
          <w:rFonts w:ascii="Calibri" w:cs="Calibri" w:eastAsia="Calibri" w:hAnsi="Calibri"/>
          <w:b/>
          <w:bCs/>
          <w:color w:val="17324D"/>
          <w:sz w:val="21"/>
          <w:szCs w:val="21"/>
        </w:rPr>
        <w:t xml:space="preserve">Servicios de terceros — </w:t>
      </w:r>
      <w:r>
        <w:rPr>
          <w:rFonts w:ascii="Calibri" w:cs="Calibri" w:eastAsia="Calibri" w:hAnsi="Calibri"/>
          <w:color w:val="243447"/>
          <w:sz w:val="21"/>
          <w:szCs w:val="21"/>
        </w:rPr>
        <w:t xml:space="preserve">la funcionalidad de cambio de divisas depende de una API externa de tipo de cambio de nivel gratuito, sujeta a límites de uso y disponibilidad fuera del control del equipo.</w:t>
      </w:r>
    </w:p>
    <w:p>
      <w:pPr>
        <w:pStyle w:val="Heading1"/>
        <w:pBdr>
          <w:bottom w:val="single" w:color="117C74" w:sz="6" w:space="4"/>
        </w:pBdr>
        <w:spacing w:after="160" w:before="320"/>
      </w:pPr>
      <w:r>
        <w:rPr>
          <w:rFonts w:ascii="Calibri" w:cs="Calibri" w:eastAsia="Calibri" w:hAnsi="Calibri"/>
          <w:b/>
          <w:bCs/>
          <w:color w:val="24577F"/>
          <w:sz w:val="28"/>
          <w:szCs w:val="28"/>
        </w:rPr>
        <w:t xml:space="preserve">6. Supuestos del Proyecto</w:t>
      </w:r>
    </w:p>
    <w:p>
      <w:pPr>
        <w:pStyle w:val="ListParagraph"/>
        <w:numPr>
          <w:ilvl w:val="0"/>
          <w:numId w:val="2"/>
        </w:numPr>
        <w:spacing w:after="80" w:line="280"/>
      </w:pPr>
      <w:r>
        <w:rPr>
          <w:rFonts w:ascii="Calibri" w:cs="Calibri" w:eastAsia="Calibri" w:hAnsi="Calibri"/>
          <w:color w:val="243447"/>
          <w:sz w:val="21"/>
          <w:szCs w:val="21"/>
        </w:rPr>
        <w:t xml:space="preserve">El equipo homólogo encargado del sistema bancario contraparte definirá y respetará un contrato de API estable para las transferencias interbancarias.</w:t>
      </w:r>
    </w:p>
    <w:p>
      <w:pPr>
        <w:pStyle w:val="ListParagraph"/>
        <w:numPr>
          <w:ilvl w:val="0"/>
          <w:numId w:val="2"/>
        </w:numPr>
        <w:spacing w:after="80" w:line="280"/>
      </w:pPr>
      <w:r>
        <w:rPr>
          <w:rFonts w:ascii="Calibri" w:cs="Calibri" w:eastAsia="Calibri" w:hAnsi="Calibri"/>
          <w:color w:val="243447"/>
          <w:sz w:val="21"/>
          <w:szCs w:val="21"/>
        </w:rPr>
        <w:t xml:space="preserve">El microservicio de reconocimiento facial y liveness ya desarrollado por el equipo continuará disponible e integrable durante todo el proyecto.</w:t>
      </w:r>
    </w:p>
    <w:p>
      <w:pPr>
        <w:pStyle w:val="ListParagraph"/>
        <w:numPr>
          <w:ilvl w:val="0"/>
          <w:numId w:val="2"/>
        </w:numPr>
        <w:spacing w:after="80" w:line="280"/>
      </w:pPr>
      <w:r>
        <w:rPr>
          <w:rFonts w:ascii="Calibri" w:cs="Calibri" w:eastAsia="Calibri" w:hAnsi="Calibri"/>
          <w:color w:val="243447"/>
          <w:sz w:val="21"/>
          <w:szCs w:val="21"/>
        </w:rPr>
        <w:t xml:space="preserve">Se contará con acceso a una API externa gratuita de tipo de cambio con disponibilidad suficiente para fines de demostración.</w:t>
      </w:r>
    </w:p>
    <w:p>
      <w:pPr>
        <w:pStyle w:val="ListParagraph"/>
        <w:numPr>
          <w:ilvl w:val="0"/>
          <w:numId w:val="2"/>
        </w:numPr>
        <w:spacing w:after="80" w:line="280"/>
      </w:pPr>
      <w:r>
        <w:rPr>
          <w:rFonts w:ascii="Calibri" w:cs="Calibri" w:eastAsia="Calibri" w:hAnsi="Calibri"/>
          <w:color w:val="243447"/>
          <w:sz w:val="21"/>
          <w:szCs w:val="21"/>
        </w:rPr>
        <w:t xml:space="preserve">Los datos utilizados en pruebas serán simulados o de prueba, sin información financiera ni personal real.</w:t>
      </w:r>
    </w:p>
    <w:p>
      <w:pPr>
        <w:pStyle w:val="ListParagraph"/>
        <w:numPr>
          <w:ilvl w:val="0"/>
          <w:numId w:val="2"/>
        </w:numPr>
        <w:spacing w:after="80" w:line="280"/>
      </w:pPr>
      <w:r>
        <w:rPr>
          <w:rFonts w:ascii="Calibri" w:cs="Calibri" w:eastAsia="Calibri" w:hAnsi="Calibri"/>
          <w:color w:val="243447"/>
          <w:sz w:val="21"/>
          <w:szCs w:val="21"/>
        </w:rPr>
        <w:t xml:space="preserve">El integrante pendiente de confirmar (rol DevOps e Integración) se incorporará al equipo antes del inicio del Sprint 1.</w:t>
      </w:r>
    </w:p>
    <w:p>
      <w:pPr>
        <w:pStyle w:val="Heading1"/>
        <w:pBdr>
          <w:bottom w:val="single" w:color="117C74" w:sz="6" w:space="4"/>
        </w:pBdr>
        <w:spacing w:after="160" w:before="320"/>
      </w:pPr>
      <w:r>
        <w:rPr>
          <w:rFonts w:ascii="Calibri" w:cs="Calibri" w:eastAsia="Calibri" w:hAnsi="Calibri"/>
          <w:b/>
          <w:bCs/>
          <w:color w:val="24577F"/>
          <w:sz w:val="28"/>
          <w:szCs w:val="28"/>
        </w:rPr>
        <w:t xml:space="preserve">7. Equipo del Proyecto</w:t>
      </w:r>
    </w:p>
    <w:p>
      <w:pPr>
        <w:spacing w:after="140" w:line="300"/>
        <w:jc w:val="both"/>
      </w:pPr>
      <w:r>
        <w:rPr>
          <w:rFonts w:ascii="Calibri" w:cs="Calibri" w:eastAsia="Calibri" w:hAnsi="Calibri"/>
          <w:color w:val="243447"/>
          <w:sz w:val="21"/>
          <w:szCs w:val="21"/>
        </w:rPr>
        <w:t xml:space="preserve">El proyecto se ejecuta bajo la metodología Scrum, con los siguientes integrantes y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600"/>
        <w:gridCol w:w="3000"/>
      </w:tblGrid>
      <w:tr>
        <w:trPr>
          <w:tblHeader/>
        </w:trPr>
        <w:tc>
          <w:tcPr>
            <w:tcW w:type="dxa" w:w="5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w:t>
            </w:r>
          </w:p>
        </w:tc>
        <w:tc>
          <w:tcPr>
            <w:tcW w:type="dxa" w:w="34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Integrante</w:t>
            </w:r>
          </w:p>
        </w:tc>
        <w:tc>
          <w:tcPr>
            <w:tcW w:type="dxa" w:w="26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 en el equipo</w:t>
            </w:r>
          </w:p>
        </w:tc>
        <w:tc>
          <w:tcPr>
            <w:tcW w:type="dxa" w:w="30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Especialidad</w:t>
            </w:r>
          </w:p>
        </w:tc>
      </w:tr>
      <w:tr>
        <w:tc>
          <w:tcPr>
            <w:tcW w:type="dxa" w:w="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1</w:t>
            </w:r>
          </w:p>
        </w:tc>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Jair Pool Conislla Bocangel</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Scrum Master</w:t>
            </w:r>
          </w:p>
        </w:tc>
        <w:tc>
          <w:tcPr>
            <w:tcW w:type="dxa" w:w="3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Gestión ágil y análisis funcional</w:t>
            </w:r>
          </w:p>
        </w:tc>
      </w:tr>
      <w:tr>
        <w:tc>
          <w:tcPr>
            <w:tcW w:type="dxa" w:w="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2</w:t>
            </w:r>
          </w:p>
        </w:tc>
        <w:tc>
          <w:tcPr>
            <w:tcW w:type="dxa" w:w="34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Jeremy Piero Rojas Egusquiza</w:t>
            </w:r>
          </w:p>
        </w:tc>
        <w:tc>
          <w:tcPr>
            <w:tcW w:type="dxa" w:w="26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Desarrollador Backend</w:t>
            </w:r>
          </w:p>
        </w:tc>
        <w:tc>
          <w:tcPr>
            <w:tcW w:type="dxa" w:w="3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API y servicios bancarios</w:t>
            </w:r>
          </w:p>
        </w:tc>
      </w:tr>
      <w:tr>
        <w:tc>
          <w:tcPr>
            <w:tcW w:type="dxa" w:w="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3</w:t>
            </w:r>
          </w:p>
        </w:tc>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Jheampierre Johayro Ralli Peralta</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Desarrollador Frontend</w:t>
            </w:r>
          </w:p>
        </w:tc>
        <w:tc>
          <w:tcPr>
            <w:tcW w:type="dxa" w:w="3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Interfaz y experiencia de usuario</w:t>
            </w:r>
          </w:p>
        </w:tc>
      </w:tr>
      <w:tr>
        <w:tc>
          <w:tcPr>
            <w:tcW w:type="dxa" w:w="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4</w:t>
            </w:r>
          </w:p>
        </w:tc>
        <w:tc>
          <w:tcPr>
            <w:tcW w:type="dxa" w:w="34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Andersson Junior Espinoza Medina</w:t>
            </w:r>
          </w:p>
        </w:tc>
        <w:tc>
          <w:tcPr>
            <w:tcW w:type="dxa" w:w="26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Desarrollador de Datos</w:t>
            </w:r>
          </w:p>
        </w:tc>
        <w:tc>
          <w:tcPr>
            <w:tcW w:type="dxa" w:w="3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Base de datos y lógica transaccional</w:t>
            </w:r>
          </w:p>
        </w:tc>
      </w:tr>
      <w:tr>
        <w:tc>
          <w:tcPr>
            <w:tcW w:type="dxa" w:w="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5</w:t>
            </w:r>
          </w:p>
        </w:tc>
        <w:tc>
          <w:tcPr>
            <w:tcW w:type="dxa" w:w="34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Gonzales Flores, Gian Piero</w:t>
            </w:r>
          </w:p>
        </w:tc>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Desarrollador QA y Seguridad</w:t>
            </w:r>
          </w:p>
        </w:tc>
        <w:tc>
          <w:tcPr>
            <w:tcW w:type="dxa" w:w="3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Pruebas, seguridad y fraude</w:t>
            </w:r>
          </w:p>
        </w:tc>
      </w:tr>
      <w:tr>
        <w:tc>
          <w:tcPr>
            <w:tcW w:type="dxa" w:w="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6</w:t>
            </w:r>
          </w:p>
        </w:tc>
        <w:tc>
          <w:tcPr>
            <w:tcW w:type="dxa" w:w="34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(Pendiente de confirmar)</w:t>
            </w:r>
          </w:p>
        </w:tc>
        <w:tc>
          <w:tcPr>
            <w:tcW w:type="dxa" w:w="26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Desarrollador DevOps e Integración</w:t>
            </w:r>
          </w:p>
        </w:tc>
        <w:tc>
          <w:tcPr>
            <w:tcW w:type="dxa" w:w="3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Entornos, automatización y observabilidad</w:t>
            </w:r>
          </w:p>
        </w:tc>
      </w:tr>
    </w:tbl>
    <w:p>
      <w:pPr>
        <w:spacing w:before="160"/>
      </w:pPr>
    </w:p>
    <w:p>
      <w:pPr>
        <w:pStyle w:val="Heading1"/>
        <w:pBdr>
          <w:bottom w:val="single" w:color="117C74" w:sz="6" w:space="4"/>
        </w:pBdr>
        <w:spacing w:after="160" w:before="320"/>
      </w:pPr>
      <w:r>
        <w:rPr>
          <w:rFonts w:ascii="Calibri" w:cs="Calibri" w:eastAsia="Calibri" w:hAnsi="Calibri"/>
          <w:b/>
          <w:bCs/>
          <w:color w:val="24577F"/>
          <w:sz w:val="28"/>
          <w:szCs w:val="28"/>
        </w:rPr>
        <w:t xml:space="preserve">8. Alcance Cuantificado del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Indicador</w:t>
            </w:r>
          </w:p>
        </w:tc>
        <w:tc>
          <w:tcPr>
            <w:tcW w:type="dxa" w:w="45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Resultado</w:t>
            </w:r>
          </w:p>
        </w:tc>
      </w:tr>
      <w:tr>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Épicas</w:t>
            </w:r>
          </w:p>
        </w:tc>
        <w:tc>
          <w:tcPr>
            <w:tcW w:type="dxa" w:w="45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7</w:t>
            </w:r>
          </w:p>
        </w:tc>
      </w:tr>
      <w:tr>
        <w:tc>
          <w:tcPr>
            <w:tcW w:type="dxa" w:w="45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Historias de usuario</w:t>
            </w:r>
          </w:p>
        </w:tc>
        <w:tc>
          <w:tcPr>
            <w:tcW w:type="dxa" w:w="45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28</w:t>
            </w:r>
          </w:p>
        </w:tc>
      </w:tr>
      <w:tr>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Historias en el MVP</w:t>
            </w:r>
          </w:p>
        </w:tc>
        <w:tc>
          <w:tcPr>
            <w:tcW w:type="dxa" w:w="45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25</w:t>
            </w:r>
          </w:p>
        </w:tc>
      </w:tr>
      <w:tr>
        <w:tc>
          <w:tcPr>
            <w:tcW w:type="dxa" w:w="45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Story Points del MVP</w:t>
            </w:r>
          </w:p>
        </w:tc>
        <w:tc>
          <w:tcPr>
            <w:tcW w:type="dxa" w:w="45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174</w:t>
            </w:r>
          </w:p>
        </w:tc>
      </w:tr>
      <w:tr>
        <w:tc>
          <w:tcPr>
            <w:tcW w:type="dxa" w:w="45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Sprints estimados</w:t>
            </w:r>
          </w:p>
        </w:tc>
        <w:tc>
          <w:tcPr>
            <w:tcW w:type="dxa" w:w="45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6</w:t>
            </w:r>
          </w:p>
        </w:tc>
      </w:tr>
      <w:tr>
        <w:tc>
          <w:tcPr>
            <w:tcW w:type="dxa" w:w="45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Duración total (planificación + desarrollo + cierre)</w:t>
            </w:r>
          </w:p>
        </w:tc>
        <w:tc>
          <w:tcPr>
            <w:tcW w:type="dxa" w:w="45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18 semanas</w:t>
            </w:r>
          </w:p>
        </w:tc>
      </w:tr>
    </w:tbl>
    <w:p>
      <w:pPr>
        <w:pStyle w:val="Heading1"/>
        <w:pBdr>
          <w:bottom w:val="single" w:color="117C74" w:sz="6" w:space="4"/>
        </w:pBdr>
        <w:spacing w:after="160" w:before="320"/>
      </w:pPr>
      <w:r>
        <w:rPr>
          <w:rFonts w:ascii="Calibri" w:cs="Calibri" w:eastAsia="Calibri" w:hAnsi="Calibri"/>
          <w:b/>
          <w:bCs/>
          <w:color w:val="24577F"/>
          <w:sz w:val="28"/>
          <w:szCs w:val="28"/>
        </w:rPr>
        <w:t xml:space="preserve">9. Cronograma General (Sprints del MVP)</w:t>
      </w:r>
    </w:p>
    <w:p>
      <w:pPr>
        <w:spacing w:after="140" w:line="300"/>
        <w:jc w:val="both"/>
      </w:pPr>
      <w:r>
        <w:rPr>
          <w:rFonts w:ascii="Calibri" w:cs="Calibri" w:eastAsia="Calibri" w:hAnsi="Calibri"/>
          <w:color w:val="243447"/>
          <w:sz w:val="21"/>
          <w:szCs w:val="21"/>
        </w:rPr>
        <w:t xml:space="preserve">El desarrollo se organiza en 6 sprints de 2 semanas cada uno, precedidos por 4 semanas de formación del equipo, análisis y diseño, y seguidos de 2 semanas de cierre, documentación y exposición final, para un total de 18 semanas.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000"/>
        <w:gridCol w:w="1500"/>
      </w:tblGrid>
      <w:tr>
        <w:trPr>
          <w:tblHeader/>
        </w:trPr>
        <w:tc>
          <w:tcPr>
            <w:tcW w:type="dxa" w:w="14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Sprint</w:t>
            </w:r>
          </w:p>
        </w:tc>
        <w:tc>
          <w:tcPr>
            <w:tcW w:type="dxa" w:w="16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Semanas</w:t>
            </w:r>
          </w:p>
        </w:tc>
        <w:tc>
          <w:tcPr>
            <w:tcW w:type="dxa" w:w="50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Objetivo</w:t>
            </w:r>
          </w:p>
        </w:tc>
        <w:tc>
          <w:tcPr>
            <w:tcW w:type="dxa" w:w="1500"/>
            <w:shd w:fill="24577F"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Story Points</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1</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5-6</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Identidad, autenticación y gobierno de accesos.</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23</w:t>
            </w:r>
          </w:p>
        </w:tc>
      </w:tr>
      <w:tr>
        <w:tc>
          <w:tcPr>
            <w:tcW w:type="dxa" w:w="14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2</w:t>
            </w:r>
          </w:p>
        </w:tc>
        <w:tc>
          <w:tcPr>
            <w:tcW w:type="dxa" w:w="16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7-8</w:t>
            </w:r>
          </w:p>
        </w:tc>
        <w:tc>
          <w:tcPr>
            <w:tcW w:type="dxa" w:w="5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Cuentas, motor transaccional y libro mayor.</w:t>
            </w:r>
          </w:p>
        </w:tc>
        <w:tc>
          <w:tcPr>
            <w:tcW w:type="dxa" w:w="1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31</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3</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9-10</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Transferencias propias, terceros y control antifraude.</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26</w:t>
            </w:r>
          </w:p>
        </w:tc>
      </w:tr>
      <w:tr>
        <w:tc>
          <w:tcPr>
            <w:tcW w:type="dxa" w:w="14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4</w:t>
            </w:r>
          </w:p>
        </w:tc>
        <w:tc>
          <w:tcPr>
            <w:tcW w:type="dxa" w:w="16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11-12</w:t>
            </w:r>
          </w:p>
        </w:tc>
        <w:tc>
          <w:tcPr>
            <w:tcW w:type="dxa" w:w="5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Ciclo digital de préstamos.</w:t>
            </w:r>
          </w:p>
        </w:tc>
        <w:tc>
          <w:tcPr>
            <w:tcW w:type="dxa" w:w="1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34</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5</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13-14</w:t>
            </w:r>
          </w:p>
        </w:tc>
        <w:tc>
          <w:tcPr>
            <w:tcW w:type="dxa" w:w="5000"/>
            <w:shd w:fill="FFFFFF"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Billetera y pagos QR interoperables.</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26</w:t>
            </w:r>
          </w:p>
        </w:tc>
      </w:tr>
      <w:tr>
        <w:tc>
          <w:tcPr>
            <w:tcW w:type="dxa" w:w="1400"/>
            <w:shd w:fill="DCEAF7" w:val="clear"/>
            <w:tcMar>
              <w:top w:type="dxa" w:w="70"/>
              <w:left w:type="dxa" w:w="100"/>
              <w:bottom w:type="dxa" w:w="70"/>
              <w:right w:type="dxa" w:w="100"/>
            </w:tcMar>
            <w:vAlign w:val="center"/>
          </w:tcPr>
          <w:p>
            <w:pPr>
              <w:jc w:val="center"/>
            </w:pPr>
            <w:r>
              <w:rPr>
                <w:rFonts w:ascii="Calibri" w:cs="Calibri" w:eastAsia="Calibri" w:hAnsi="Calibri"/>
                <w:b/>
                <w:bCs/>
                <w:color w:val="243447"/>
                <w:sz w:val="19"/>
                <w:szCs w:val="19"/>
              </w:rPr>
              <w:t xml:space="preserve">Sprint 6</w:t>
            </w:r>
          </w:p>
        </w:tc>
        <w:tc>
          <w:tcPr>
            <w:tcW w:type="dxa" w:w="16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Semanas 15-16</w:t>
            </w:r>
          </w:p>
        </w:tc>
        <w:tc>
          <w:tcPr>
            <w:tcW w:type="dxa" w:w="5000"/>
            <w:shd w:fill="DCEAF7" w:val="clear"/>
            <w:tcMar>
              <w:top w:type="dxa" w:w="70"/>
              <w:left w:type="dxa" w:w="100"/>
              <w:bottom w:type="dxa" w:w="70"/>
              <w:right w:type="dxa" w:w="100"/>
            </w:tcMar>
            <w:vAlign w:val="center"/>
          </w:tcPr>
          <w:p>
            <w:pPr>
              <w:jc w:val="left"/>
            </w:pPr>
            <w:r>
              <w:rPr>
                <w:rFonts w:ascii="Calibri" w:cs="Calibri" w:eastAsia="Calibri" w:hAnsi="Calibri"/>
                <w:b w:val="false"/>
                <w:bCs w:val="false"/>
                <w:color w:val="243447"/>
                <w:sz w:val="19"/>
                <w:szCs w:val="19"/>
              </w:rPr>
              <w:t xml:space="preserve">Conciliación, cumplimiento, alertas, cuentas avanzadas y estabilización.</w:t>
            </w:r>
          </w:p>
        </w:tc>
        <w:tc>
          <w:tcPr>
            <w:tcW w:type="dxa" w:w="1500"/>
            <w:shd w:fill="DCEAF7" w:val="clear"/>
            <w:tcMar>
              <w:top w:type="dxa" w:w="70"/>
              <w:left w:type="dxa" w:w="100"/>
              <w:bottom w:type="dxa" w:w="70"/>
              <w:right w:type="dxa" w:w="100"/>
            </w:tcMar>
            <w:vAlign w:val="center"/>
          </w:tcPr>
          <w:p>
            <w:pPr>
              <w:jc w:val="center"/>
            </w:pPr>
            <w:r>
              <w:rPr>
                <w:rFonts w:ascii="Calibri" w:cs="Calibri" w:eastAsia="Calibri" w:hAnsi="Calibri"/>
                <w:b w:val="false"/>
                <w:bCs w:val="false"/>
                <w:color w:val="243447"/>
                <w:sz w:val="19"/>
                <w:szCs w:val="19"/>
              </w:rPr>
              <w:t xml:space="preserve">34</w:t>
            </w:r>
          </w:p>
        </w:tc>
      </w:tr>
    </w:tbl>
    <w:p>
      <w:pPr>
        <w:pStyle w:val="Heading1"/>
        <w:pBdr>
          <w:bottom w:val="single" w:color="117C74" w:sz="6" w:space="4"/>
        </w:pBdr>
        <w:spacing w:after="160" w:before="320"/>
      </w:pPr>
      <w:r>
        <w:rPr>
          <w:rFonts w:ascii="Calibri" w:cs="Calibri" w:eastAsia="Calibri" w:hAnsi="Calibri"/>
          <w:b/>
          <w:bCs/>
          <w:color w:val="24577F"/>
          <w:sz w:val="28"/>
          <w:szCs w:val="28"/>
        </w:rPr>
        <w:t xml:space="preserve">10. Criterios de Éxito</w:t>
      </w:r>
    </w:p>
    <w:p>
      <w:pPr>
        <w:pStyle w:val="ListParagraph"/>
        <w:numPr>
          <w:ilvl w:val="0"/>
          <w:numId w:val="2"/>
        </w:numPr>
        <w:spacing w:after="80" w:line="280"/>
      </w:pPr>
      <w:r>
        <w:rPr>
          <w:rFonts w:ascii="Calibri" w:cs="Calibri" w:eastAsia="Calibri" w:hAnsi="Calibri"/>
          <w:color w:val="243447"/>
          <w:sz w:val="21"/>
          <w:szCs w:val="21"/>
        </w:rPr>
        <w:t xml:space="preserve">Las historias priorizadas como "Must" del MVP quedan implementadas y verificadas mediante sus criterios de aceptación.</w:t>
      </w:r>
    </w:p>
    <w:p>
      <w:pPr>
        <w:pStyle w:val="ListParagraph"/>
        <w:numPr>
          <w:ilvl w:val="0"/>
          <w:numId w:val="2"/>
        </w:numPr>
        <w:spacing w:after="80" w:line="280"/>
      </w:pPr>
      <w:r>
        <w:rPr>
          <w:rFonts w:ascii="Calibri" w:cs="Calibri" w:eastAsia="Calibri" w:hAnsi="Calibri"/>
          <w:color w:val="243447"/>
          <w:sz w:val="21"/>
          <w:szCs w:val="21"/>
        </w:rPr>
        <w:t xml:space="preserve">El motor transaccional y el libro mayor garantizan que ninguna operación quede contabilizada de forma parcial.</w:t>
      </w:r>
    </w:p>
    <w:p>
      <w:pPr>
        <w:pStyle w:val="ListParagraph"/>
        <w:numPr>
          <w:ilvl w:val="0"/>
          <w:numId w:val="2"/>
        </w:numPr>
        <w:spacing w:after="80" w:line="280"/>
      </w:pPr>
      <w:r>
        <w:rPr>
          <w:rFonts w:ascii="Calibri" w:cs="Calibri" w:eastAsia="Calibri" w:hAnsi="Calibri"/>
          <w:color w:val="243447"/>
          <w:sz w:val="21"/>
          <w:szCs w:val="21"/>
        </w:rPr>
        <w:t xml:space="preserve">La transferencia interbancaria con el equipo homólogo se ejecuta de punta a punta, incluyendo el manejo de tiempos de espera y reversos.</w:t>
      </w:r>
    </w:p>
    <w:p>
      <w:pPr>
        <w:pStyle w:val="ListParagraph"/>
        <w:numPr>
          <w:ilvl w:val="0"/>
          <w:numId w:val="2"/>
        </w:numPr>
        <w:spacing w:after="80" w:line="280"/>
      </w:pPr>
      <w:r>
        <w:rPr>
          <w:rFonts w:ascii="Calibri" w:cs="Calibri" w:eastAsia="Calibri" w:hAnsi="Calibri"/>
          <w:color w:val="243447"/>
          <w:sz w:val="21"/>
          <w:szCs w:val="21"/>
        </w:rPr>
        <w:t xml:space="preserve">El sistema demuestra control de accesos diferenciado por rol y trazabilidad completa de las operaciones (sin eliminación de registros, solo reversos).</w:t>
      </w:r>
    </w:p>
    <w:p>
      <w:pPr>
        <w:pStyle w:val="ListParagraph"/>
        <w:numPr>
          <w:ilvl w:val="0"/>
          <w:numId w:val="2"/>
        </w:numPr>
        <w:spacing w:after="80" w:line="280"/>
      </w:pPr>
      <w:r>
        <w:rPr>
          <w:rFonts w:ascii="Calibri" w:cs="Calibri" w:eastAsia="Calibri" w:hAnsi="Calibri"/>
          <w:color w:val="243447"/>
          <w:sz w:val="21"/>
          <w:szCs w:val="21"/>
        </w:rPr>
        <w:t xml:space="preserve">El equipo sustenta el proyecto en la semana 18 con una versión funcional del MVP.</w:t>
      </w:r>
    </w:p>
    <w:p>
      <w:pPr>
        <w:pStyle w:val="Heading1"/>
        <w:pBdr>
          <w:bottom w:val="single" w:color="117C74" w:sz="6" w:space="4"/>
        </w:pBdr>
        <w:spacing w:after="160" w:before="320"/>
      </w:pPr>
      <w:r>
        <w:rPr>
          <w:rFonts w:ascii="Calibri" w:cs="Calibri" w:eastAsia="Calibri" w:hAnsi="Calibri"/>
          <w:b/>
          <w:bCs/>
          <w:color w:val="24577F"/>
          <w:sz w:val="28"/>
          <w:szCs w:val="28"/>
        </w:rPr>
        <w:t xml:space="preserve">11. Aprobación del Acta</w:t>
      </w:r>
    </w:p>
    <w:p>
      <w:pPr>
        <w:spacing w:after="140" w:line="300"/>
        <w:jc w:val="both"/>
      </w:pPr>
      <w:r>
        <w:rPr>
          <w:rFonts w:ascii="Calibri" w:cs="Calibri" w:eastAsia="Calibri" w:hAnsi="Calibri"/>
          <w:color w:val="243447"/>
          <w:sz w:val="21"/>
          <w:szCs w:val="21"/>
        </w:rPr>
        <w:t xml:space="preserve">Con la firma del presente documento, los integrantes del equipo y el docente responsable del curso reconocen y aceptan el alcance, los objetivos y las limitaciones aquí establecidos como el marco de referencia oficial del proyecto.</w:t>
      </w:r>
    </w:p>
    <w:p>
      <w:pPr>
        <w:spacing w:before="500"/>
      </w:pPr>
    </w:p>
    <w:tbl>
      <w:tblPr>
        <w:tblW w:type="dxa" w:w="9500"/>
        <w:tblBorders>
          <w:top w:val="none"/>
          <w:left w:val="none"/>
          <w:bottom w:val="none"/>
          <w:right w:val="none"/>
          <w:insideH w:val="none"/>
          <w:insideV w:val="none"/>
        </w:tblBorders>
      </w:tblPr>
      <w:tblGrid>
        <w:gridCol w:w="4750"/>
        <w:gridCol w:w="4750"/>
      </w:tblGrid>
      <w:tr>
        <w:tc>
          <w:tcPr>
            <w:tcW w:type="dxa" w:w="4750"/>
            <w:tcBorders>
              <w:top w:val="single" w:color="999999" w:sz="4"/>
            </w:tcBorders>
            <w:tcMar>
              <w:top w:type="dxa" w:w="200"/>
            </w:tcMar>
          </w:tcPr>
          <w:p>
            <w:pPr>
              <w:jc w:val="center"/>
            </w:pPr>
            <w:r>
              <w:rPr>
                <w:rFonts w:ascii="Calibri" w:cs="Calibri" w:eastAsia="Calibri" w:hAnsi="Calibri"/>
                <w:color w:val="243447"/>
                <w:sz w:val="19"/>
                <w:szCs w:val="19"/>
              </w:rPr>
              <w:t xml:space="preserve">Scrum Master</w:t>
            </w:r>
          </w:p>
        </w:tc>
        <w:tc>
          <w:tcPr>
            <w:tcW w:type="dxa" w:w="4750"/>
            <w:tcBorders>
              <w:top w:val="single" w:color="999999" w:sz="4"/>
            </w:tcBorders>
            <w:tcMar>
              <w:top w:type="dxa" w:w="200"/>
            </w:tcMar>
          </w:tcPr>
          <w:p>
            <w:pPr>
              <w:jc w:val="center"/>
            </w:pPr>
            <w:r>
              <w:rPr>
                <w:rFonts w:ascii="Calibri" w:cs="Calibri" w:eastAsia="Calibri" w:hAnsi="Calibri"/>
                <w:color w:val="243447"/>
                <w:sz w:val="19"/>
                <w:szCs w:val="19"/>
              </w:rPr>
              <w:t xml:space="preserve">Docente del curso</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Acta de Constitución del Proyecto — Banca Online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2026-08-20T05:37:08.054Z</dcterms:created>
  <dcterms:modified xsi:type="dcterms:W3CDTF">2026-08-20T05:37:08.067Z</dcterms:modified>
</cp:coreProperties>
</file>

<file path=docProps/custom.xml><?xml version="1.0" encoding="utf-8"?>
<Properties xmlns="http://schemas.openxmlformats.org/officeDocument/2006/custom-properties" xmlns:vt="http://schemas.openxmlformats.org/officeDocument/2006/docPropsVTypes"/>
</file>