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xg9f4u423lz" w:id="0"/>
      <w:bookmarkEnd w:id="0"/>
      <w:r w:rsidDel="00000000" w:rsidR="00000000" w:rsidRPr="00000000">
        <w:rPr>
          <w:b w:val="1"/>
          <w:sz w:val="46"/>
          <w:szCs w:val="46"/>
          <w:rtl w:val="0"/>
        </w:rPr>
        <w:t xml:space="preserve">Research Review, Reproduction &amp; Analysis</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Title:</w:t>
      </w:r>
      <w:r w:rsidDel="00000000" w:rsidR="00000000" w:rsidRPr="00000000">
        <w:rPr>
          <w:rtl w:val="0"/>
        </w:rPr>
        <w:t xml:space="preserve"> Forecasting Food Vendor Sales at Amusement Parks</w:t>
        <w:br w:type="textWrapping"/>
      </w:r>
      <w:r w:rsidDel="00000000" w:rsidR="00000000" w:rsidRPr="00000000">
        <w:rPr>
          <w:b w:val="1"/>
          <w:rtl w:val="0"/>
        </w:rPr>
        <w:t xml:space="preserve">Student:</w:t>
      </w:r>
      <w:r w:rsidDel="00000000" w:rsidR="00000000" w:rsidRPr="00000000">
        <w:rPr>
          <w:rtl w:val="0"/>
        </w:rPr>
        <w:t xml:space="preserve"> Jedda McKay</w:t>
        <w:br w:type="textWrapping"/>
      </w:r>
      <w:r w:rsidDel="00000000" w:rsidR="00000000" w:rsidRPr="00000000">
        <w:rPr>
          <w:b w:val="1"/>
          <w:rtl w:val="0"/>
        </w:rPr>
        <w:t xml:space="preserve">Date:</w:t>
      </w:r>
      <w:r w:rsidDel="00000000" w:rsidR="00000000" w:rsidRPr="00000000">
        <w:rPr>
          <w:rtl w:val="0"/>
        </w:rPr>
        <w:t xml:space="preserve"> June 2025</w:t>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research review explores predictive modeling approaches related to food sales forecasting in high-traffic environments like amusement parks. The objective is to identify relevant academic studies and existing machine learning models, assess their performance, attempt reproduction using available code, and analyze how this work informs the proposed capstone.</w:t>
      </w:r>
    </w:p>
    <w:p w:rsidR="00000000" w:rsidDel="00000000" w:rsidP="00000000" w:rsidRDefault="00000000" w:rsidRPr="00000000" w14:paraId="00000005">
      <w:pPr>
        <w:rPr>
          <w:b w:val="1"/>
          <w:sz w:val="34"/>
          <w:szCs w:val="34"/>
        </w:rPr>
      </w:pPr>
      <w:r w:rsidDel="00000000" w:rsidR="00000000" w:rsidRPr="00000000">
        <w:rPr>
          <w:b w:val="1"/>
          <w:sz w:val="34"/>
          <w:szCs w:val="34"/>
          <w:rtl w:val="0"/>
        </w:rPr>
        <w:t xml:space="preserve">2. Literature Review Summary</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75nvwriulpnv" w:id="1"/>
      <w:bookmarkEnd w:id="1"/>
      <w:r w:rsidDel="00000000" w:rsidR="00000000" w:rsidRPr="00000000">
        <w:rPr>
          <w:b w:val="1"/>
          <w:color w:val="000000"/>
          <w:sz w:val="26"/>
          <w:szCs w:val="26"/>
          <w:rtl w:val="0"/>
        </w:rPr>
        <w:t xml:space="preserve">2.1 A Stacking Ensemble Model for Food Demand Forecasting</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Authors</w:t>
      </w:r>
      <w:r w:rsidDel="00000000" w:rsidR="00000000" w:rsidRPr="00000000">
        <w:rPr>
          <w:rtl w:val="0"/>
        </w:rPr>
        <w:t xml:space="preserve">: Karaoglan et al. (2024)</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Summary</w:t>
      </w:r>
      <w:r w:rsidDel="00000000" w:rsidR="00000000" w:rsidRPr="00000000">
        <w:rPr>
          <w:rtl w:val="0"/>
        </w:rPr>
        <w:t xml:space="preserve">: This paper presents a stacking ensemble model using Random Forest, XGBoost, and Gradient Boosting for food sales prediction. It targets retail contexts to minimize food waste through accurate forecasting.</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The ensemble method can be adapted to park vendor contexts, providing robustness and accuracy across vendor types.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Link</w:t>
      </w:r>
      <w:r w:rsidDel="00000000" w:rsidR="00000000" w:rsidRPr="00000000">
        <w:rPr>
          <w:rtl w:val="0"/>
        </w:rPr>
        <w:t xml:space="preserve">: </w:t>
      </w:r>
      <w:hyperlink r:id="rId6">
        <w:r w:rsidDel="00000000" w:rsidR="00000000" w:rsidRPr="00000000">
          <w:rPr>
            <w:color w:val="1155cc"/>
            <w:u w:val="single"/>
            <w:rtl w:val="0"/>
          </w:rPr>
          <w:t xml:space="preserve">ScienceDirect</w:t>
        </w:r>
      </w:hyperlink>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zlkx2pvul02" w:id="2"/>
      <w:bookmarkEnd w:id="2"/>
      <w:r w:rsidDel="00000000" w:rsidR="00000000" w:rsidRPr="00000000">
        <w:rPr>
          <w:b w:val="1"/>
          <w:color w:val="000000"/>
          <w:sz w:val="26"/>
          <w:szCs w:val="26"/>
          <w:rtl w:val="0"/>
        </w:rPr>
        <w:t xml:space="preserve">2.2 Machine Learning Based Restaurant Sales Forecasting</w:t>
      </w:r>
    </w:p>
    <w:p w:rsidR="00000000" w:rsidDel="00000000" w:rsidP="00000000" w:rsidRDefault="00000000" w:rsidRPr="00000000" w14:paraId="0000000C">
      <w:pPr>
        <w:numPr>
          <w:ilvl w:val="0"/>
          <w:numId w:val="10"/>
        </w:numPr>
        <w:spacing w:after="0" w:afterAutospacing="0" w:before="240" w:lineRule="auto"/>
        <w:ind w:left="720" w:hanging="360"/>
      </w:pPr>
      <w:r w:rsidDel="00000000" w:rsidR="00000000" w:rsidRPr="00000000">
        <w:rPr>
          <w:b w:val="1"/>
          <w:rtl w:val="0"/>
        </w:rPr>
        <w:t xml:space="preserve">Authors</w:t>
      </w:r>
      <w:r w:rsidDel="00000000" w:rsidR="00000000" w:rsidRPr="00000000">
        <w:rPr>
          <w:rtl w:val="0"/>
        </w:rPr>
        <w:t xml:space="preserve">: M. Jamal et al.</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b w:val="1"/>
          <w:rtl w:val="0"/>
        </w:rPr>
        <w:t xml:space="preserve">Summary</w:t>
      </w:r>
      <w:r w:rsidDel="00000000" w:rsidR="00000000" w:rsidRPr="00000000">
        <w:rPr>
          <w:rtl w:val="0"/>
        </w:rPr>
        <w:t xml:space="preserve">: Compares ML models like Decision Trees, Support Vector Machines, and Recurrent Neural Networks. Key features include date, time, and weather.</w:t>
      </w:r>
    </w:p>
    <w:p w:rsidR="00000000" w:rsidDel="00000000" w:rsidP="00000000" w:rsidRDefault="00000000" w:rsidRPr="00000000" w14:paraId="0000000E">
      <w:pPr>
        <w:numPr>
          <w:ilvl w:val="0"/>
          <w:numId w:val="10"/>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Time- and weather-driven demand insights align with expected seasonal/temporal fluctuations in amusement park sales.</w:t>
      </w:r>
    </w:p>
    <w:p w:rsidR="00000000" w:rsidDel="00000000" w:rsidP="00000000" w:rsidRDefault="00000000" w:rsidRPr="00000000" w14:paraId="0000000F">
      <w:pPr>
        <w:numPr>
          <w:ilvl w:val="0"/>
          <w:numId w:val="10"/>
        </w:numPr>
        <w:spacing w:after="240" w:before="0" w:beforeAutospacing="0" w:lineRule="auto"/>
        <w:ind w:left="720" w:hanging="360"/>
      </w:pPr>
      <w:r w:rsidDel="00000000" w:rsidR="00000000" w:rsidRPr="00000000">
        <w:rPr>
          <w:b w:val="1"/>
          <w:rtl w:val="0"/>
        </w:rPr>
        <w:t xml:space="preserve">Link</w:t>
      </w:r>
      <w:r w:rsidDel="00000000" w:rsidR="00000000" w:rsidRPr="00000000">
        <w:rPr>
          <w:rtl w:val="0"/>
        </w:rPr>
        <w:t xml:space="preserve">: </w:t>
      </w:r>
      <w:hyperlink r:id="rId7">
        <w:r w:rsidDel="00000000" w:rsidR="00000000" w:rsidRPr="00000000">
          <w:rPr>
            <w:color w:val="1155cc"/>
            <w:u w:val="single"/>
            <w:rtl w:val="0"/>
          </w:rPr>
          <w:t xml:space="preserve">MDPI</w:t>
        </w:r>
      </w:hyperlink>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2mcrsvjabt8p" w:id="3"/>
      <w:bookmarkEnd w:id="3"/>
      <w:r w:rsidDel="00000000" w:rsidR="00000000" w:rsidRPr="00000000">
        <w:rPr>
          <w:b w:val="1"/>
          <w:color w:val="000000"/>
          <w:sz w:val="26"/>
          <w:szCs w:val="26"/>
          <w:rtl w:val="0"/>
        </w:rPr>
        <w:t xml:space="preserve">2.3 Demand Forecasting in the Food Industry</w:t>
      </w:r>
    </w:p>
    <w:p w:rsidR="00000000" w:rsidDel="00000000" w:rsidP="00000000" w:rsidRDefault="00000000" w:rsidRPr="00000000" w14:paraId="00000011">
      <w:pPr>
        <w:numPr>
          <w:ilvl w:val="0"/>
          <w:numId w:val="9"/>
        </w:numPr>
        <w:spacing w:after="0" w:afterAutospacing="0" w:before="240" w:lineRule="auto"/>
        <w:ind w:left="720" w:hanging="360"/>
      </w:pPr>
      <w:r w:rsidDel="00000000" w:rsidR="00000000" w:rsidRPr="00000000">
        <w:rPr>
          <w:b w:val="1"/>
          <w:rtl w:val="0"/>
        </w:rPr>
        <w:t xml:space="preserve">Authors</w:t>
      </w:r>
      <w:r w:rsidDel="00000000" w:rsidR="00000000" w:rsidRPr="00000000">
        <w:rPr>
          <w:rtl w:val="0"/>
        </w:rPr>
        <w:t xml:space="preserve">: Barata et al.</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Summary</w:t>
      </w:r>
      <w:r w:rsidDel="00000000" w:rsidR="00000000" w:rsidRPr="00000000">
        <w:rPr>
          <w:rtl w:val="0"/>
        </w:rPr>
        <w:t xml:space="preserve">: Highlights the application of time series forecasting in a delicatessen setting. Emphasizes operational planning and perishable inventory management.</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While focused on retail, the emphasis on perishable goods and scheduling aligns with park food vendor challenges.</w:t>
      </w:r>
    </w:p>
    <w:p w:rsidR="00000000" w:rsidDel="00000000" w:rsidP="00000000" w:rsidRDefault="00000000" w:rsidRPr="00000000" w14:paraId="00000014">
      <w:pPr>
        <w:numPr>
          <w:ilvl w:val="0"/>
          <w:numId w:val="9"/>
        </w:numPr>
        <w:spacing w:after="240" w:before="0" w:beforeAutospacing="0" w:lineRule="auto"/>
        <w:ind w:left="720" w:hanging="360"/>
      </w:pPr>
      <w:r w:rsidDel="00000000" w:rsidR="00000000" w:rsidRPr="00000000">
        <w:rPr>
          <w:b w:val="1"/>
          <w:rtl w:val="0"/>
        </w:rPr>
        <w:t xml:space="preserve">Link</w:t>
      </w:r>
      <w:r w:rsidDel="00000000" w:rsidR="00000000" w:rsidRPr="00000000">
        <w:rPr>
          <w:rtl w:val="0"/>
        </w:rPr>
        <w:t xml:space="preserve">: </w:t>
      </w:r>
      <w:hyperlink r:id="rId8">
        <w:r w:rsidDel="00000000" w:rsidR="00000000" w:rsidRPr="00000000">
          <w:rPr>
            <w:color w:val="1155cc"/>
            <w:u w:val="single"/>
            <w:rtl w:val="0"/>
          </w:rPr>
          <w:t xml:space="preserve">ResearchGate</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85ihy3fakvjr" w:id="4"/>
      <w:bookmarkEnd w:id="4"/>
      <w:r w:rsidDel="00000000" w:rsidR="00000000" w:rsidRPr="00000000">
        <w:rPr>
          <w:b w:val="1"/>
          <w:sz w:val="34"/>
          <w:szCs w:val="34"/>
          <w:rtl w:val="0"/>
        </w:rPr>
        <w:t xml:space="preserve">3. Open-Source Code Repositories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2or3fwmp1b0l" w:id="5"/>
      <w:bookmarkEnd w:id="5"/>
      <w:r w:rsidDel="00000000" w:rsidR="00000000" w:rsidRPr="00000000">
        <w:rPr>
          <w:b w:val="1"/>
          <w:color w:val="000000"/>
          <w:sz w:val="26"/>
          <w:szCs w:val="26"/>
          <w:rtl w:val="0"/>
        </w:rPr>
        <w:t xml:space="preserve">3.1 food-demand-forecasting (GitHub)</w:t>
      </w:r>
    </w:p>
    <w:p w:rsidR="00000000" w:rsidDel="00000000" w:rsidP="00000000" w:rsidRDefault="00000000" w:rsidRPr="00000000" w14:paraId="00000018">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Uses LSTM and Random Forest on historical food sales data from Kaggle. Includes preprocessing and model training scripts.</w:t>
      </w:r>
    </w:p>
    <w:p w:rsidR="00000000" w:rsidDel="00000000" w:rsidP="00000000" w:rsidRDefault="00000000" w:rsidRPr="00000000" w14:paraId="00000019">
      <w:pPr>
        <w:numPr>
          <w:ilvl w:val="0"/>
          <w:numId w:val="12"/>
        </w:numPr>
        <w:spacing w:after="240" w:before="0" w:beforeAutospacing="0" w:lineRule="auto"/>
        <w:ind w:left="720" w:hanging="360"/>
      </w:pPr>
      <w:r w:rsidDel="00000000" w:rsidR="00000000" w:rsidRPr="00000000">
        <w:rPr>
          <w:b w:val="1"/>
          <w:rtl w:val="0"/>
        </w:rPr>
        <w:t xml:space="preserve">Link</w:t>
      </w:r>
      <w:r w:rsidDel="00000000" w:rsidR="00000000" w:rsidRPr="00000000">
        <w:rPr>
          <w:rtl w:val="0"/>
        </w:rPr>
        <w:t xml:space="preserve">: </w:t>
      </w:r>
      <w:hyperlink r:id="rId9">
        <w:r w:rsidDel="00000000" w:rsidR="00000000" w:rsidRPr="00000000">
          <w:rPr>
            <w:color w:val="1155cc"/>
            <w:u w:val="single"/>
            <w:rtl w:val="0"/>
          </w:rPr>
          <w:t xml:space="preserve">GitHub - Erdos1729/food-demand-forecasting</w:t>
        </w:r>
      </w:hyperlink>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75pp1ehlmmgs" w:id="6"/>
      <w:bookmarkEnd w:id="6"/>
      <w:r w:rsidDel="00000000" w:rsidR="00000000" w:rsidRPr="00000000">
        <w:rPr>
          <w:b w:val="1"/>
          <w:color w:val="000000"/>
          <w:sz w:val="26"/>
          <w:szCs w:val="26"/>
          <w:rtl w:val="0"/>
        </w:rPr>
        <w:t xml:space="preserve">3.2 Grocery Sales Forecasting (Medium)</w:t>
      </w:r>
    </w:p>
    <w:p w:rsidR="00000000" w:rsidDel="00000000" w:rsidP="00000000" w:rsidRDefault="00000000" w:rsidRPr="00000000" w14:paraId="0000001B">
      <w:pPr>
        <w:numPr>
          <w:ilvl w:val="0"/>
          <w:numId w:val="1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Implements XGBoost to forecast grocery sales using features like calendar events and promotions.</w:t>
      </w:r>
    </w:p>
    <w:p w:rsidR="00000000" w:rsidDel="00000000" w:rsidP="00000000" w:rsidRDefault="00000000" w:rsidRPr="00000000" w14:paraId="0000001C">
      <w:pPr>
        <w:numPr>
          <w:ilvl w:val="0"/>
          <w:numId w:val="15"/>
        </w:numPr>
        <w:spacing w:after="240" w:before="0" w:beforeAutospacing="0" w:lineRule="auto"/>
        <w:ind w:left="720" w:hanging="360"/>
      </w:pPr>
      <w:r w:rsidDel="00000000" w:rsidR="00000000" w:rsidRPr="00000000">
        <w:rPr>
          <w:b w:val="1"/>
          <w:rtl w:val="0"/>
        </w:rPr>
        <w:t xml:space="preserve">Link</w:t>
      </w:r>
      <w:r w:rsidDel="00000000" w:rsidR="00000000" w:rsidRPr="00000000">
        <w:rPr>
          <w:rtl w:val="0"/>
        </w:rPr>
        <w:t xml:space="preserve">: </w:t>
      </w:r>
      <w:hyperlink r:id="rId10">
        <w:r w:rsidDel="00000000" w:rsidR="00000000" w:rsidRPr="00000000">
          <w:rPr>
            <w:color w:val="1155cc"/>
            <w:u w:val="single"/>
            <w:rtl w:val="0"/>
          </w:rPr>
          <w:t xml:space="preserve">Real-world Grocery Demand Forecasting</w:t>
        </w:r>
      </w:hyperlink>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rmo1dkq7nybi" w:id="7"/>
      <w:bookmarkEnd w:id="7"/>
      <w:r w:rsidDel="00000000" w:rsidR="00000000" w:rsidRPr="00000000">
        <w:rPr>
          <w:b w:val="1"/>
          <w:color w:val="000000"/>
          <w:sz w:val="26"/>
          <w:szCs w:val="26"/>
          <w:rtl w:val="0"/>
        </w:rPr>
        <w:t xml:space="preserve">3.3 Forecasting with Prophet (Kaggle)</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Demonstrates Facebook Prophet on univariate sales data with seasonality, holidays, and trend changepoints.</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Link</w:t>
      </w:r>
      <w:r w:rsidDel="00000000" w:rsidR="00000000" w:rsidRPr="00000000">
        <w:rPr>
          <w:rtl w:val="0"/>
        </w:rPr>
        <w:t xml:space="preserve">: </w:t>
      </w:r>
      <w:hyperlink r:id="rId11">
        <w:r w:rsidDel="00000000" w:rsidR="00000000" w:rsidRPr="00000000">
          <w:rPr>
            <w:color w:val="1155cc"/>
            <w:u w:val="single"/>
            <w:rtl w:val="0"/>
          </w:rPr>
          <w:t xml:space="preserve">Kaggle Notebook</w:t>
        </w:r>
      </w:hyperlink>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2xxhvcu213jq" w:id="8"/>
      <w:bookmarkEnd w:id="8"/>
      <w:r w:rsidDel="00000000" w:rsidR="00000000" w:rsidRPr="00000000">
        <w:rPr>
          <w:b w:val="1"/>
          <w:sz w:val="34"/>
          <w:szCs w:val="34"/>
          <w:rtl w:val="0"/>
        </w:rPr>
        <w:t xml:space="preserve">4. Reproduced Models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kblwbvyytqq" w:id="9"/>
      <w:bookmarkEnd w:id="9"/>
      <w:r w:rsidDel="00000000" w:rsidR="00000000" w:rsidRPr="00000000">
        <w:rPr>
          <w:b w:val="1"/>
          <w:color w:val="000000"/>
          <w:sz w:val="26"/>
          <w:szCs w:val="26"/>
          <w:rtl w:val="0"/>
        </w:rPr>
        <w:t xml:space="preserve">4.1 LSTM Model</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b w:val="1"/>
          <w:rtl w:val="0"/>
        </w:rPr>
        <w:t xml:space="preserve">Source Repository</w:t>
      </w:r>
      <w:r w:rsidDel="00000000" w:rsidR="00000000" w:rsidRPr="00000000">
        <w:rPr>
          <w:rtl w:val="0"/>
        </w:rPr>
        <w:t xml:space="preserve">: </w:t>
      </w:r>
      <w:hyperlink r:id="rId12">
        <w:r w:rsidDel="00000000" w:rsidR="00000000" w:rsidRPr="00000000">
          <w:rPr>
            <w:color w:val="1155cc"/>
            <w:u w:val="single"/>
            <w:rtl w:val="0"/>
          </w:rPr>
          <w:t xml:space="preserve">food-demand-forecasting</w:t>
        </w:r>
      </w:hyperlink>
      <w:r w:rsidDel="00000000" w:rsidR="00000000" w:rsidRPr="00000000">
        <w:rPr>
          <w:rtl w:val="0"/>
        </w:rPr>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b w:val="1"/>
          <w:rtl w:val="0"/>
        </w:rPr>
        <w:t xml:space="preserve">Environment</w:t>
      </w:r>
      <w:r w:rsidDel="00000000" w:rsidR="00000000" w:rsidRPr="00000000">
        <w:rPr>
          <w:rtl w:val="0"/>
        </w:rPr>
        <w:t xml:space="preserve">: Google Colab</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ecn7mn2cfbkg" w:id="10"/>
      <w:bookmarkEnd w:id="10"/>
      <w:r w:rsidDel="00000000" w:rsidR="00000000" w:rsidRPr="00000000">
        <w:rPr>
          <w:b w:val="1"/>
          <w:color w:val="000000"/>
          <w:sz w:val="22"/>
          <w:szCs w:val="22"/>
          <w:rtl w:val="0"/>
        </w:rPr>
        <w:t xml:space="preserve">Adjustments Made:</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Updated deprecated TensorFlow 1.x syntax to 2.x</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t xml:space="preserve">Relinked dataset paths for compatibility</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nnu6jcsbo6j9" w:id="11"/>
      <w:bookmarkEnd w:id="11"/>
      <w:r w:rsidDel="00000000" w:rsidR="00000000" w:rsidRPr="00000000">
        <w:rPr>
          <w:b w:val="1"/>
          <w:color w:val="000000"/>
          <w:sz w:val="22"/>
          <w:szCs w:val="22"/>
          <w:rtl w:val="0"/>
        </w:rPr>
        <w:t xml:space="preserve">Output Metrics: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LSTM</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Loss Function</w:t>
      </w:r>
      <w:r w:rsidDel="00000000" w:rsidR="00000000" w:rsidRPr="00000000">
        <w:rPr>
          <w:rtl w:val="0"/>
        </w:rPr>
        <w:t xml:space="preserve">: Mean Squared Error (MSE)</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Test RMSE</w:t>
      </w:r>
      <w:r w:rsidDel="00000000" w:rsidR="00000000" w:rsidRPr="00000000">
        <w:rPr>
          <w:rtl w:val="0"/>
        </w:rPr>
        <w:t xml:space="preserve">: 0.321</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b w:val="1"/>
          <w:rtl w:val="0"/>
        </w:rPr>
        <w:t xml:space="preserve">Prediction Accuracy</w:t>
      </w:r>
      <w:r w:rsidDel="00000000" w:rsidR="00000000" w:rsidRPr="00000000">
        <w:rPr>
          <w:rtl w:val="0"/>
        </w:rPr>
        <w:t xml:space="preserve">: ~85%</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ht56yt6mokfy" w:id="12"/>
      <w:bookmarkEnd w:id="12"/>
      <w:r w:rsidDel="00000000" w:rsidR="00000000" w:rsidRPr="00000000">
        <w:rPr>
          <w:b w:val="1"/>
          <w:color w:val="000000"/>
          <w:sz w:val="22"/>
          <w:szCs w:val="22"/>
          <w:rtl w:val="0"/>
        </w:rPr>
        <w:t xml:space="preserve">Visuals:</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rtl w:val="0"/>
        </w:rPr>
        <w:t xml:space="preserve">Predicted vs. Actual sales time series plot</w:t>
      </w:r>
    </w:p>
    <w:p w:rsidR="00000000" w:rsidDel="00000000" w:rsidP="00000000" w:rsidRDefault="00000000" w:rsidRPr="00000000" w14:paraId="0000002E">
      <w:pPr>
        <w:numPr>
          <w:ilvl w:val="0"/>
          <w:numId w:val="6"/>
        </w:numPr>
        <w:spacing w:after="240" w:before="0" w:beforeAutospacing="0" w:lineRule="auto"/>
        <w:ind w:left="720" w:hanging="360"/>
      </w:pPr>
      <w:r w:rsidDel="00000000" w:rsidR="00000000" w:rsidRPr="00000000">
        <w:rPr>
          <w:rtl w:val="0"/>
        </w:rPr>
        <w:t xml:space="preserve">Training loss curve</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7nkio4c6yz6" w:id="13"/>
      <w:bookmarkEnd w:id="13"/>
      <w:r w:rsidDel="00000000" w:rsidR="00000000" w:rsidRPr="00000000">
        <w:rPr>
          <w:b w:val="1"/>
          <w:color w:val="000000"/>
          <w:sz w:val="26"/>
          <w:szCs w:val="26"/>
          <w:rtl w:val="0"/>
        </w:rPr>
        <w:t xml:space="preserve">4.2 Prophet Model Results</w:t>
      </w:r>
    </w:p>
    <w:p w:rsidR="00000000" w:rsidDel="00000000" w:rsidP="00000000" w:rsidRDefault="00000000" w:rsidRPr="00000000" w14:paraId="00000030">
      <w:pPr>
        <w:numPr>
          <w:ilvl w:val="0"/>
          <w:numId w:val="14"/>
        </w:numPr>
        <w:spacing w:after="0" w:afterAutospacing="0" w:before="240" w:lineRule="auto"/>
        <w:ind w:left="720" w:hanging="360"/>
      </w:pPr>
      <w:r w:rsidDel="00000000" w:rsidR="00000000" w:rsidRPr="00000000">
        <w:rPr>
          <w:b w:val="1"/>
          <w:rtl w:val="0"/>
        </w:rPr>
        <w:t xml:space="preserve">Dataset</w:t>
      </w:r>
      <w:r w:rsidDel="00000000" w:rsidR="00000000" w:rsidRPr="00000000">
        <w:rPr>
          <w:rtl w:val="0"/>
        </w:rPr>
        <w:t xml:space="preserve">: Corporación Favorita Grocery Sales Forecasting (Store 1, BEVERAGES)</w:t>
      </w:r>
    </w:p>
    <w:p w:rsidR="00000000" w:rsidDel="00000000" w:rsidP="00000000" w:rsidRDefault="00000000" w:rsidRPr="00000000" w14:paraId="00000031">
      <w:pPr>
        <w:numPr>
          <w:ilvl w:val="0"/>
          <w:numId w:val="14"/>
        </w:numPr>
        <w:spacing w:after="0" w:afterAutospacing="0" w:before="0" w:beforeAutospacing="0" w:lineRule="auto"/>
        <w:ind w:left="720" w:hanging="360"/>
      </w:pPr>
      <w:r w:rsidDel="00000000" w:rsidR="00000000" w:rsidRPr="00000000">
        <w:rPr>
          <w:b w:val="1"/>
          <w:rtl w:val="0"/>
        </w:rPr>
        <w:t xml:space="preserve">Forecast Period</w:t>
      </w:r>
      <w:r w:rsidDel="00000000" w:rsidR="00000000" w:rsidRPr="00000000">
        <w:rPr>
          <w:rtl w:val="0"/>
        </w:rPr>
        <w:t xml:space="preserve">: 90 days</w:t>
      </w:r>
    </w:p>
    <w:p w:rsidR="00000000" w:rsidDel="00000000" w:rsidP="00000000" w:rsidRDefault="00000000" w:rsidRPr="00000000" w14:paraId="00000032">
      <w:pPr>
        <w:numPr>
          <w:ilvl w:val="0"/>
          <w:numId w:val="14"/>
        </w:numPr>
        <w:spacing w:after="0" w:afterAutospacing="0" w:before="0" w:beforeAutospacing="0" w:lineRule="auto"/>
        <w:ind w:left="720" w:hanging="360"/>
      </w:pPr>
      <w:r w:rsidDel="00000000" w:rsidR="00000000" w:rsidRPr="00000000">
        <w:rPr>
          <w:b w:val="1"/>
          <w:rtl w:val="0"/>
        </w:rPr>
        <w:t xml:space="preserve">Tool Used</w:t>
      </w:r>
      <w:r w:rsidDel="00000000" w:rsidR="00000000" w:rsidRPr="00000000">
        <w:rPr>
          <w:rtl w:val="0"/>
        </w:rPr>
        <w:t xml:space="preserve">: Facebook Prophet</w:t>
      </w:r>
    </w:p>
    <w:p w:rsidR="00000000" w:rsidDel="00000000" w:rsidP="00000000" w:rsidRDefault="00000000" w:rsidRPr="00000000" w14:paraId="00000033">
      <w:pPr>
        <w:numPr>
          <w:ilvl w:val="0"/>
          <w:numId w:val="14"/>
        </w:numPr>
        <w:spacing w:after="240" w:before="0" w:beforeAutospacing="0" w:lineRule="auto"/>
        <w:ind w:left="720" w:hanging="360"/>
      </w:pPr>
      <w:r w:rsidDel="00000000" w:rsidR="00000000" w:rsidRPr="00000000">
        <w:rPr>
          <w:b w:val="1"/>
          <w:rtl w:val="0"/>
        </w:rPr>
        <w:t xml:space="preserve">Notebook</w:t>
      </w:r>
      <w:r w:rsidDel="00000000" w:rsidR="00000000" w:rsidRPr="00000000">
        <w:rPr>
          <w:rtl w:val="0"/>
        </w:rPr>
        <w:t xml:space="preserve">: prophet_forecast_beverages_store1.ipynb</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jiroz65txaj8" w:id="14"/>
      <w:bookmarkEnd w:id="14"/>
      <w:r w:rsidDel="00000000" w:rsidR="00000000" w:rsidRPr="00000000">
        <w:rPr>
          <w:b w:val="1"/>
          <w:color w:val="000000"/>
          <w:sz w:val="22"/>
          <w:szCs w:val="22"/>
          <w:rtl w:val="0"/>
        </w:rPr>
        <w:t xml:space="preserve">Findings:</w:t>
      </w:r>
    </w:p>
    <w:p w:rsidR="00000000" w:rsidDel="00000000" w:rsidP="00000000" w:rsidRDefault="00000000" w:rsidRPr="00000000" w14:paraId="00000035">
      <w:pPr>
        <w:numPr>
          <w:ilvl w:val="0"/>
          <w:numId w:val="11"/>
        </w:numPr>
        <w:spacing w:after="0" w:afterAutospacing="0" w:before="240" w:lineRule="auto"/>
        <w:ind w:left="720" w:hanging="360"/>
      </w:pPr>
      <w:r w:rsidDel="00000000" w:rsidR="00000000" w:rsidRPr="00000000">
        <w:rPr>
          <w:rtl w:val="0"/>
        </w:rPr>
        <w:t xml:space="preserve">Clear weekly seasonality patterns</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rtl w:val="0"/>
        </w:rPr>
        <w:t xml:space="preserve">Slight overall upward sales trend</w:t>
      </w:r>
    </w:p>
    <w:p w:rsidR="00000000" w:rsidDel="00000000" w:rsidP="00000000" w:rsidRDefault="00000000" w:rsidRPr="00000000" w14:paraId="00000037">
      <w:pPr>
        <w:numPr>
          <w:ilvl w:val="0"/>
          <w:numId w:val="11"/>
        </w:numPr>
        <w:spacing w:after="0" w:afterAutospacing="0" w:before="0" w:beforeAutospacing="0" w:lineRule="auto"/>
        <w:ind w:left="720" w:hanging="360"/>
      </w:pPr>
      <w:r w:rsidDel="00000000" w:rsidR="00000000" w:rsidRPr="00000000">
        <w:rPr>
          <w:rtl w:val="0"/>
        </w:rPr>
        <w:t xml:space="preserve">Captures variation in vendor sales without complex tuning</w:t>
      </w:r>
    </w:p>
    <w:p w:rsidR="00000000" w:rsidDel="00000000" w:rsidP="00000000" w:rsidRDefault="00000000" w:rsidRPr="00000000" w14:paraId="00000038">
      <w:pPr>
        <w:numPr>
          <w:ilvl w:val="0"/>
          <w:numId w:val="11"/>
        </w:numPr>
        <w:spacing w:after="240" w:before="0" w:beforeAutospacing="0" w:lineRule="auto"/>
        <w:ind w:left="720" w:hanging="360"/>
      </w:pPr>
      <w:r w:rsidDel="00000000" w:rsidR="00000000" w:rsidRPr="00000000">
        <w:rPr>
          <w:rtl w:val="0"/>
        </w:rPr>
        <w:t xml:space="preserve">Effective in visualizing trends and forecasting intervals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qbtj8eriebk5" w:id="15"/>
      <w:bookmarkEnd w:id="15"/>
      <w:r w:rsidDel="00000000" w:rsidR="00000000" w:rsidRPr="00000000">
        <w:rPr>
          <w:b w:val="1"/>
          <w:color w:val="000000"/>
          <w:sz w:val="22"/>
          <w:szCs w:val="22"/>
          <w:rtl w:val="0"/>
        </w:rPr>
        <w:t xml:space="preserve">Visuals:</w:t>
      </w:r>
    </w:p>
    <w:p w:rsidR="00000000" w:rsidDel="00000000" w:rsidP="00000000" w:rsidRDefault="00000000" w:rsidRPr="00000000" w14:paraId="0000003A">
      <w:pPr>
        <w:numPr>
          <w:ilvl w:val="0"/>
          <w:numId w:val="7"/>
        </w:numPr>
        <w:spacing w:after="240" w:before="240" w:lineRule="auto"/>
        <w:ind w:left="720" w:hanging="360"/>
      </w:pPr>
      <w:r w:rsidDel="00000000" w:rsidR="00000000" w:rsidRPr="00000000">
        <w:rPr>
          <w:rtl w:val="0"/>
        </w:rPr>
        <w:t xml:space="preserve">Forecast time series plot</w:t>
      </w:r>
    </w:p>
    <w:p w:rsidR="00000000" w:rsidDel="00000000" w:rsidP="00000000" w:rsidRDefault="00000000" w:rsidRPr="00000000" w14:paraId="0000003B">
      <w:pPr>
        <w:spacing w:after="240" w:before="240" w:lineRule="auto"/>
        <w:ind w:left="720" w:firstLine="0"/>
        <w:rPr/>
      </w:pPr>
      <w:r w:rsidDel="00000000" w:rsidR="00000000" w:rsidRPr="00000000">
        <w:rPr/>
        <w:drawing>
          <wp:inline distB="114300" distT="114300" distL="114300" distR="114300">
            <wp:extent cx="5943600" cy="36830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numPr>
          <w:ilvl w:val="0"/>
          <w:numId w:val="7"/>
        </w:numPr>
        <w:spacing w:after="240" w:before="240" w:lineRule="auto"/>
        <w:ind w:left="720" w:hanging="360"/>
      </w:pPr>
      <w:r w:rsidDel="00000000" w:rsidR="00000000" w:rsidRPr="00000000">
        <w:rPr>
          <w:rtl w:val="0"/>
        </w:rPr>
        <w:t xml:space="preserve">Prophet component plots (trend, seasonality)</w:t>
      </w:r>
    </w:p>
    <w:p w:rsidR="00000000" w:rsidDel="00000000" w:rsidP="00000000" w:rsidRDefault="00000000" w:rsidRPr="00000000" w14:paraId="0000003E">
      <w:pPr>
        <w:spacing w:after="240" w:before="240" w:lineRule="auto"/>
        <w:ind w:left="720" w:firstLine="0"/>
        <w:rPr/>
      </w:pPr>
      <w:r w:rsidDel="00000000" w:rsidR="00000000" w:rsidRPr="00000000">
        <w:rPr/>
        <w:drawing>
          <wp:inline distB="114300" distT="114300" distL="114300" distR="114300">
            <wp:extent cx="5943600" cy="59690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tu05n5zezqrt" w:id="16"/>
      <w:bookmarkEnd w:id="16"/>
      <w:r w:rsidDel="00000000" w:rsidR="00000000" w:rsidRPr="00000000">
        <w:rPr>
          <w:b w:val="1"/>
          <w:sz w:val="34"/>
          <w:szCs w:val="34"/>
          <w:rtl w:val="0"/>
        </w:rPr>
        <w:t xml:space="preserve">5. Analysis &amp; Improvements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82n6tgpthpy0" w:id="17"/>
      <w:bookmarkEnd w:id="17"/>
      <w:r w:rsidDel="00000000" w:rsidR="00000000" w:rsidRPr="00000000">
        <w:rPr>
          <w:b w:val="1"/>
          <w:color w:val="000000"/>
          <w:sz w:val="26"/>
          <w:szCs w:val="26"/>
          <w:rtl w:val="0"/>
        </w:rPr>
        <w:t xml:space="preserve">Key Takeaways:</w:t>
      </w:r>
    </w:p>
    <w:p w:rsidR="00000000" w:rsidDel="00000000" w:rsidP="00000000" w:rsidRDefault="00000000" w:rsidRPr="00000000" w14:paraId="00000046">
      <w:pPr>
        <w:numPr>
          <w:ilvl w:val="0"/>
          <w:numId w:val="13"/>
        </w:numPr>
        <w:spacing w:after="0" w:afterAutospacing="0" w:before="240" w:lineRule="auto"/>
        <w:ind w:left="720" w:hanging="360"/>
      </w:pPr>
      <w:r w:rsidDel="00000000" w:rsidR="00000000" w:rsidRPr="00000000">
        <w:rPr>
          <w:rtl w:val="0"/>
        </w:rPr>
        <w:t xml:space="preserve">Forecast accuracy improves with time, weather, and event-based features</w:t>
      </w:r>
    </w:p>
    <w:p w:rsidR="00000000" w:rsidDel="00000000" w:rsidP="00000000" w:rsidRDefault="00000000" w:rsidRPr="00000000" w14:paraId="00000047">
      <w:pPr>
        <w:numPr>
          <w:ilvl w:val="0"/>
          <w:numId w:val="13"/>
        </w:numPr>
        <w:spacing w:after="0" w:afterAutospacing="0" w:before="0" w:beforeAutospacing="0" w:lineRule="auto"/>
        <w:ind w:left="720" w:hanging="360"/>
      </w:pPr>
      <w:r w:rsidDel="00000000" w:rsidR="00000000" w:rsidRPr="00000000">
        <w:rPr>
          <w:rtl w:val="0"/>
        </w:rPr>
        <w:t xml:space="preserve">Ensemble and hybrid models outperform single architectures in high-variance environments</w:t>
      </w:r>
    </w:p>
    <w:p w:rsidR="00000000" w:rsidDel="00000000" w:rsidP="00000000" w:rsidRDefault="00000000" w:rsidRPr="00000000" w14:paraId="00000048">
      <w:pPr>
        <w:numPr>
          <w:ilvl w:val="0"/>
          <w:numId w:val="13"/>
        </w:numPr>
        <w:spacing w:after="240" w:before="0" w:beforeAutospacing="0" w:lineRule="auto"/>
        <w:ind w:left="720" w:hanging="360"/>
      </w:pPr>
      <w:r w:rsidDel="00000000" w:rsidR="00000000" w:rsidRPr="00000000">
        <w:rPr>
          <w:rtl w:val="0"/>
        </w:rPr>
        <w:t xml:space="preserve">Most models lack amusement-park-specific context such as special events or grouped vendor types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kmukax83weip" w:id="18"/>
      <w:bookmarkEnd w:id="18"/>
      <w:r w:rsidDel="00000000" w:rsidR="00000000" w:rsidRPr="00000000">
        <w:rPr>
          <w:b w:val="1"/>
          <w:color w:val="000000"/>
          <w:sz w:val="26"/>
          <w:szCs w:val="26"/>
          <w:rtl w:val="0"/>
        </w:rPr>
        <w:t xml:space="preserve">Planned Enhancements:</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rtl w:val="0"/>
        </w:rPr>
        <w:t xml:space="preserve">Integrate </w:t>
      </w:r>
      <w:r w:rsidDel="00000000" w:rsidR="00000000" w:rsidRPr="00000000">
        <w:rPr>
          <w:b w:val="1"/>
          <w:rtl w:val="0"/>
        </w:rPr>
        <w:t xml:space="preserve">weather data APIs</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rtl w:val="0"/>
        </w:rPr>
        <w:t xml:space="preserve">Include </w:t>
      </w:r>
      <w:r w:rsidDel="00000000" w:rsidR="00000000" w:rsidRPr="00000000">
        <w:rPr>
          <w:b w:val="1"/>
          <w:rtl w:val="0"/>
        </w:rPr>
        <w:t xml:space="preserve">event schedules</w:t>
      </w:r>
      <w:r w:rsidDel="00000000" w:rsidR="00000000" w:rsidRPr="00000000">
        <w:rPr>
          <w:rtl w:val="0"/>
        </w:rPr>
        <w:t xml:space="preserve"> for major park activities</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grouped forecasting</w:t>
      </w:r>
      <w:r w:rsidDel="00000000" w:rsidR="00000000" w:rsidRPr="00000000">
        <w:rPr>
          <w:rtl w:val="0"/>
        </w:rPr>
        <w:t xml:space="preserve"> by vendor type (meals, drinks, snacks)</w:t>
      </w:r>
    </w:p>
    <w:p w:rsidR="00000000" w:rsidDel="00000000" w:rsidP="00000000" w:rsidRDefault="00000000" w:rsidRPr="00000000" w14:paraId="0000004D">
      <w:pPr>
        <w:numPr>
          <w:ilvl w:val="0"/>
          <w:numId w:val="4"/>
        </w:numPr>
        <w:spacing w:after="240" w:before="0" w:beforeAutospacing="0" w:lineRule="auto"/>
        <w:ind w:left="720" w:hanging="360"/>
      </w:pPr>
      <w:r w:rsidDel="00000000" w:rsidR="00000000" w:rsidRPr="00000000">
        <w:rPr>
          <w:rtl w:val="0"/>
        </w:rPr>
        <w:t xml:space="preserve">Compare LSTM vs Prophet vs Gradient Boosting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ode/robikscube/prophet-explained-simple-example" TargetMode="External"/><Relationship Id="rId10" Type="http://schemas.openxmlformats.org/officeDocument/2006/relationships/hyperlink" Target="https://medium.com/coiled-hq/real-world-grocery-demand-forecasting-d68c4df5cb38" TargetMode="External"/><Relationship Id="rId13" Type="http://schemas.openxmlformats.org/officeDocument/2006/relationships/image" Target="media/image1.png"/><Relationship Id="rId12" Type="http://schemas.openxmlformats.org/officeDocument/2006/relationships/hyperlink" Target="https://github.com/Erdos1729/food-demand-foreca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rdos1729/food-demand-forecasting"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sciencedirect.com/science/article/pii/S2772390925000241" TargetMode="External"/><Relationship Id="rId7" Type="http://schemas.openxmlformats.org/officeDocument/2006/relationships/hyperlink" Target="https://www.mdpi.com/2504-4990/4/1/6" TargetMode="External"/><Relationship Id="rId8" Type="http://schemas.openxmlformats.org/officeDocument/2006/relationships/hyperlink" Target="https://www.researchgate.net/publication/334104604_Demand_Forecasting_A_Case_Study_in_the_Food_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