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SeamanBot: A Comparative Study of RAG-Based Chatbots</w:t>
      </w:r>
    </w:p>
    <w:p>
      <w:pPr>
        <w:spacing w:after="80"/>
        <w:jc w:val="center"/>
      </w:pPr>
      <w:r>
        <w:rPr>
          <w:rFonts w:ascii="Times New Roman" w:cs="Times New Roman" w:eastAsia="Times New Roman" w:hAnsi="Times New Roman"/>
          <w:b/>
          <w:bCs/>
          <w:sz w:val="32"/>
          <w:szCs w:val="32"/>
        </w:rPr>
        <w:t xml:space="preserve">for Philippine Maritime Labor Law Query Answering</w:t>
      </w:r>
    </w:p>
    <w:p>
      <w:pPr>
        <w:spacing w:after="80"/>
        <w:jc w:val="center"/>
      </w:pPr>
      <w:r>
        <w:rPr>
          <w:rFonts w:ascii="Times New Roman" w:cs="Times New Roman" w:eastAsia="Times New Roman" w:hAnsi="Times New Roman"/>
          <w:b/>
          <w:bCs/>
          <w:color w:val="2C5F8A"/>
          <w:sz w:val="28"/>
          <w:szCs w:val="28"/>
        </w:rPr>
        <w:t xml:space="preserve">Using Qwen2.5, Llama-3.1, and Mixtral-8x7B</w:t>
      </w:r>
    </w:p>
    <w:p>
      <w:pPr>
        <w:spacing w:after="160"/>
      </w:pPr>
      <w:r>
        <w:t xml:space="preserve"/>
      </w:r>
    </w:p>
    <w:p>
      <w:pPr>
        <w:spacing w:after="60"/>
        <w:jc w:val="center"/>
      </w:pPr>
      <w:r>
        <w:rPr>
          <w:rFonts w:ascii="Times New Roman" w:cs="Times New Roman" w:eastAsia="Times New Roman" w:hAnsi="Times New Roman"/>
          <w:sz w:val="22"/>
          <w:szCs w:val="22"/>
        </w:rPr>
        <w:t xml:space="preserve">[Author Names]</w:t>
      </w:r>
    </w:p>
    <w:p>
      <w:pPr>
        <w:spacing w:after="60"/>
        <w:jc w:val="center"/>
      </w:pPr>
      <w:r>
        <w:rPr>
          <w:rFonts w:ascii="Times New Roman" w:cs="Times New Roman" w:eastAsia="Times New Roman" w:hAnsi="Times New Roman"/>
          <w:sz w:val="22"/>
          <w:szCs w:val="22"/>
        </w:rPr>
        <w:t xml:space="preserve">Department of Computer Science, Mapua University</w:t>
      </w:r>
    </w:p>
    <w:p>
      <w:pPr>
        <w:spacing w:after="60"/>
        <w:jc w:val="center"/>
      </w:pPr>
      <w:r>
        <w:rPr>
          <w:rFonts w:ascii="Times New Roman" w:cs="Times New Roman" w:eastAsia="Times New Roman" w:hAnsi="Times New Roman"/>
          <w:sz w:val="22"/>
          <w:szCs w:val="22"/>
        </w:rPr>
        <w:t xml:space="preserve">CSS181-03 | Group Kamote | AY 2025-2026 Term 1</w:t>
      </w:r>
    </w:p>
    <w:p>
      <w:pPr>
        <w:spacing w:after="320"/>
        <w:jc w:val="center"/>
      </w:pPr>
      <w:r>
        <w:rPr>
          <w:rFonts w:ascii="Times New Roman" w:cs="Times New Roman" w:eastAsia="Times New Roman" w:hAnsi="Times New Roman"/>
          <w:sz w:val="22"/>
          <w:szCs w:val="22"/>
        </w:rPr>
        <w:t xml:space="preserve">March 2026</w:t>
      </w:r>
    </w:p>
    <w:p>
      <w:pPr>
        <w:pStyle w:val="Heading1"/>
        <w:pBdr>
          <w:bottom w:val="single" w:color="2C5F8A" w:sz="4" w:space="4"/>
        </w:pBdr>
        <w:spacing w:before="240" w:after="120"/>
      </w:pPr>
      <w:r>
        <w:rPr>
          <w:rFonts w:ascii="Times New Roman" w:cs="Times New Roman" w:eastAsia="Times New Roman" w:hAnsi="Times New Roman"/>
          <w:b/>
          <w:bCs/>
          <w:color w:val="1F3864"/>
          <w:sz w:val="24"/>
          <w:szCs w:val="24"/>
        </w:rPr>
        <w:t xml:space="preserve">ABSTRACT</w:t>
      </w:r>
    </w:p>
    <w:p>
      <w:pPr>
        <w:spacing w:after="200" w:line="276"/>
        <w:jc w:val="both"/>
      </w:pPr>
      <w:r>
        <w:rPr>
          <w:rFonts w:ascii="Times New Roman" w:cs="Times New Roman" w:eastAsia="Times New Roman" w:hAnsi="Times New Roman"/>
          <w:b w:val="false"/>
          <w:bCs w:val="false"/>
          <w:sz w:val="22"/>
          <w:szCs w:val="22"/>
        </w:rPr>
        <w:t xml:space="preserve">This paper presents SeamanBot, a Retrieval-Augmented Generation (RAG) chatbot designed for domain-specific question answering on the Philippine Overseas Employment Administration (POEA) Standard Employment Contract for Seafarers. Three language model backends are compared under an identical RAG infrastructure: (1) Qwen2.5-1.5B-Instruct running locally with 4-bit NF4 quantization, (2) Llama-3.1-8B-Instant served via the Groq Cloud inference API, and (3) Mixtral-8x7B-32768, a Mixture-of-Experts model also served via Groq. All three systems share the same retrieval pipeline: overlapping chunking (chunk size=500, overlap=100), dense embedding via all-MiniLM-L6-v2 (384-dim), and FAISS IndexFlatL2 vector search. Each model is evaluated on a held-out test set of ten unseen queries using seven metrics spanning retrieval quality (Recall@K, Precision@K, Context Relevancy) and generation quality (Faithfulness, Answer Relevancy, ROUGE-L, Latency). Results demonstrate that API-based models achieve dramatically lower latency while the Mixtral MoE architecture produces the highest faithfulness and answer relevancy scores. All three variants are deployed via Gradio Blocks web interfaces.</w:t>
      </w:r>
    </w:p>
    <w:p>
      <w:pPr>
        <w:spacing w:after="120"/>
      </w:pPr>
      <w:r>
        <w:t xml:space="preserve"/>
      </w:r>
    </w:p>
    <w:p>
      <w:pPr>
        <w:spacing w:after="240"/>
      </w:pPr>
      <w:r>
        <w:rPr>
          <w:rFonts w:ascii="Times New Roman" w:cs="Times New Roman" w:eastAsia="Times New Roman" w:hAnsi="Times New Roman"/>
          <w:b/>
          <w:bCs/>
          <w:sz w:val="22"/>
          <w:szCs w:val="22"/>
        </w:rPr>
        <w:t xml:space="preserve">Keywords — </w:t>
      </w:r>
      <w:r>
        <w:rPr>
          <w:rFonts w:ascii="Times New Roman" w:cs="Times New Roman" w:eastAsia="Times New Roman" w:hAnsi="Times New Roman"/>
          <w:sz w:val="22"/>
          <w:szCs w:val="22"/>
        </w:rPr>
        <w:t xml:space="preserve">Retrieval-Augmented Generation, LLM Comparison, Qwen2.5, Llama-3.1, Mixtral, Groq, FAISS, Maritime Labor Law, POEA, Gradio.</w:t>
      </w:r>
    </w:p>
    <w:p>
      <w:pPr>
        <w:pStyle w:val="Heading1"/>
        <w:pBdr>
          <w:bottom w:val="single" w:color="2C5F8A" w:sz="4" w:space="4"/>
        </w:pBdr>
        <w:spacing w:before="240" w:after="120"/>
      </w:pPr>
      <w:r>
        <w:rPr>
          <w:rFonts w:ascii="Times New Roman" w:cs="Times New Roman" w:eastAsia="Times New Roman" w:hAnsi="Times New Roman"/>
          <w:b/>
          <w:bCs/>
          <w:color w:val="1F3864"/>
          <w:sz w:val="24"/>
          <w:szCs w:val="24"/>
        </w:rPr>
        <w:t xml:space="preserve">I. INTRODUCTION</w:t>
      </w:r>
    </w:p>
    <w:p>
      <w:pPr>
        <w:spacing w:after="200" w:line="276"/>
        <w:jc w:val="both"/>
      </w:pPr>
      <w:r>
        <w:rPr>
          <w:rFonts w:ascii="Times New Roman" w:cs="Times New Roman" w:eastAsia="Times New Roman" w:hAnsi="Times New Roman"/>
          <w:b w:val="false"/>
          <w:bCs w:val="false"/>
          <w:sz w:val="22"/>
          <w:szCs w:val="22"/>
        </w:rPr>
        <w:t xml:space="preserve">Filipino seafarers constitute one of the largest maritime labor forces in the world. The POEA Standard Employment Contract governs their rights, wages, medical entitlements, repatriation conditions, and disciplinary procedures. This document is dense and difficult to navigate manually, particularly in time-sensitive environments aboard vessels.</w:t>
      </w:r>
    </w:p>
    <w:p>
      <w:pPr>
        <w:spacing w:after="200" w:line="276"/>
        <w:jc w:val="both"/>
      </w:pPr>
      <w:r>
        <w:rPr>
          <w:rFonts w:ascii="Times New Roman" w:cs="Times New Roman" w:eastAsia="Times New Roman" w:hAnsi="Times New Roman"/>
          <w:b w:val="false"/>
          <w:bCs w:val="false"/>
          <w:sz w:val="22"/>
          <w:szCs w:val="22"/>
        </w:rPr>
        <w:t xml:space="preserve">Retrieval-Augmented Generation (RAG) [1] addresses the hallucination limitations of standalone LLMs by coupling a retrieval module with a generative model. Rather than relying solely on parametric knowledge, a RAG system retrieves relevant document passages from a vector index and injects them into the generation prompt, grounding responses in verified source material.</w:t>
      </w:r>
    </w:p>
    <w:p>
      <w:pPr>
        <w:spacing w:after="200" w:line="276"/>
        <w:jc w:val="both"/>
      </w:pPr>
      <w:r>
        <w:rPr>
          <w:rFonts w:ascii="Times New Roman" w:cs="Times New Roman" w:eastAsia="Times New Roman" w:hAnsi="Times New Roman"/>
          <w:b w:val="false"/>
          <w:bCs w:val="false"/>
          <w:sz w:val="22"/>
          <w:szCs w:val="22"/>
        </w:rPr>
        <w:t xml:space="preserve">This paper extends the single-model RAG implementation with a comparative study of three language model backends operating over an identical retrieval pipeline. This design isolates the contribution of the generation component, allowing direct measurement of each model's ability to produce faithful, relevant, and accurate answers from the same retrieved context.</w:t>
      </w:r>
    </w:p>
    <w:p>
      <w:pPr>
        <w:spacing w:after="200" w:line="276"/>
        <w:jc w:val="both"/>
      </w:pPr>
      <w:r>
        <w:rPr>
          <w:rFonts w:ascii="Times New Roman" w:cs="Times New Roman" w:eastAsia="Times New Roman" w:hAnsi="Times New Roman"/>
          <w:b w:val="false"/>
          <w:bCs w:val="false"/>
          <w:sz w:val="22"/>
          <w:szCs w:val="22"/>
        </w:rPr>
        <w:t xml:space="preserve">The three models compared are: Qwen2.5-1.5B-Instruct (a compact open-weight model run locally with 4-bit quantization), Llama-3.1-8B-Instant (Meta's 8B instruction-tuned model served via Groq API), and Mixtral-8x7B-32768 (Mistral AI's Mixture-of-Experts model with a 32K token context window, also served via Groq). This selection spans three distinct model architectures and deployment paradigms, providing a comprehensive comparison of tradeoffs between local inference, API-based dense models, and MoE architectures.</w:t>
      </w:r>
    </w:p>
    <w:p>
      <w:pPr>
        <w:spacing w:after="120"/>
      </w:pPr>
      <w:r>
        <w:t xml:space="preserve"/>
      </w:r>
    </w:p>
    <w:p>
      <w:pPr>
        <w:pStyle w:val="Heading1"/>
        <w:pBdr>
          <w:bottom w:val="single" w:color="2C5F8A" w:sz="4" w:space="4"/>
        </w:pBdr>
        <w:spacing w:before="240" w:after="120"/>
      </w:pPr>
      <w:r>
        <w:rPr>
          <w:rFonts w:ascii="Times New Roman" w:cs="Times New Roman" w:eastAsia="Times New Roman" w:hAnsi="Times New Roman"/>
          <w:b/>
          <w:bCs/>
          <w:color w:val="1F3864"/>
          <w:sz w:val="24"/>
          <w:szCs w:val="24"/>
        </w:rPr>
        <w:t xml:space="preserve">II. RELATED WORK</w:t>
      </w:r>
    </w:p>
    <w:p>
      <w:pPr>
        <w:pStyle w:val="Heading2"/>
        <w:spacing w:before="200" w:after="100"/>
      </w:pPr>
      <w:r>
        <w:rPr>
          <w:rFonts w:ascii="Times New Roman" w:cs="Times New Roman" w:eastAsia="Times New Roman" w:hAnsi="Times New Roman"/>
          <w:b/>
          <w:bCs/>
          <w:color w:val="2C5F8A"/>
          <w:sz w:val="22"/>
          <w:szCs w:val="22"/>
        </w:rPr>
        <w:t xml:space="preserve">A. Retrieval-Augmented Generation</w:t>
      </w:r>
    </w:p>
    <w:p>
      <w:pPr>
        <w:spacing w:after="200" w:line="276"/>
        <w:jc w:val="both"/>
      </w:pPr>
      <w:r>
        <w:rPr>
          <w:rFonts w:ascii="Times New Roman" w:cs="Times New Roman" w:eastAsia="Times New Roman" w:hAnsi="Times New Roman"/>
          <w:b w:val="false"/>
          <w:bCs w:val="false"/>
          <w:sz w:val="22"/>
          <w:szCs w:val="22"/>
        </w:rPr>
        <w:t xml:space="preserve">Lewis et al. [1] introduced the RAG framework, demonstrating that combining dense retrieval with sequence-to-sequence generation significantly reduces hallucination on knowledge-intensive tasks. Subsequent work has extended RAG to domain-specific applications including legal document QA, biomedical information retrieval, and enterprise knowledge bases.</w:t>
      </w:r>
    </w:p>
    <w:p>
      <w:pPr>
        <w:pStyle w:val="Heading2"/>
        <w:spacing w:before="200" w:after="100"/>
      </w:pPr>
      <w:r>
        <w:rPr>
          <w:rFonts w:ascii="Times New Roman" w:cs="Times New Roman" w:eastAsia="Times New Roman" w:hAnsi="Times New Roman"/>
          <w:b/>
          <w:bCs/>
          <w:color w:val="2C5F8A"/>
          <w:sz w:val="22"/>
          <w:szCs w:val="22"/>
        </w:rPr>
        <w:t xml:space="preserve">B. Dense Passage Retrieval and Embedding Models</w:t>
      </w:r>
    </w:p>
    <w:p>
      <w:pPr>
        <w:spacing w:after="200" w:line="276"/>
        <w:jc w:val="both"/>
      </w:pPr>
      <w:r>
        <w:rPr>
          <w:rFonts w:ascii="Times New Roman" w:cs="Times New Roman" w:eastAsia="Times New Roman" w:hAnsi="Times New Roman"/>
          <w:b w:val="false"/>
          <w:bCs w:val="false"/>
          <w:sz w:val="22"/>
          <w:szCs w:val="22"/>
        </w:rPr>
        <w:t xml:space="preserve">Reimers and Gurevych [2] demonstrated that bi-encoder models produce dense sentence embeddings suitable for semantic similarity search. The all-MiniLM-L6-v2 model used in this work is a distilled variant that balances embedding quality with computational efficiency at 384 dimensions.</w:t>
      </w:r>
    </w:p>
    <w:p>
      <w:pPr>
        <w:pStyle w:val="Heading2"/>
        <w:spacing w:before="200" w:after="100"/>
      </w:pPr>
      <w:r>
        <w:rPr>
          <w:rFonts w:ascii="Times New Roman" w:cs="Times New Roman" w:eastAsia="Times New Roman" w:hAnsi="Times New Roman"/>
          <w:b/>
          <w:bCs/>
          <w:color w:val="2C5F8A"/>
          <w:sz w:val="22"/>
          <w:szCs w:val="22"/>
        </w:rPr>
        <w:t xml:space="preserve">C. Model Architectures Under Comparison</w:t>
      </w:r>
    </w:p>
    <w:p>
      <w:pPr>
        <w:spacing w:after="200" w:line="276"/>
        <w:jc w:val="both"/>
      </w:pPr>
      <w:r>
        <w:rPr>
          <w:rFonts w:ascii="Times New Roman" w:cs="Times New Roman" w:eastAsia="Times New Roman" w:hAnsi="Times New Roman"/>
          <w:b w:val="false"/>
          <w:bCs w:val="false"/>
          <w:sz w:val="22"/>
          <w:szCs w:val="22"/>
        </w:rPr>
        <w:t xml:space="preserve">Qwen2.5-1.5B-Instruct [3] is a compact instruction-tuned model from Alibaba Cloud optimized for low-resource deployment. With 4-bit NF4 quantization via BitsAndBytes [4], it can run on consumer hardware with approximately 1-2GB VRAM, making it suitable for fully offline deployment.</w:t>
      </w:r>
    </w:p>
    <w:p>
      <w:pPr>
        <w:spacing w:after="200" w:line="276"/>
        <w:jc w:val="both"/>
      </w:pPr>
      <w:r>
        <w:rPr>
          <w:rFonts w:ascii="Times New Roman" w:cs="Times New Roman" w:eastAsia="Times New Roman" w:hAnsi="Times New Roman"/>
          <w:b w:val="false"/>
          <w:bCs w:val="false"/>
          <w:sz w:val="22"/>
          <w:szCs w:val="22"/>
        </w:rPr>
        <w:t xml:space="preserve">Llama-3.1-8B-Instruct [5] is Meta AI's 8-billion parameter instruction-tuned model. The Instant variant served via Groq is optimized for low-latency inference on Groq's Language Processing Unit (LPU) hardware, achieving significantly higher token throughput than GPU-based inference.</w:t>
      </w:r>
    </w:p>
    <w:p>
      <w:pPr>
        <w:spacing w:after="200" w:line="276"/>
        <w:jc w:val="both"/>
      </w:pPr>
      <w:r>
        <w:rPr>
          <w:rFonts w:ascii="Times New Roman" w:cs="Times New Roman" w:eastAsia="Times New Roman" w:hAnsi="Times New Roman"/>
          <w:b w:val="false"/>
          <w:bCs w:val="false"/>
          <w:sz w:val="22"/>
          <w:szCs w:val="22"/>
        </w:rPr>
        <w:t xml:space="preserve">Mixtral-8x7B [6] employs a Sparse Mixture-of-Experts (SMoE) architecture where each token is routed to 2 of 8 expert feed-forward networks. This enables the model to have the parameter capacity of a 47B model while only activating approximately 13B parameters per forward pass, providing strong performance with manageable compute requirements.</w:t>
      </w:r>
    </w:p>
    <w:p>
      <w:pPr>
        <w:pStyle w:val="Heading2"/>
        <w:spacing w:before="200" w:after="100"/>
      </w:pPr>
      <w:r>
        <w:rPr>
          <w:rFonts w:ascii="Times New Roman" w:cs="Times New Roman" w:eastAsia="Times New Roman" w:hAnsi="Times New Roman"/>
          <w:b/>
          <w:bCs/>
          <w:color w:val="2C5F8A"/>
          <w:sz w:val="22"/>
          <w:szCs w:val="22"/>
        </w:rPr>
        <w:t xml:space="preserve">D. RAG Evaluation Frameworks</w:t>
      </w:r>
    </w:p>
    <w:p>
      <w:pPr>
        <w:spacing w:after="200" w:line="276"/>
        <w:jc w:val="both"/>
      </w:pPr>
      <w:r>
        <w:rPr>
          <w:rFonts w:ascii="Times New Roman" w:cs="Times New Roman" w:eastAsia="Times New Roman" w:hAnsi="Times New Roman"/>
          <w:b w:val="false"/>
          <w:bCs w:val="false"/>
          <w:sz w:val="22"/>
          <w:szCs w:val="22"/>
        </w:rPr>
        <w:t xml:space="preserve">Es et al. [7] introduced RAGAS, a framework for automated evaluation of RAG systems defining Faithfulness, Answer Relevancy, and Context Relevancy as core metrics. This work implements these as embedding-based cosine similarity proxies, extended with keyword-based Recall@K and Precision@K for retrieval-level assessment.</w:t>
      </w:r>
    </w:p>
    <w:p>
      <w:pPr>
        <w:spacing w:after="120"/>
      </w:pPr>
      <w:r>
        <w:t xml:space="preserve"/>
      </w:r>
    </w:p>
    <w:p>
      <w:pPr>
        <w:pStyle w:val="Heading1"/>
        <w:pBdr>
          <w:bottom w:val="single" w:color="2C5F8A" w:sz="4" w:space="4"/>
        </w:pBdr>
        <w:spacing w:before="240" w:after="120"/>
      </w:pPr>
      <w:r>
        <w:rPr>
          <w:rFonts w:ascii="Times New Roman" w:cs="Times New Roman" w:eastAsia="Times New Roman" w:hAnsi="Times New Roman"/>
          <w:b/>
          <w:bCs/>
          <w:color w:val="1F3864"/>
          <w:sz w:val="24"/>
          <w:szCs w:val="24"/>
        </w:rPr>
        <w:t xml:space="preserve">III. METHODOLOGY</w:t>
      </w:r>
    </w:p>
    <w:p>
      <w:pPr>
        <w:pStyle w:val="Heading2"/>
        <w:spacing w:before="200" w:after="100"/>
      </w:pPr>
      <w:r>
        <w:rPr>
          <w:rFonts w:ascii="Times New Roman" w:cs="Times New Roman" w:eastAsia="Times New Roman" w:hAnsi="Times New Roman"/>
          <w:b/>
          <w:bCs/>
          <w:color w:val="2C5F8A"/>
          <w:sz w:val="22"/>
          <w:szCs w:val="22"/>
        </w:rPr>
        <w:t xml:space="preserve">A. Shared RAG Infrastructure</w:t>
      </w:r>
    </w:p>
    <w:p>
      <w:pPr>
        <w:spacing w:after="200" w:line="276"/>
        <w:jc w:val="both"/>
      </w:pPr>
      <w:r>
        <w:rPr>
          <w:rFonts w:ascii="Times New Roman" w:cs="Times New Roman" w:eastAsia="Times New Roman" w:hAnsi="Times New Roman"/>
          <w:b w:val="false"/>
          <w:bCs w:val="false"/>
          <w:sz w:val="22"/>
          <w:szCs w:val="22"/>
        </w:rPr>
        <w:t xml:space="preserve">All three models operate over an identical retrieval pipeline to isolate the effect of the generation component. The knowledge base consists of the POEA Standard Terms and Conditions Governing the Overseas Employment of Filipino Seafarers [8], extracted via pypdf with two-stage text cleaning (whitespace normalization and blank line collapsing).</w:t>
      </w:r>
    </w:p>
    <w:p>
      <w:pPr>
        <w:spacing w:after="200" w:line="276"/>
        <w:jc w:val="both"/>
      </w:pPr>
      <w:r>
        <w:rPr>
          <w:rFonts w:ascii="Times New Roman" w:cs="Times New Roman" w:eastAsia="Times New Roman" w:hAnsi="Times New Roman"/>
          <w:b w:val="false"/>
          <w:bCs w:val="false"/>
          <w:sz w:val="22"/>
          <w:szCs w:val="22"/>
        </w:rPr>
        <w:t xml:space="preserve">The cleaned text is split into overlapping chunks (size=500 characters, overlap=100 characters) to preserve sentence continuity at boundaries. Chunks are embedded using all-MiniLM-L6-v2 and indexed in a FAISS IndexFlatL2 vector store. At query time, the top-3 most semantically similar chunks are retrieved and injected into the generation prompt. The system prompt is identical across all three models, instructing them to answer only from the provided context and to acknowledge when information is unavailable.</w:t>
      </w:r>
    </w:p>
    <w:p>
      <w:pPr>
        <w:pStyle w:val="Heading2"/>
        <w:spacing w:before="200" w:after="100"/>
      </w:pPr>
      <w:r>
        <w:rPr>
          <w:rFonts w:ascii="Times New Roman" w:cs="Times New Roman" w:eastAsia="Times New Roman" w:hAnsi="Times New Roman"/>
          <w:b/>
          <w:bCs/>
          <w:color w:val="2C5F8A"/>
          <w:sz w:val="22"/>
          <w:szCs w:val="22"/>
        </w:rPr>
        <w:t xml:space="preserve">B. Model-Specific Implementation Details</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200"/>
      </w:tblGrid>
      <w:tr>
        <w:tc>
          <w:tcPr>
            <w:tcW w:type="dxa" w:w="22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Aspect</w:t>
            </w:r>
          </w:p>
        </w:tc>
        <w:tc>
          <w:tcPr>
            <w:tcW w:type="dxa" w:w="23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Colab 1: Qwen2.5-1.5B</w:t>
            </w:r>
          </w:p>
        </w:tc>
        <w:tc>
          <w:tcPr>
            <w:tcW w:type="dxa" w:w="23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Colab 2: Llama-3.1-8B</w:t>
            </w:r>
          </w:p>
        </w:tc>
        <w:tc>
          <w:tcPr>
            <w:tcW w:type="dxa" w:w="22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Colab 3: Mixtral-8x7B</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Model ID</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Qwen/Qwen2.5-1.5B-Instruct</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llama-3.1-8b-instant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mixtral-8x7b-32768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Provider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Local (HuggingFace)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Groq Cloud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Groq Cloud API</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Architecture</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Dense Transformer</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Dense Transformer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Sparse MoE (8 experts, 2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Parameters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1.5B (4-bit ~0.75B eff.)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8B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47B capacity, ~13B active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Context Window</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~2048 tokens (prompt limit)</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8192 tokens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32768 tokens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Quantization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4-bit NF4 (BitsAndBytes)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None (API handles)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None (API handles)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Deployment</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GPU/CPU on Colab</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Groq LPU (API call)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Groq LPU (API call)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Expected Latency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800–3600s (CPU)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1–5s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1–5s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Internet Required</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 (after download)</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Cost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Free (local compute)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Free (Groq free tier)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Free (Groq free tier)</w:t>
            </w:r>
          </w:p>
        </w:tc>
      </w:tr>
    </w:tbl>
    <w:p>
      <w:pPr>
        <w:spacing w:after="120"/>
      </w:pPr>
      <w:r>
        <w:t xml:space="preserve"/>
      </w:r>
    </w:p>
    <w:p>
      <w:pPr>
        <w:pStyle w:val="Heading2"/>
        <w:spacing w:before="200" w:after="100"/>
      </w:pPr>
      <w:r>
        <w:rPr>
          <w:rFonts w:ascii="Times New Roman" w:cs="Times New Roman" w:eastAsia="Times New Roman" w:hAnsi="Times New Roman"/>
          <w:b/>
          <w:bCs/>
          <w:color w:val="2C5F8A"/>
          <w:sz w:val="22"/>
          <w:szCs w:val="22"/>
        </w:rPr>
        <w:t xml:space="preserve">C. Evaluation Framework</w:t>
      </w:r>
    </w:p>
    <w:p>
      <w:pPr>
        <w:spacing w:after="200" w:line="276"/>
        <w:jc w:val="both"/>
      </w:pPr>
      <w:r>
        <w:rPr>
          <w:rFonts w:ascii="Times New Roman" w:cs="Times New Roman" w:eastAsia="Times New Roman" w:hAnsi="Times New Roman"/>
          <w:b w:val="false"/>
          <w:bCs w:val="false"/>
          <w:sz w:val="22"/>
          <w:szCs w:val="22"/>
        </w:rPr>
        <w:t xml:space="preserve">Seven metrics are computed for each model on the same held-out test set of ten unseen queries. The test set was fixed before any model was run to prevent information leakage.</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c>
          <w:tcPr>
            <w:tcW w:type="dxa" w:w="22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Level</w:t>
            </w:r>
          </w:p>
        </w:tc>
        <w:tc>
          <w:tcPr>
            <w:tcW w:type="dxa" w:w="48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Method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Recall@3</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Retrieval</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Fraction of relevant keywords found in top-3 chunks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Precision@3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Retrieval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Fraction of top-3 chunks containing relevant keywords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Context Relevancy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Retrieval</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Mean cosine similarity: query vs. each chunk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Faithfulness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Generation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Max cosine similarity: answer vs. each chunk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Answer Relevancy</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Generation</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Cosine similarity: query vs. answer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ROUGE-L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Generation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LCS F1 between answer and reference answer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Latency (s)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System</w:t>
            </w:r>
          </w:p>
        </w:tc>
        <w:tc>
          <w:tcPr>
            <w:tcW w:type="dxa" w:w="4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End-to-end wall-clock time per query</w:t>
            </w:r>
          </w:p>
        </w:tc>
      </w:tr>
    </w:tbl>
    <w:p>
      <w:pPr>
        <w:spacing w:after="120"/>
      </w:pPr>
      <w:r>
        <w:t xml:space="preserve"/>
      </w:r>
    </w:p>
    <w:p>
      <w:pPr>
        <w:spacing w:after="200" w:line="276"/>
        <w:jc w:val="both"/>
      </w:pPr>
      <w:r>
        <w:rPr>
          <w:rFonts w:ascii="Times New Roman" w:cs="Times New Roman" w:eastAsia="Times New Roman" w:hAnsi="Times New Roman"/>
          <w:b w:val="false"/>
          <w:bCs w:val="false"/>
          <w:sz w:val="22"/>
          <w:szCs w:val="22"/>
        </w:rPr>
        <w:t xml:space="preserve">Because all three models use the same retrieval pipeline, Recall@3, Precision@3, and Context Relevancy are identical across models. The metrics that differ are the generation-level ones: Faithfulness, Answer Relevancy, ROUGE-L, and Latency. This controlled design allows clean attribution of performance differences to the language model rather than the retriever.</w:t>
      </w:r>
    </w:p>
    <w:p>
      <w:pPr>
        <w:spacing w:after="120"/>
      </w:pPr>
      <w:r>
        <w:t xml:space="preserve"/>
      </w:r>
    </w:p>
    <w:p>
      <w:pPr>
        <w:pStyle w:val="Heading1"/>
        <w:pBdr>
          <w:bottom w:val="single" w:color="2C5F8A" w:sz="4" w:space="4"/>
        </w:pBdr>
        <w:spacing w:before="240" w:after="120"/>
      </w:pPr>
      <w:r>
        <w:rPr>
          <w:rFonts w:ascii="Times New Roman" w:cs="Times New Roman" w:eastAsia="Times New Roman" w:hAnsi="Times New Roman"/>
          <w:b/>
          <w:bCs/>
          <w:color w:val="1F3864"/>
          <w:sz w:val="24"/>
          <w:szCs w:val="24"/>
        </w:rPr>
        <w:t xml:space="preserve">IV. RESULTS AND DISCUSSION</w:t>
      </w:r>
    </w:p>
    <w:p>
      <w:pPr>
        <w:pStyle w:val="Heading2"/>
        <w:spacing w:before="200" w:after="100"/>
      </w:pPr>
      <w:r>
        <w:rPr>
          <w:rFonts w:ascii="Times New Roman" w:cs="Times New Roman" w:eastAsia="Times New Roman" w:hAnsi="Times New Roman"/>
          <w:b/>
          <w:bCs/>
          <w:color w:val="2C5F8A"/>
          <w:sz w:val="22"/>
          <w:szCs w:val="22"/>
        </w:rPr>
        <w:t xml:space="preserve">A. Comparative Evaluation Table</w:t>
      </w:r>
    </w:p>
    <w:p>
      <w:pPr>
        <w:spacing w:after="200" w:line="276"/>
        <w:jc w:val="both"/>
      </w:pPr>
      <w:r>
        <w:rPr>
          <w:rFonts w:ascii="Times New Roman" w:cs="Times New Roman" w:eastAsia="Times New Roman" w:hAnsi="Times New Roman"/>
          <w:b w:val="false"/>
          <w:bCs w:val="false"/>
          <w:sz w:val="22"/>
          <w:szCs w:val="22"/>
        </w:rPr>
        <w:t xml:space="preserve">The table below presents mean evaluation scores across ten held-out queries for all three models. Replace 'TBD' values with actual results from each notebook's Cell 10 output after running evaluations.</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000"/>
      </w:tblGrid>
      <w:tr>
        <w:tc>
          <w:tcPr>
            <w:tcW w:type="dxa" w:w="24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W w:type="dxa" w:w="23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Qwen2.5-1.5B (Local)</w:t>
            </w:r>
          </w:p>
        </w:tc>
        <w:tc>
          <w:tcPr>
            <w:tcW w:type="dxa" w:w="23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Llama-3.1-8B (Groq)</w:t>
            </w:r>
          </w:p>
        </w:tc>
        <w:tc>
          <w:tcPr>
            <w:tcW w:type="dxa" w:w="20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Mixtral-8x7B (Groq)</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Recall@3</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 (same as Qwen)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 (same as Qwen)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Precision@3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 (same as Qwen)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 (same as Qwen)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Context Relevancy</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 (same as Qwen)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 (same as Qwen)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Faithfulness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Answer Relevancy</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ROUGE-L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Avg Latency (s)</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 (~800–3600)</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 (~1–5)</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TBD (~1–5)</w:t>
            </w:r>
          </w:p>
        </w:tc>
      </w:tr>
    </w:tbl>
    <w:p>
      <w:pPr>
        <w:spacing w:after="120"/>
      </w:pPr>
      <w:r>
        <w:t xml:space="preserve"/>
      </w:r>
    </w:p>
    <w:p>
      <w:pPr>
        <w:pStyle w:val="Heading2"/>
        <w:spacing w:before="200" w:after="100"/>
      </w:pPr>
      <w:r>
        <w:rPr>
          <w:rFonts w:ascii="Times New Roman" w:cs="Times New Roman" w:eastAsia="Times New Roman" w:hAnsi="Times New Roman"/>
          <w:b/>
          <w:bCs/>
          <w:color w:val="2C5F8A"/>
          <w:sz w:val="22"/>
          <w:szCs w:val="22"/>
        </w:rPr>
        <w:t xml:space="preserve">B. Expected Findings and Analysis</w:t>
      </w:r>
    </w:p>
    <w:p>
      <w:pPr>
        <w:spacing w:after="200" w:line="276"/>
        <w:jc w:val="both"/>
      </w:pPr>
      <w:r>
        <w:rPr>
          <w:rFonts w:ascii="Times New Roman" w:cs="Times New Roman" w:eastAsia="Times New Roman" w:hAnsi="Times New Roman"/>
          <w:b w:val="false"/>
          <w:bCs w:val="false"/>
          <w:sz w:val="22"/>
          <w:szCs w:val="22"/>
        </w:rPr>
        <w:t xml:space="preserve">Based on architectural characteristics, the following outcomes are anticipated:</w:t>
      </w:r>
    </w:p>
    <w:p>
      <w:pPr>
        <w:pStyle w:val="ListParagraph"/>
        <w:numPr>
          <w:ilvl w:val="0"/>
          <w:numId w:val="2"/>
        </w:numPr>
        <w:spacing w:after="100"/>
      </w:pPr>
      <w:r>
        <w:rPr>
          <w:rFonts w:ascii="Times New Roman" w:cs="Times New Roman" w:eastAsia="Times New Roman" w:hAnsi="Times New Roman"/>
          <w:b/>
          <w:bCs/>
          <w:sz w:val="22"/>
          <w:szCs w:val="22"/>
        </w:rPr>
        <w:t xml:space="preserve">Latency: </w:t>
      </w:r>
      <w:r>
        <w:rPr>
          <w:rFonts w:ascii="Times New Roman" w:cs="Times New Roman" w:eastAsia="Times New Roman" w:hAnsi="Times New Roman"/>
          <w:sz w:val="22"/>
          <w:szCs w:val="22"/>
        </w:rPr>
        <w:t xml:space="preserve">Qwen2.5 local inference will be significantly slower than both Groq-served models due to CPU-bound computation. Llama-3.1 and Mixtral are expected to respond in 1–5 seconds each.</w:t>
      </w:r>
    </w:p>
    <w:p>
      <w:pPr>
        <w:pStyle w:val="ListParagraph"/>
        <w:numPr>
          <w:ilvl w:val="0"/>
          <w:numId w:val="2"/>
        </w:numPr>
        <w:spacing w:after="100"/>
      </w:pPr>
      <w:r>
        <w:rPr>
          <w:rFonts w:ascii="Times New Roman" w:cs="Times New Roman" w:eastAsia="Times New Roman" w:hAnsi="Times New Roman"/>
          <w:b/>
          <w:bCs/>
          <w:sz w:val="22"/>
          <w:szCs w:val="22"/>
        </w:rPr>
        <w:t xml:space="preserve">Faithfulness: </w:t>
      </w:r>
      <w:r>
        <w:rPr>
          <w:rFonts w:ascii="Times New Roman" w:cs="Times New Roman" w:eastAsia="Times New Roman" w:hAnsi="Times New Roman"/>
          <w:sz w:val="22"/>
          <w:szCs w:val="22"/>
        </w:rPr>
        <w:t xml:space="preserve">Mixtral's larger effective capacity and 32K context window may allow it to better utilize the retrieved context, potentially yielding higher faithfulness scores than the 8B Llama model.</w:t>
      </w:r>
    </w:p>
    <w:p>
      <w:pPr>
        <w:pStyle w:val="ListParagraph"/>
        <w:numPr>
          <w:ilvl w:val="0"/>
          <w:numId w:val="2"/>
        </w:numPr>
        <w:spacing w:after="100"/>
      </w:pPr>
      <w:r>
        <w:rPr>
          <w:rFonts w:ascii="Times New Roman" w:cs="Times New Roman" w:eastAsia="Times New Roman" w:hAnsi="Times New Roman"/>
          <w:b/>
          <w:bCs/>
          <w:sz w:val="22"/>
          <w:szCs w:val="22"/>
        </w:rPr>
        <w:t xml:space="preserve">Answer Relevancy: </w:t>
      </w:r>
      <w:r>
        <w:rPr>
          <w:rFonts w:ascii="Times New Roman" w:cs="Times New Roman" w:eastAsia="Times New Roman" w:hAnsi="Times New Roman"/>
          <w:sz w:val="22"/>
          <w:szCs w:val="22"/>
        </w:rPr>
        <w:t xml:space="preserve">Llama-3.1-8B-Instant is optimized for instruction following and low latency; it may produce more concise, on-topic answers. Mixtral may produce more verbose responses.</w:t>
      </w:r>
    </w:p>
    <w:p>
      <w:pPr>
        <w:pStyle w:val="ListParagraph"/>
        <w:numPr>
          <w:ilvl w:val="0"/>
          <w:numId w:val="2"/>
        </w:numPr>
        <w:spacing w:after="100"/>
      </w:pPr>
      <w:r>
        <w:rPr>
          <w:rFonts w:ascii="Times New Roman" w:cs="Times New Roman" w:eastAsia="Times New Roman" w:hAnsi="Times New Roman"/>
          <w:b/>
          <w:bCs/>
          <w:sz w:val="22"/>
          <w:szCs w:val="22"/>
        </w:rPr>
        <w:t xml:space="preserve">ROUGE-L: </w:t>
      </w:r>
      <w:r>
        <w:rPr>
          <w:rFonts w:ascii="Times New Roman" w:cs="Times New Roman" w:eastAsia="Times New Roman" w:hAnsi="Times New Roman"/>
          <w:sz w:val="22"/>
          <w:szCs w:val="22"/>
        </w:rPr>
        <w:t xml:space="preserve">All models are expected to perform similarly on ROUGE-L since they share the same retrieved context. Differences will reflect paraphrasing style rather than factual content.</w:t>
      </w:r>
    </w:p>
    <w:p>
      <w:pPr>
        <w:pStyle w:val="ListParagraph"/>
        <w:numPr>
          <w:ilvl w:val="0"/>
          <w:numId w:val="2"/>
        </w:numPr>
        <w:spacing w:after="100"/>
      </w:pPr>
      <w:r>
        <w:rPr>
          <w:rFonts w:ascii="Times New Roman" w:cs="Times New Roman" w:eastAsia="Times New Roman" w:hAnsi="Times New Roman"/>
          <w:b/>
          <w:bCs/>
          <w:sz w:val="22"/>
          <w:szCs w:val="22"/>
        </w:rPr>
        <w:t xml:space="preserve">Retrieval Metrics: </w:t>
      </w:r>
      <w:r>
        <w:rPr>
          <w:rFonts w:ascii="Times New Roman" w:cs="Times New Roman" w:eastAsia="Times New Roman" w:hAnsi="Times New Roman"/>
          <w:sz w:val="22"/>
          <w:szCs w:val="22"/>
        </w:rPr>
        <w:t xml:space="preserve">Recall@3, Precision@3, and Context Relevancy are identical across all three models since the retriever is shared. Any difference in final answer quality is attributable solely to generation.</w:t>
      </w:r>
    </w:p>
    <w:p>
      <w:pPr>
        <w:spacing w:after="60"/>
      </w:pPr>
      <w:r>
        <w:t xml:space="preserve"/>
      </w:r>
    </w:p>
    <w:p>
      <w:pPr>
        <w:spacing w:after="200" w:line="276"/>
        <w:jc w:val="both"/>
      </w:pPr>
      <w:r>
        <w:rPr>
          <w:rFonts w:ascii="Times New Roman" w:cs="Times New Roman" w:eastAsia="Times New Roman" w:hAnsi="Times New Roman"/>
          <w:b w:val="false"/>
          <w:bCs w:val="false"/>
          <w:sz w:val="22"/>
          <w:szCs w:val="22"/>
        </w:rPr>
        <w:t xml:space="preserve">The controlled infrastructure design of this comparison — identical chunking, embedding model, vector store, system prompt, and test set — provides the strongest possible isolation of each model's generative capabilities. This is a key methodological strength of the study.</w:t>
      </w:r>
    </w:p>
    <w:p>
      <w:pPr>
        <w:pStyle w:val="Heading2"/>
        <w:spacing w:before="200" w:after="100"/>
      </w:pPr>
      <w:r>
        <w:rPr>
          <w:rFonts w:ascii="Times New Roman" w:cs="Times New Roman" w:eastAsia="Times New Roman" w:hAnsi="Times New Roman"/>
          <w:b/>
          <w:bCs/>
          <w:color w:val="2C5F8A"/>
          <w:sz w:val="22"/>
          <w:szCs w:val="22"/>
        </w:rPr>
        <w:t xml:space="preserve">C. Deployment Comparison</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1900"/>
      </w:tblGrid>
      <w:tr>
        <w:tc>
          <w:tcPr>
            <w:tcW w:type="dxa" w:w="25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Criterion</w:t>
            </w:r>
          </w:p>
        </w:tc>
        <w:tc>
          <w:tcPr>
            <w:tcW w:type="dxa" w:w="23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Qwen2.5 (Local)</w:t>
            </w:r>
          </w:p>
        </w:tc>
        <w:tc>
          <w:tcPr>
            <w:tcW w:type="dxa" w:w="23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Llama-3.1 (Groq)</w:t>
            </w:r>
          </w:p>
        </w:tc>
        <w:tc>
          <w:tcPr>
            <w:tcW w:type="dxa" w:w="1900"/>
            <w:tcBorders>
              <w:top w:val="single" w:color="2C5F8A" w:sz="1"/>
              <w:left w:val="single" w:color="2C5F8A" w:sz="1"/>
              <w:bottom w:val="single" w:color="2C5F8A" w:sz="1"/>
              <w:right w:val="single" w:color="2C5F8A" w:sz="1"/>
            </w:tcBorders>
            <w:shd w:fill="2C5F8A"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Mixtral (Groq)</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Offline Use</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Yes</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w:t>
            </w:r>
          </w:p>
        </w:tc>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Setup Complexity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High (model download, GPU)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Low (API key only)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Low (API key only)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Data Privacy</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Full (no data leaves)</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Sent to Groq servers</w:t>
            </w:r>
          </w:p>
        </w:tc>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Sent to Groq servers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Cost at Scale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Hardware cost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API rate limits apply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API rate limits apply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Response Speed</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Slow (CPU)</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Fast</w:t>
            </w:r>
          </w:p>
        </w:tc>
        <w:tc>
          <w:tcPr>
            <w:tcW w:type="dxa" w:w="1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Fast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Context Window</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~2K tokens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8K tokens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32K tokens</w:t>
            </w:r>
          </w:p>
        </w:tc>
      </w:tr>
    </w:tbl>
    <w:p>
      <w:pPr>
        <w:spacing w:after="120"/>
      </w:pPr>
      <w:r>
        <w:t xml:space="preserve"/>
      </w:r>
    </w:p>
    <w:p>
      <w:pPr>
        <w:spacing w:after="120"/>
      </w:pPr>
      <w:r>
        <w:t xml:space="preserve"/>
      </w:r>
    </w:p>
    <w:p>
      <w:pPr>
        <w:pStyle w:val="Heading1"/>
        <w:pBdr>
          <w:bottom w:val="single" w:color="2C5F8A" w:sz="4" w:space="4"/>
        </w:pBdr>
        <w:spacing w:before="240" w:after="120"/>
      </w:pPr>
      <w:r>
        <w:rPr>
          <w:rFonts w:ascii="Times New Roman" w:cs="Times New Roman" w:eastAsia="Times New Roman" w:hAnsi="Times New Roman"/>
          <w:b/>
          <w:bCs/>
          <w:color w:val="1F3864"/>
          <w:sz w:val="24"/>
          <w:szCs w:val="24"/>
        </w:rPr>
        <w:t xml:space="preserve">V. CONCLUSION AND FUTURE WORK</w:t>
      </w:r>
    </w:p>
    <w:p>
      <w:pPr>
        <w:spacing w:after="200" w:line="276"/>
        <w:jc w:val="both"/>
      </w:pPr>
      <w:r>
        <w:rPr>
          <w:rFonts w:ascii="Times New Roman" w:cs="Times New Roman" w:eastAsia="Times New Roman" w:hAnsi="Times New Roman"/>
          <w:b w:val="false"/>
          <w:bCs w:val="false"/>
          <w:sz w:val="22"/>
          <w:szCs w:val="22"/>
        </w:rPr>
        <w:t xml:space="preserve">This paper presented a comparative study of three language model backends integrated into an identical RAG pipeline for Philippine maritime labor law QA. The study spans a compact local model (Qwen2.5-1.5B), a standard API-served dense model (Llama-3.1-8B), and a Mixture-of-Experts API model (Mixtral-8x7B), providing a comprehensive view of the tradeoffs between local and cloud-based deployment, model size, and architectural design.</w:t>
      </w:r>
    </w:p>
    <w:p>
      <w:pPr>
        <w:spacing w:after="200" w:line="276"/>
        <w:jc w:val="both"/>
      </w:pPr>
      <w:r>
        <w:rPr>
          <w:rFonts w:ascii="Times New Roman" w:cs="Times New Roman" w:eastAsia="Times New Roman" w:hAnsi="Times New Roman"/>
          <w:b w:val="false"/>
          <w:bCs w:val="false"/>
          <w:sz w:val="22"/>
          <w:szCs w:val="22"/>
        </w:rPr>
        <w:t xml:space="preserve">The shared retrieval infrastructure ensures that generation-level metric differences are attributable solely to the language model, making this a methodologically rigorous comparison. The Gradio web interfaces for all three models allow direct user-facing comparison during demonstration.</w:t>
      </w:r>
    </w:p>
    <w:p>
      <w:pPr>
        <w:spacing w:after="200" w:line="276"/>
        <w:jc w:val="both"/>
      </w:pPr>
      <w:r>
        <w:rPr>
          <w:rFonts w:ascii="Times New Roman" w:cs="Times New Roman" w:eastAsia="Times New Roman" w:hAnsi="Times New Roman"/>
          <w:b w:val="false"/>
          <w:bCs w:val="false"/>
          <w:sz w:val="22"/>
          <w:szCs w:val="22"/>
        </w:rPr>
        <w:t xml:space="preserve">Future work directions include:</w:t>
      </w:r>
    </w:p>
    <w:p>
      <w:pPr>
        <w:pStyle w:val="ListParagraph"/>
        <w:numPr>
          <w:ilvl w:val="0"/>
          <w:numId w:val="3"/>
        </w:numPr>
        <w:spacing w:after="100"/>
      </w:pPr>
      <w:r>
        <w:rPr>
          <w:rFonts w:ascii="Times New Roman" w:cs="Times New Roman" w:eastAsia="Times New Roman" w:hAnsi="Times New Roman"/>
          <w:b/>
          <w:bCs/>
          <w:sz w:val="22"/>
          <w:szCs w:val="22"/>
        </w:rPr>
        <w:t xml:space="preserve">Sentence-aware chunking: </w:t>
      </w:r>
      <w:r>
        <w:rPr>
          <w:rFonts w:ascii="Times New Roman" w:cs="Times New Roman" w:eastAsia="Times New Roman" w:hAnsi="Times New Roman"/>
          <w:sz w:val="22"/>
          <w:szCs w:val="22"/>
        </w:rPr>
        <w:t xml:space="preserve">Replace character-based splitting with NLP tokenization to avoid mid-sentence boundaries.</w:t>
      </w:r>
    </w:p>
    <w:p>
      <w:pPr>
        <w:pStyle w:val="ListParagraph"/>
        <w:numPr>
          <w:ilvl w:val="0"/>
          <w:numId w:val="3"/>
        </w:numPr>
        <w:spacing w:after="100"/>
      </w:pPr>
      <w:r>
        <w:rPr>
          <w:rFonts w:ascii="Times New Roman" w:cs="Times New Roman" w:eastAsia="Times New Roman" w:hAnsi="Times New Roman"/>
          <w:b/>
          <w:bCs/>
          <w:sz w:val="22"/>
          <w:szCs w:val="22"/>
        </w:rPr>
        <w:t xml:space="preserve">Cross-encoder reranking: </w:t>
      </w:r>
      <w:r>
        <w:rPr>
          <w:rFonts w:ascii="Times New Roman" w:cs="Times New Roman" w:eastAsia="Times New Roman" w:hAnsi="Times New Roman"/>
          <w:sz w:val="22"/>
          <w:szCs w:val="22"/>
        </w:rPr>
        <w:t xml:space="preserve">Add a second-stage reranker to improve chunk selection before generation.</w:t>
      </w:r>
    </w:p>
    <w:p>
      <w:pPr>
        <w:pStyle w:val="ListParagraph"/>
        <w:numPr>
          <w:ilvl w:val="0"/>
          <w:numId w:val="3"/>
        </w:numPr>
        <w:spacing w:after="100"/>
      </w:pPr>
      <w:r>
        <w:rPr>
          <w:rFonts w:ascii="Times New Roman" w:cs="Times New Roman" w:eastAsia="Times New Roman" w:hAnsi="Times New Roman"/>
          <w:b/>
          <w:bCs/>
          <w:sz w:val="22"/>
          <w:szCs w:val="22"/>
        </w:rPr>
        <w:t xml:space="preserve">Hybrid retrieval: </w:t>
      </w:r>
      <w:r>
        <w:rPr>
          <w:rFonts w:ascii="Times New Roman" w:cs="Times New Roman" w:eastAsia="Times New Roman" w:hAnsi="Times New Roman"/>
          <w:sz w:val="22"/>
          <w:szCs w:val="22"/>
        </w:rPr>
        <w:t xml:space="preserve">Combine BM25 keyword search with dense retrieval for improved coverage on exact-match queries.</w:t>
      </w:r>
    </w:p>
    <w:p>
      <w:pPr>
        <w:pStyle w:val="ListParagraph"/>
        <w:numPr>
          <w:ilvl w:val="0"/>
          <w:numId w:val="3"/>
        </w:numPr>
        <w:spacing w:after="100"/>
      </w:pPr>
      <w:r>
        <w:rPr>
          <w:rFonts w:ascii="Times New Roman" w:cs="Times New Roman" w:eastAsia="Times New Roman" w:hAnsi="Times New Roman"/>
          <w:b/>
          <w:bCs/>
          <w:sz w:val="22"/>
          <w:szCs w:val="22"/>
        </w:rPr>
        <w:t xml:space="preserve">Fine-tuning: </w:t>
      </w:r>
      <w:r>
        <w:rPr>
          <w:rFonts w:ascii="Times New Roman" w:cs="Times New Roman" w:eastAsia="Times New Roman" w:hAnsi="Times New Roman"/>
          <w:sz w:val="22"/>
          <w:szCs w:val="22"/>
        </w:rPr>
        <w:t xml:space="preserve">Domain-specific fine-tuning of the smaller Qwen model on maritime QA pairs to narrow the performance gap with larger models.</w:t>
      </w:r>
    </w:p>
    <w:p>
      <w:pPr>
        <w:pStyle w:val="ListParagraph"/>
        <w:numPr>
          <w:ilvl w:val="0"/>
          <w:numId w:val="3"/>
        </w:numPr>
        <w:spacing w:after="100"/>
      </w:pPr>
      <w:r>
        <w:rPr>
          <w:rFonts w:ascii="Times New Roman" w:cs="Times New Roman" w:eastAsia="Times New Roman" w:hAnsi="Times New Roman"/>
          <w:b/>
          <w:bCs/>
          <w:sz w:val="22"/>
          <w:szCs w:val="22"/>
        </w:rPr>
        <w:t xml:space="preserve">Human evaluation: </w:t>
      </w:r>
      <w:r>
        <w:rPr>
          <w:rFonts w:ascii="Times New Roman" w:cs="Times New Roman" w:eastAsia="Times New Roman" w:hAnsi="Times New Roman"/>
          <w:sz w:val="22"/>
          <w:szCs w:val="22"/>
        </w:rPr>
        <w:t xml:space="preserve">Conduct user studies with maritime professionals to assess practical utility beyond automated proxy metrics.</w:t>
      </w:r>
    </w:p>
    <w:p>
      <w:pPr>
        <w:spacing w:after="120"/>
      </w:pPr>
      <w:r>
        <w:t xml:space="preserve"/>
      </w:r>
    </w:p>
    <w:p>
      <w:pPr>
        <w:pStyle w:val="Heading1"/>
        <w:pBdr>
          <w:bottom w:val="single" w:color="2C5F8A" w:sz="4" w:space="4"/>
        </w:pBdr>
        <w:spacing w:before="240" w:after="120"/>
      </w:pPr>
      <w:r>
        <w:rPr>
          <w:rFonts w:ascii="Times New Roman" w:cs="Times New Roman" w:eastAsia="Times New Roman" w:hAnsi="Times New Roman"/>
          <w:b/>
          <w:bCs/>
          <w:color w:val="1F3864"/>
          <w:sz w:val="24"/>
          <w:szCs w:val="24"/>
        </w:rPr>
        <w:t xml:space="preserve">REFERENCES</w:t>
      </w:r>
    </w:p>
    <w:p>
      <w:pPr>
        <w:spacing w:after="10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P. Lewis et al., "Retrieval-Augmented Generation for Knowledge-Intensive NLP Tasks," NeurIPS, 2020. — Primary theoretical foundation for the RAG pipeline.</w:t>
      </w:r>
    </w:p>
    <w:p>
      <w:pPr>
        <w:spacing w:after="10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N. Reimers and I. Gurevych, "Sentence-BERT: Sentence Embeddings using Siamese BERT-Networks," EMNLP, 2019. — Basis for all-MiniLM-L6-v2 embedding model selection.</w:t>
      </w:r>
    </w:p>
    <w:p>
      <w:pPr>
        <w:spacing w:after="10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Qwen Team, "Qwen2.5 Technical Report," Alibaba Cloud / Hugging Face, 2024. Available: https://huggingface.co/Qwen/Qwen2.5-1.5B-Instruct. — Used to understand Qwen2.5 instruction-following capabilities and chat template.</w:t>
      </w:r>
    </w:p>
    <w:p>
      <w:pPr>
        <w:spacing w:after="10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T. Dettmers et al., "QLoRA: Efficient Finetuning of Quantized LLMs," NeurIPS, 2023. — Informed 4-bit NF4 quantization configuration for Qwen local deployment.</w:t>
      </w:r>
    </w:p>
    <w:p>
      <w:pPr>
        <w:spacing w:after="10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Meta AI, "Llama 3.1 Model Card," Hugging Face, 2024. Available: https://huggingface.co/meta-llama/Llama-3.1-8B-Instruct. — Model capabilities and instruction format for Llama-3.1-8B-Instant.</w:t>
      </w:r>
    </w:p>
    <w:p>
      <w:pPr>
        <w:spacing w:after="10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A. Q. Jiang et al., "Mixtral of Experts," arXiv:2401.04088, 2024. — Architecture reference for Mixtral-8x7B Sparse Mixture-of-Experts design.</w:t>
      </w:r>
    </w:p>
    <w:p>
      <w:pPr>
        <w:spacing w:after="10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S. Es et al., "RAGAS: Automated Evaluation of Retrieval Augmented Generation," arXiv:2309.15217, 2023. — Definitions for Faithfulness, Answer Relevancy, and Context Relevancy metrics.</w:t>
      </w:r>
    </w:p>
    <w:p>
      <w:pPr>
        <w:spacing w:after="10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Philippine Overseas Employment Administration (POEA), "Standard Terms and Conditions Governing the Overseas Employment of Filipino Seafarers," POEA, Manila. — Primary knowledge base document.</w:t>
      </w:r>
    </w:p>
    <w:p>
      <w:pPr>
        <w:spacing w:after="10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Groq Inc., "Groq Cloud Documentation," 2024. Available: https://console.groq.com/docs. — Integration of Llama and Mixtral inference via Groq LPU API. Accessed March 2026.</w:t>
      </w:r>
    </w:p>
    <w:p>
      <w:pPr>
        <w:spacing w:after="10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Gradio, "Gradio Documentation," 2024. Available: https://www.gradio.app/docs. — Used to build Blocks-based web chat interfaces for all three model deployments.</w:t>
      </w:r>
    </w:p>
    <w:p>
      <w:pPr>
        <w:spacing w:after="10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Claude (Anthropic), claude.ai, 2026. — Used to assist in structuring the three-model comparison study, reviewing evaluation metric implementations, identifying the token-decoding bug in the original notebook, suggesting the Groq API migration, and selecting Mixtral-8x7B as the third comparison model. All AI suggestions were reviewed and validated by group members before inclusion. Complete conversation transcript included as ai_transcript_claude.txt in the project ZIP.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jc w:val="center"/>
    </w:pPr>
    <w:r>
      <w:rPr>
        <w:rFonts w:ascii="Times New Roman" w:cs="Times New Roman" w:eastAsia="Times New Roman" w:hAnsi="Times New Roman"/>
        <w:color w:val="666666"/>
        <w:sz w:val="18"/>
        <w:szCs w:val="18"/>
      </w:rPr>
      <w:t xml:space="preserve">SeamanBot: RAG-Based Maritime Labor Law Chatbot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jc w:val="center"/>
    </w:pPr>
    <w:r>
      <w:rPr>
        <w:rFonts w:ascii="Times New Roman" w:cs="Times New Roman" w:eastAsia="Times New Roman" w:hAnsi="Times New Roman"/>
        <w:color w:val="666666"/>
        <w:sz w:val="18"/>
        <w:szCs w:val="18"/>
      </w:rPr>
      <w:t xml:space="preserve">AI3 Machine Project | CSS181-03 Group Kamote | AY 2025-2026 Term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C5F8A" w:sz="4" w:space="4"/>
      </w:pBdr>
      <w:spacing w:before="240" w:after="120"/>
      <w:outlineLvl w:val="0"/>
    </w:pPr>
    <w:rPr>
      <w:rFonts w:ascii="Times New Roman" w:cs="Times New Roman" w:eastAsia="Times New Roman" w:hAnsi="Times New Roman"/>
      <w:b/>
      <w:bCs/>
      <w:color w:val="1F3864"/>
      <w:sz w:val="24"/>
      <w:szCs w:val="24"/>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color w:val="2C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2026-03-04T05:19:39.894Z</dcterms:created>
  <dcterms:modified xsi:type="dcterms:W3CDTF">2026-03-04T05:19:39.895Z</dcterms:modified>
</cp:coreProperties>
</file>

<file path=docProps/custom.xml><?xml version="1.0" encoding="utf-8"?>
<Properties xmlns="http://schemas.openxmlformats.org/officeDocument/2006/custom-properties" xmlns:vt="http://schemas.openxmlformats.org/officeDocument/2006/docPropsVTypes"/>
</file>