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DDF0E" w14:textId="41C21299" w:rsidR="00DC5E8F" w:rsidRDefault="00DC5E8F" w:rsidP="00DC5E8F">
      <w:pPr>
        <w:jc w:val="center"/>
        <w:rPr>
          <w:rFonts w:ascii="Times New Roman" w:hAnsi="Times New Roman" w:cs="Times New Roman"/>
          <w:b/>
          <w:bCs/>
          <w:sz w:val="24"/>
          <w:szCs w:val="24"/>
        </w:rPr>
      </w:pPr>
      <w:proofErr w:type="spellStart"/>
      <w:r w:rsidRPr="004F06DD">
        <w:rPr>
          <w:rFonts w:ascii="Times New Roman" w:hAnsi="Times New Roman" w:cs="Times New Roman"/>
          <w:b/>
          <w:bCs/>
          <w:sz w:val="24"/>
          <w:szCs w:val="24"/>
        </w:rPr>
        <w:t>Crowfunding</w:t>
      </w:r>
      <w:proofErr w:type="spellEnd"/>
      <w:r w:rsidRPr="004F06DD">
        <w:rPr>
          <w:rFonts w:ascii="Times New Roman" w:hAnsi="Times New Roman" w:cs="Times New Roman"/>
          <w:b/>
          <w:bCs/>
          <w:sz w:val="24"/>
          <w:szCs w:val="24"/>
        </w:rPr>
        <w:t xml:space="preserve"> Report</w:t>
      </w:r>
    </w:p>
    <w:p w14:paraId="06859573" w14:textId="0BAA56B7" w:rsidR="0027173B" w:rsidRPr="0027173B" w:rsidRDefault="0027173B" w:rsidP="00DC5E8F">
      <w:pPr>
        <w:jc w:val="center"/>
        <w:rPr>
          <w:rFonts w:ascii="Times New Roman" w:hAnsi="Times New Roman" w:cs="Times New Roman"/>
          <w:b/>
          <w:bCs/>
          <w:sz w:val="24"/>
          <w:szCs w:val="24"/>
        </w:rPr>
      </w:pPr>
      <w:r>
        <w:rPr>
          <w:rFonts w:ascii="Times New Roman" w:hAnsi="Times New Roman" w:cs="Times New Roman"/>
          <w:b/>
          <w:bCs/>
          <w:sz w:val="24"/>
          <w:szCs w:val="24"/>
        </w:rPr>
        <w:t>Jes</w:t>
      </w:r>
      <w:r w:rsidRPr="0027173B">
        <w:rPr>
          <w:rFonts w:ascii="Times New Roman" w:hAnsi="Times New Roman" w:cs="Times New Roman"/>
          <w:b/>
          <w:bCs/>
          <w:sz w:val="24"/>
          <w:szCs w:val="24"/>
        </w:rPr>
        <w:t>ú</w:t>
      </w:r>
      <w:r>
        <w:rPr>
          <w:rFonts w:ascii="Times New Roman" w:hAnsi="Times New Roman" w:cs="Times New Roman"/>
          <w:b/>
          <w:bCs/>
          <w:sz w:val="24"/>
          <w:szCs w:val="24"/>
        </w:rPr>
        <w:t>s E</w:t>
      </w:r>
      <w:r w:rsidR="00675298">
        <w:rPr>
          <w:rFonts w:ascii="Times New Roman" w:hAnsi="Times New Roman" w:cs="Times New Roman"/>
          <w:b/>
          <w:bCs/>
          <w:sz w:val="24"/>
          <w:szCs w:val="24"/>
        </w:rPr>
        <w:t xml:space="preserve">. </w:t>
      </w:r>
      <w:r>
        <w:rPr>
          <w:rFonts w:ascii="Times New Roman" w:hAnsi="Times New Roman" w:cs="Times New Roman"/>
          <w:b/>
          <w:bCs/>
          <w:sz w:val="24"/>
          <w:szCs w:val="24"/>
        </w:rPr>
        <w:t>Hernández</w:t>
      </w:r>
    </w:p>
    <w:p w14:paraId="0A45B318" w14:textId="32FF05E3" w:rsidR="00E0328B" w:rsidRPr="004F06DD" w:rsidRDefault="00DC5E8F" w:rsidP="00DC5E8F">
      <w:pPr>
        <w:pStyle w:val="NormalWeb"/>
        <w:spacing w:before="150" w:beforeAutospacing="0" w:after="0" w:afterAutospacing="0" w:line="360" w:lineRule="atLeast"/>
        <w:rPr>
          <w:b/>
          <w:bCs/>
          <w:color w:val="2B2B2B"/>
        </w:rPr>
      </w:pPr>
      <w:r w:rsidRPr="004F06DD">
        <w:rPr>
          <w:b/>
          <w:bCs/>
          <w:color w:val="2B2B2B"/>
        </w:rPr>
        <w:t>Given the provided data, what are three conclusions that we can draw about crowdfunding campaigns?</w:t>
      </w:r>
    </w:p>
    <w:p w14:paraId="7E253298" w14:textId="7C91948D" w:rsidR="00954384" w:rsidRPr="004F06DD" w:rsidRDefault="00954384" w:rsidP="004F06DD">
      <w:pPr>
        <w:pStyle w:val="NormalWeb"/>
        <w:spacing w:before="150" w:beforeAutospacing="0" w:after="0" w:afterAutospacing="0" w:line="360" w:lineRule="atLeast"/>
        <w:ind w:firstLine="720"/>
        <w:rPr>
          <w:color w:val="2B2B2B"/>
        </w:rPr>
      </w:pPr>
      <w:r w:rsidRPr="004F06DD">
        <w:rPr>
          <w:color w:val="2B2B2B"/>
        </w:rPr>
        <w:t>The Crowdfunding program's success is evident, primarily driven by the dominance of theater, film and video, and music programs. The lower representation of technology programs just below music programs suggests room for expansion. The balance between food and games programs underscores their comparable success potential. Overall, the program is on a positive trajectory, and further exploration into underrepresented areas, such as journalism, could lead to even greater success.</w:t>
      </w:r>
    </w:p>
    <w:p w14:paraId="7BFD17F5" w14:textId="77FCE32D" w:rsidR="006E1A15" w:rsidRPr="004F06DD" w:rsidRDefault="006E1A15" w:rsidP="004F06DD">
      <w:pPr>
        <w:pStyle w:val="NormalWeb"/>
        <w:spacing w:before="150" w:beforeAutospacing="0" w:after="0" w:afterAutospacing="0" w:line="360" w:lineRule="atLeast"/>
        <w:ind w:firstLine="720"/>
        <w:rPr>
          <w:color w:val="2B2B2B"/>
        </w:rPr>
      </w:pPr>
      <w:r w:rsidRPr="004F06DD">
        <w:rPr>
          <w:color w:val="2B2B2B"/>
        </w:rPr>
        <w:t xml:space="preserve">A more detailed analysis focusing on sub-categories reveals specific program areas with potential for enhancement. Plays, rock events, and web technology have demonstrated their strength, offering strategic directions for the foundation's future initiatives. Plays emerged as the dominant sub-category, </w:t>
      </w:r>
      <w:r w:rsidR="00E0328B" w:rsidRPr="004F06DD">
        <w:rPr>
          <w:color w:val="2B2B2B"/>
        </w:rPr>
        <w:t>showing</w:t>
      </w:r>
      <w:r w:rsidRPr="004F06DD">
        <w:rPr>
          <w:color w:val="2B2B2B"/>
        </w:rPr>
        <w:t xml:space="preserve"> the highest number of successful programs. While the initial category analysis suggested technology programs were underrepresented, a deeper dive reveals a different story. Understanding these nuances is crucial for achieving the foundation's overarching goals.</w:t>
      </w:r>
    </w:p>
    <w:p w14:paraId="7FABB7E5" w14:textId="5A415683" w:rsidR="006E1A15" w:rsidRPr="004F06DD" w:rsidRDefault="00E0328B" w:rsidP="004F06DD">
      <w:pPr>
        <w:pStyle w:val="NormalWeb"/>
        <w:spacing w:before="150" w:beforeAutospacing="0" w:after="0" w:afterAutospacing="0" w:line="360" w:lineRule="atLeast"/>
        <w:ind w:firstLine="720"/>
        <w:rPr>
          <w:color w:val="2B2B2B"/>
        </w:rPr>
      </w:pPr>
      <w:r w:rsidRPr="004F06DD">
        <w:rPr>
          <w:color w:val="2B2B2B"/>
        </w:rPr>
        <w:t xml:space="preserve">The analysis of program performance over the year demonstrates a consistent pattern of success. Throughout the year, the number of successful programs consistently exceeded the number of failed programs, indicating the sustained effectiveness of the initiatives. An important insight is the consistently low </w:t>
      </w:r>
      <w:proofErr w:type="gramStart"/>
      <w:r w:rsidRPr="004F06DD">
        <w:rPr>
          <w:color w:val="2B2B2B"/>
        </w:rPr>
        <w:t>count</w:t>
      </w:r>
      <w:proofErr w:type="gramEnd"/>
      <w:r w:rsidRPr="004F06DD">
        <w:rPr>
          <w:color w:val="2B2B2B"/>
        </w:rPr>
        <w:t xml:space="preserve"> of canceled programs, which remained under ten throughout the year. This finding supports the success of Crowdfunding campaigns, as the minimal cancellations indicate a high level of interest and commitment from backers.</w:t>
      </w:r>
    </w:p>
    <w:p w14:paraId="6DB29C23" w14:textId="3BA41C3A" w:rsidR="00E0328B" w:rsidRPr="004F06DD" w:rsidRDefault="00DC5E8F" w:rsidP="00DC5E8F">
      <w:pPr>
        <w:pStyle w:val="NormalWeb"/>
        <w:spacing w:before="150" w:beforeAutospacing="0" w:after="0" w:afterAutospacing="0" w:line="360" w:lineRule="atLeast"/>
        <w:rPr>
          <w:b/>
          <w:bCs/>
          <w:color w:val="2B2B2B"/>
        </w:rPr>
      </w:pPr>
      <w:r w:rsidRPr="004F06DD">
        <w:rPr>
          <w:b/>
          <w:bCs/>
          <w:color w:val="2B2B2B"/>
        </w:rPr>
        <w:t>What are some limitations of this dataset?</w:t>
      </w:r>
    </w:p>
    <w:p w14:paraId="32710CDD" w14:textId="55FFB74B" w:rsidR="00E0328B" w:rsidRPr="004F06DD" w:rsidRDefault="004F06DD" w:rsidP="004F06DD">
      <w:pPr>
        <w:pStyle w:val="NormalWeb"/>
        <w:spacing w:before="150" w:beforeAutospacing="0" w:after="0" w:afterAutospacing="0" w:line="360" w:lineRule="atLeast"/>
        <w:ind w:firstLine="720"/>
        <w:rPr>
          <w:color w:val="2B2B2B"/>
        </w:rPr>
      </w:pPr>
      <w:r w:rsidRPr="004F06DD">
        <w:rPr>
          <w:color w:val="2B2B2B"/>
        </w:rPr>
        <w:t xml:space="preserve">Some limitations are that the data did not specify the source and methodology used to collect </w:t>
      </w:r>
      <w:r w:rsidRPr="004F06DD">
        <w:rPr>
          <w:color w:val="2B2B2B"/>
        </w:rPr>
        <w:t>it</w:t>
      </w:r>
      <w:r w:rsidRPr="004F06DD">
        <w:rPr>
          <w:color w:val="2B2B2B"/>
        </w:rPr>
        <w:t>. The data dates may affect more recent developments. Lack of information about program cancelation may impede knowing the causes, including quality factors or management. The reports must address aspects like program impact, audience demographics, or geographical variations, which could provide a more comprehensive understanding of the programs.</w:t>
      </w:r>
    </w:p>
    <w:p w14:paraId="0953D492" w14:textId="77777777" w:rsidR="00DC5E8F" w:rsidRPr="004F06DD" w:rsidRDefault="00DC5E8F" w:rsidP="00DC5E8F">
      <w:pPr>
        <w:pStyle w:val="NormalWeb"/>
        <w:spacing w:before="150" w:beforeAutospacing="0" w:after="0" w:afterAutospacing="0" w:line="360" w:lineRule="atLeast"/>
        <w:rPr>
          <w:b/>
          <w:bCs/>
          <w:color w:val="2B2B2B"/>
        </w:rPr>
      </w:pPr>
      <w:r w:rsidRPr="004F06DD">
        <w:rPr>
          <w:b/>
          <w:bCs/>
          <w:color w:val="2B2B2B"/>
        </w:rPr>
        <w:t>What are some other possible tables and/or graphs that we could create, and what additional value would they provide?</w:t>
      </w:r>
    </w:p>
    <w:p w14:paraId="635C21EB" w14:textId="0D10BA98" w:rsidR="004F06DD" w:rsidRPr="004F06DD" w:rsidRDefault="004F06DD" w:rsidP="004F06DD">
      <w:pPr>
        <w:ind w:firstLine="720"/>
        <w:rPr>
          <w:rFonts w:ascii="Times New Roman" w:eastAsia="Times New Roman" w:hAnsi="Times New Roman" w:cs="Times New Roman"/>
          <w:color w:val="2B2B2B"/>
          <w:kern w:val="0"/>
          <w:sz w:val="24"/>
          <w:szCs w:val="24"/>
          <w14:ligatures w14:val="none"/>
        </w:rPr>
      </w:pPr>
      <w:r w:rsidRPr="004F06DD">
        <w:rPr>
          <w:rFonts w:ascii="Times New Roman" w:eastAsia="Times New Roman" w:hAnsi="Times New Roman" w:cs="Times New Roman"/>
          <w:color w:val="2B2B2B"/>
          <w:kern w:val="0"/>
          <w:sz w:val="24"/>
          <w:szCs w:val="24"/>
          <w14:ligatures w14:val="none"/>
        </w:rPr>
        <w:t xml:space="preserve">Examining success rates by country can provide valuable insights into demographics and geographical variations that influence program success. Delving into success rates by the </w:t>
      </w:r>
      <w:r w:rsidRPr="004F06DD">
        <w:rPr>
          <w:rFonts w:ascii="Times New Roman" w:eastAsia="Times New Roman" w:hAnsi="Times New Roman" w:cs="Times New Roman"/>
          <w:color w:val="2B2B2B"/>
          <w:kern w:val="0"/>
          <w:sz w:val="24"/>
          <w:szCs w:val="24"/>
          <w14:ligatures w14:val="none"/>
        </w:rPr>
        <w:lastRenderedPageBreak/>
        <w:t>company can uncover best practices, allowing us to adapt and optimize our strategies to achieve better results.</w:t>
      </w:r>
    </w:p>
    <w:p w14:paraId="26DFDCEC" w14:textId="77777777" w:rsidR="004F06DD" w:rsidRPr="004F06DD" w:rsidRDefault="004F06DD">
      <w:pPr>
        <w:rPr>
          <w:rFonts w:ascii="Times New Roman" w:hAnsi="Times New Roman" w:cs="Times New Roman"/>
          <w:b/>
          <w:bCs/>
          <w:sz w:val="24"/>
          <w:szCs w:val="24"/>
        </w:rPr>
      </w:pPr>
    </w:p>
    <w:p w14:paraId="5B600FBE" w14:textId="690A20B5" w:rsidR="004F06DD" w:rsidRPr="004F06DD" w:rsidRDefault="004F06DD">
      <w:pPr>
        <w:rPr>
          <w:rFonts w:ascii="Times New Roman" w:hAnsi="Times New Roman" w:cs="Times New Roman"/>
          <w:b/>
          <w:bCs/>
          <w:sz w:val="24"/>
          <w:szCs w:val="24"/>
        </w:rPr>
      </w:pPr>
    </w:p>
    <w:sectPr w:rsidR="004F06DD" w:rsidRPr="004F0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6F7E20"/>
    <w:multiLevelType w:val="multilevel"/>
    <w:tmpl w:val="C032A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993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E8F"/>
    <w:rsid w:val="0004333F"/>
    <w:rsid w:val="00220A9A"/>
    <w:rsid w:val="0022242B"/>
    <w:rsid w:val="0027173B"/>
    <w:rsid w:val="004F06DD"/>
    <w:rsid w:val="00675298"/>
    <w:rsid w:val="006E1A15"/>
    <w:rsid w:val="00954384"/>
    <w:rsid w:val="00B02DAA"/>
    <w:rsid w:val="00DC5E8F"/>
    <w:rsid w:val="00E03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E7F0D"/>
  <w15:chartTrackingRefBased/>
  <w15:docId w15:val="{7ED20D62-DBE2-468A-BBA2-A59E5D88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5E8F"/>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E8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DC5E8F"/>
    <w:rPr>
      <w:rFonts w:ascii="Times New Roman" w:eastAsia="Times New Roman" w:hAnsi="Times New Roman" w:cs="Times New Roman"/>
      <w:b/>
      <w:bCs/>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215444">
      <w:bodyDiv w:val="1"/>
      <w:marLeft w:val="0"/>
      <w:marRight w:val="0"/>
      <w:marTop w:val="0"/>
      <w:marBottom w:val="0"/>
      <w:divBdr>
        <w:top w:val="none" w:sz="0" w:space="0" w:color="auto"/>
        <w:left w:val="none" w:sz="0" w:space="0" w:color="auto"/>
        <w:bottom w:val="none" w:sz="0" w:space="0" w:color="auto"/>
        <w:right w:val="none" w:sz="0" w:space="0" w:color="auto"/>
      </w:divBdr>
    </w:div>
    <w:div w:id="178272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391</Words>
  <Characters>2234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Hernández</dc:creator>
  <cp:keywords/>
  <dc:description/>
  <cp:lastModifiedBy>Enrique Hernández</cp:lastModifiedBy>
  <cp:revision>2</cp:revision>
  <dcterms:created xsi:type="dcterms:W3CDTF">2023-08-22T05:47:00Z</dcterms:created>
  <dcterms:modified xsi:type="dcterms:W3CDTF">2023-08-22T07:00:00Z</dcterms:modified>
</cp:coreProperties>
</file>