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ptos" w:hAnsi="Aptos"/>
          <w:b/>
          <w:color w:val="0F766E"/>
          <w:sz w:val="18"/>
        </w:rPr>
        <w:t>BUSINESS GUIDE</w:t>
      </w:r>
    </w:p>
    <w:p>
      <w:pPr>
        <w:pStyle w:val="Title"/>
      </w:pPr>
      <w:r>
        <w:t>How PlutoniX Builds Applications</w:t>
      </w:r>
    </w:p>
    <w:p>
      <w:pPr>
        <w:pStyle w:val="Subtitle"/>
      </w:pPr>
      <w:r>
        <w:t>From a user instruction to a validated application, with reusable agents, memory, and visible decisions.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100" w:type="dxa"/>
              <w:start w:w="120" w:type="dxa"/>
              <w:bottom w:w="100" w:type="dxa"/>
              <w:end w:w="120" w:type="dxa"/>
            </w:tcMar>
            <w:vAlign w:val="center"/>
            <w:shd w:fill="EFF6FF"/>
          </w:tcPr>
          <w:p>
            <w:pPr>
              <w:spacing w:after="20"/>
            </w:pPr>
            <w:r>
              <w:rPr>
                <w:rFonts w:ascii="Aptos" w:hAnsi="Aptos"/>
                <w:b/>
                <w:color w:val="2563EB"/>
                <w:sz w:val="15"/>
              </w:rPr>
              <w:t>AUDIENCE</w:t>
              <w:br/>
            </w:r>
            <w:r>
              <w:rPr>
                <w:rFonts w:ascii="Aptos" w:hAnsi="Aptos"/>
                <w:b/>
                <w:color w:val="12233F"/>
                <w:sz w:val="20"/>
              </w:rPr>
              <w:t>Business stakeholders</w:t>
            </w:r>
          </w:p>
        </w:tc>
        <w:tc>
          <w:tcPr>
            <w:tcW w:type="dxa" w:w="3120"/>
            <w:tcMar>
              <w:top w:w="100" w:type="dxa"/>
              <w:start w:w="120" w:type="dxa"/>
              <w:bottom w:w="100" w:type="dxa"/>
              <w:end w:w="120" w:type="dxa"/>
            </w:tcMar>
            <w:vAlign w:val="center"/>
            <w:shd w:fill="EFF6FF"/>
          </w:tcPr>
          <w:p>
            <w:pPr>
              <w:spacing w:after="20"/>
            </w:pPr>
            <w:r>
              <w:rPr>
                <w:rFonts w:ascii="Aptos" w:hAnsi="Aptos"/>
                <w:b/>
                <w:color w:val="2563EB"/>
                <w:sz w:val="15"/>
              </w:rPr>
              <w:t>FORMAT</w:t>
              <w:br/>
            </w:r>
            <w:r>
              <w:rPr>
                <w:rFonts w:ascii="Aptos" w:hAnsi="Aptos"/>
                <w:b/>
                <w:color w:val="12233F"/>
                <w:sz w:val="20"/>
              </w:rPr>
              <w:t>10-stage workflow</w:t>
            </w:r>
          </w:p>
        </w:tc>
        <w:tc>
          <w:tcPr>
            <w:tcW w:type="dxa" w:w="3120"/>
            <w:tcMar>
              <w:top w:w="100" w:type="dxa"/>
              <w:start w:w="120" w:type="dxa"/>
              <w:bottom w:w="100" w:type="dxa"/>
              <w:end w:w="120" w:type="dxa"/>
            </w:tcMar>
            <w:vAlign w:val="center"/>
            <w:shd w:fill="EFF6FF"/>
          </w:tcPr>
          <w:p>
            <w:pPr>
              <w:spacing w:after="20"/>
            </w:pPr>
            <w:r>
              <w:rPr>
                <w:rFonts w:ascii="Aptos" w:hAnsi="Aptos"/>
                <w:b/>
                <w:color w:val="2563EB"/>
                <w:sz w:val="15"/>
              </w:rPr>
              <w:t>OUTCOME</w:t>
              <w:br/>
            </w:r>
            <w:r>
              <w:rPr>
                <w:rFonts w:ascii="Aptos" w:hAnsi="Aptos"/>
                <w:b/>
                <w:color w:val="12233F"/>
                <w:sz w:val="20"/>
              </w:rPr>
              <w:t>Traceable application build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CFDF5"/>
          </w:tcPr>
          <w:p>
            <w:r>
              <w:rPr>
                <w:rFonts w:ascii="Aptos" w:hAnsi="Aptos"/>
                <w:b/>
                <w:color w:val="0F766E"/>
                <w:sz w:val="17"/>
              </w:rPr>
              <w:t xml:space="preserve">IN ONE SENTENCE  </w:t>
            </w:r>
            <w:r>
              <w:rPr>
                <w:rFonts w:ascii="Aptos" w:hAnsi="Aptos"/>
                <w:b/>
                <w:color w:val="172033"/>
                <w:sz w:val="21"/>
              </w:rPr>
              <w:t>PlutoniX turns a business instruction into a governed build: it plans the work, assigns specialist agents, records selected and rejected decisions, validates evidence, and preserves the result for the next instruction.</w:t>
            </w:r>
          </w:p>
        </w:tc>
      </w:tr>
    </w:tbl>
    <w:p>
      <w:pPr>
        <w:spacing w:after="20"/>
      </w:pPr>
    </w:p>
    <w:p>
      <w:pPr>
        <w:pStyle w:val="Heading1"/>
      </w:pPr>
      <w:r>
        <w:t>The operating model</w:t>
      </w:r>
    </w:p>
    <w:p>
      <w:r>
        <w:t>PlutoniX is the parent orchestration authority. It owns the original objective, decides how much orchestration is necessary, delegates bounded work, and determines whether the completed result satisfies the request.</w:t>
      </w:r>
    </w:p>
    <w:tbl>
      <w:tblPr>
        <w:tblStyle w:val="TableGrid"/>
        <w:tblW w:type="dxa" w:w="9360"/>
        <w:tblLayout w:type="fixed"/>
        <w:tblLook w:firstColumn="1" w:firstRow="1" w:lastColumn="0" w:lastRow="0" w:noHBand="0" w:noVBand="1" w:val="04A0"/>
        <w:jc w:val="left"/>
        <w:tblInd w:w="120" w:type="dxa"/>
      </w:tblPr>
      <w:tblGrid>
        <w:gridCol w:w="2100"/>
        <w:gridCol w:w="4650"/>
        <w:gridCol w:w="2610"/>
      </w:tblGrid>
      <w:tr>
        <w:trPr>
          <w:tblHeader w:val="true"/>
        </w:trPr>
        <w:tc>
          <w:tcPr>
            <w:tcW w:type="dxa" w:w="2100"/>
            <w:tcMar>
              <w:top w:w="100" w:type="dxa"/>
              <w:start w:w="120" w:type="dxa"/>
              <w:bottom w:w="100" w:type="dxa"/>
              <w:end w:w="120" w:type="dxa"/>
            </w:tcMar>
            <w:vAlign w:val="center"/>
            <w:shd w:fill="12233F"/>
          </w:tcPr>
          <w:p>
            <w:pPr>
              <w:jc w:val="left"/>
            </w:pPr>
            <w:r>
              <w:rPr>
                <w:rFonts w:ascii="Aptos" w:hAnsi="Aptos"/>
                <w:b/>
                <w:color w:val="FFFFFF"/>
                <w:sz w:val="18"/>
              </w:rPr>
              <w:t>Participant</w:t>
            </w:r>
          </w:p>
        </w:tc>
        <w:tc>
          <w:tcPr>
            <w:tcW w:type="dxa" w:w="4650"/>
            <w:tcMar>
              <w:top w:w="100" w:type="dxa"/>
              <w:start w:w="120" w:type="dxa"/>
              <w:bottom w:w="100" w:type="dxa"/>
              <w:end w:w="120" w:type="dxa"/>
            </w:tcMar>
            <w:vAlign w:val="center"/>
            <w:shd w:fill="12233F"/>
          </w:tcPr>
          <w:p>
            <w:pPr>
              <w:jc w:val="left"/>
            </w:pPr>
            <w:r>
              <w:rPr>
                <w:rFonts w:ascii="Aptos" w:hAnsi="Aptos"/>
                <w:b/>
                <w:color w:val="FFFFFF"/>
                <w:sz w:val="18"/>
              </w:rPr>
              <w:t>Purpose</w:t>
            </w:r>
          </w:p>
        </w:tc>
        <w:tc>
          <w:tcPr>
            <w:tcW w:type="dxa" w:w="2610"/>
            <w:tcMar>
              <w:top w:w="100" w:type="dxa"/>
              <w:start w:w="120" w:type="dxa"/>
              <w:bottom w:w="100" w:type="dxa"/>
              <w:end w:w="120" w:type="dxa"/>
            </w:tcMar>
            <w:vAlign w:val="center"/>
            <w:shd w:fill="12233F"/>
          </w:tcPr>
          <w:p>
            <w:pPr>
              <w:jc w:val="left"/>
            </w:pPr>
            <w:r>
              <w:rPr>
                <w:rFonts w:ascii="Aptos" w:hAnsi="Aptos"/>
                <w:b/>
                <w:color w:val="FFFFFF"/>
                <w:sz w:val="18"/>
              </w:rPr>
              <w:t>Decision authority</w:t>
            </w:r>
          </w:p>
        </w:tc>
      </w:tr>
      <w:tr>
        <w:tc>
          <w:tcPr>
            <w:tcW w:type="dxa" w:w="2100"/>
            <w:tcMar>
              <w:top w:w="100" w:type="dxa"/>
              <w:start w:w="120" w:type="dxa"/>
              <w:bottom w:w="100" w:type="dxa"/>
              <w:end w:w="120" w:type="dxa"/>
            </w:tcMar>
            <w:vAlign w:val="center"/>
          </w:tcPr>
          <w:p>
            <w:r>
              <w:rPr>
                <w:rFonts w:ascii="Aptos" w:hAnsi="Aptos"/>
                <w:b/>
                <w:color w:val="172033"/>
                <w:sz w:val="18"/>
              </w:rPr>
              <w:t>PlutoniX Fullstack Agent</w:t>
            </w:r>
          </w:p>
        </w:tc>
        <w:tc>
          <w:tcPr>
            <w:tcW w:type="dxa" w:w="4650"/>
            <w:tcMar>
              <w:top w:w="100" w:type="dxa"/>
              <w:start w:w="120" w:type="dxa"/>
              <w:bottom w:w="100" w:type="dxa"/>
              <w:end w:w="120" w:type="dxa"/>
            </w:tcMar>
            <w:vAlign w:val="center"/>
          </w:tcPr>
          <w:p>
            <w:r>
              <w:rPr>
                <w:rFonts w:ascii="Aptos" w:hAnsi="Aptos"/>
                <w:b w:val="0"/>
                <w:color w:val="172033"/>
                <w:sz w:val="18"/>
              </w:rPr>
              <w:t>Plans the workflow, controls scope, assigns work, validates evidence, and closes the build.</w:t>
            </w:r>
          </w:p>
        </w:tc>
        <w:tc>
          <w:tcPr>
            <w:tcW w:type="dxa" w:w="2610"/>
            <w:tcMar>
              <w:top w:w="100" w:type="dxa"/>
              <w:start w:w="120" w:type="dxa"/>
              <w:bottom w:w="100" w:type="dxa"/>
              <w:end w:w="120" w:type="dxa"/>
            </w:tcMar>
            <w:vAlign w:val="center"/>
          </w:tcPr>
          <w:p>
            <w:r>
              <w:rPr>
                <w:rFonts w:ascii="Aptos" w:hAnsi="Aptos"/>
                <w:b w:val="0"/>
                <w:color w:val="172033"/>
                <w:sz w:val="18"/>
              </w:rPr>
              <w:t>Final authority</w:t>
            </w:r>
          </w:p>
        </w:tc>
      </w:tr>
      <w:tr>
        <w:tc>
          <w:tcPr>
            <w:tcW w:type="dxa" w:w="2100"/>
            <w:shd w:fill="F8FAFC"/>
            <w:tcMar>
              <w:top w:w="100" w:type="dxa"/>
              <w:start w:w="120" w:type="dxa"/>
              <w:bottom w:w="100" w:type="dxa"/>
              <w:end w:w="120" w:type="dxa"/>
            </w:tcMar>
            <w:vAlign w:val="center"/>
          </w:tcPr>
          <w:p>
            <w:r>
              <w:rPr>
                <w:rFonts w:ascii="Aptos" w:hAnsi="Aptos"/>
                <w:b/>
                <w:color w:val="172033"/>
                <w:sz w:val="18"/>
              </w:rPr>
              <w:t>Project orchestrator</w:t>
            </w:r>
          </w:p>
        </w:tc>
        <w:tc>
          <w:tcPr>
            <w:tcW w:type="dxa" w:w="4650"/>
            <w:shd w:fill="F8FAFC"/>
            <w:tcMar>
              <w:top w:w="100" w:type="dxa"/>
              <w:start w:w="120" w:type="dxa"/>
              <w:bottom w:w="100" w:type="dxa"/>
              <w:end w:w="120" w:type="dxa"/>
            </w:tcMar>
            <w:vAlign w:val="center"/>
          </w:tcPr>
          <w:p>
            <w:r>
              <w:rPr>
                <w:rFonts w:ascii="Aptos" w:hAnsi="Aptos"/>
                <w:b w:val="0"/>
                <w:color w:val="172033"/>
                <w:sz w:val="18"/>
              </w:rPr>
              <w:t>Applies project-specific policies, context, architecture, and memory.</w:t>
            </w:r>
          </w:p>
        </w:tc>
        <w:tc>
          <w:tcPr>
            <w:tcW w:type="dxa" w:w="2610"/>
            <w:shd w:fill="F8FAFC"/>
            <w:tcMar>
              <w:top w:w="100" w:type="dxa"/>
              <w:start w:w="120" w:type="dxa"/>
              <w:bottom w:w="100" w:type="dxa"/>
              <w:end w:w="120" w:type="dxa"/>
            </w:tcMar>
            <w:vAlign w:val="center"/>
          </w:tcPr>
          <w:p>
            <w:r>
              <w:rPr>
                <w:rFonts w:ascii="Aptos" w:hAnsi="Aptos"/>
                <w:b w:val="0"/>
                <w:color w:val="172033"/>
                <w:sz w:val="18"/>
              </w:rPr>
              <w:t>Bounded execution</w:t>
            </w:r>
          </w:p>
        </w:tc>
      </w:tr>
      <w:tr>
        <w:tc>
          <w:tcPr>
            <w:tcW w:type="dxa" w:w="2100"/>
            <w:tcMar>
              <w:top w:w="100" w:type="dxa"/>
              <w:start w:w="120" w:type="dxa"/>
              <w:bottom w:w="100" w:type="dxa"/>
              <w:end w:w="120" w:type="dxa"/>
            </w:tcMar>
            <w:vAlign w:val="center"/>
          </w:tcPr>
          <w:p>
            <w:r>
              <w:rPr>
                <w:rFonts w:ascii="Aptos" w:hAnsi="Aptos"/>
                <w:b/>
                <w:color w:val="172033"/>
                <w:sz w:val="18"/>
              </w:rPr>
              <w:t>Execution agents</w:t>
            </w:r>
          </w:p>
        </w:tc>
        <w:tc>
          <w:tcPr>
            <w:tcW w:type="dxa" w:w="4650"/>
            <w:tcMar>
              <w:top w:w="100" w:type="dxa"/>
              <w:start w:w="120" w:type="dxa"/>
              <w:bottom w:w="100" w:type="dxa"/>
              <w:end w:w="120" w:type="dxa"/>
            </w:tcMar>
            <w:vAlign w:val="center"/>
          </w:tcPr>
          <w:p>
            <w:r>
              <w:rPr>
                <w:rFonts w:ascii="Aptos" w:hAnsi="Aptos"/>
                <w:b w:val="0"/>
                <w:color w:val="172033"/>
                <w:sz w:val="18"/>
              </w:rPr>
              <w:t>Perform focused frontend, backend, data, runtime, content, or integration work.</w:t>
            </w:r>
          </w:p>
        </w:tc>
        <w:tc>
          <w:tcPr>
            <w:tcW w:type="dxa" w:w="2610"/>
            <w:tcMar>
              <w:top w:w="100" w:type="dxa"/>
              <w:start w:w="120" w:type="dxa"/>
              <w:bottom w:w="100" w:type="dxa"/>
              <w:end w:w="120" w:type="dxa"/>
            </w:tcMar>
            <w:vAlign w:val="center"/>
          </w:tcPr>
          <w:p>
            <w:r>
              <w:rPr>
                <w:rFonts w:ascii="Aptos" w:hAnsi="Aptos"/>
                <w:b w:val="0"/>
                <w:color w:val="172033"/>
                <w:sz w:val="18"/>
              </w:rPr>
              <w:t>Assigned task only</w:t>
            </w:r>
          </w:p>
        </w:tc>
      </w:tr>
      <w:tr>
        <w:tc>
          <w:tcPr>
            <w:tcW w:type="dxa" w:w="2100"/>
            <w:shd w:fill="F8FAFC"/>
            <w:tcMar>
              <w:top w:w="100" w:type="dxa"/>
              <w:start w:w="120" w:type="dxa"/>
              <w:bottom w:w="100" w:type="dxa"/>
              <w:end w:w="120" w:type="dxa"/>
            </w:tcMar>
            <w:vAlign w:val="center"/>
          </w:tcPr>
          <w:p>
            <w:r>
              <w:rPr>
                <w:rFonts w:ascii="Aptos" w:hAnsi="Aptos"/>
                <w:b/>
                <w:color w:val="172033"/>
                <w:sz w:val="18"/>
              </w:rPr>
              <w:t>QAgents</w:t>
            </w:r>
          </w:p>
        </w:tc>
        <w:tc>
          <w:tcPr>
            <w:tcW w:type="dxa" w:w="4650"/>
            <w:shd w:fill="F8FAFC"/>
            <w:tcMar>
              <w:top w:w="100" w:type="dxa"/>
              <w:start w:w="120" w:type="dxa"/>
              <w:bottom w:w="100" w:type="dxa"/>
              <w:end w:w="120" w:type="dxa"/>
            </w:tcMar>
            <w:vAlign w:val="center"/>
          </w:tcPr>
          <w:p>
            <w:r>
              <w:rPr>
                <w:rFonts w:ascii="Aptos" w:hAnsi="Aptos"/>
                <w:b w:val="0"/>
                <w:color w:val="172033"/>
                <w:sz w:val="18"/>
              </w:rPr>
              <w:t>Detect gaps, challenge weak evidence, and propose the next instruction when needed.</w:t>
            </w:r>
          </w:p>
        </w:tc>
        <w:tc>
          <w:tcPr>
            <w:tcW w:type="dxa" w:w="2610"/>
            <w:shd w:fill="F8FAFC"/>
            <w:tcMar>
              <w:top w:w="100" w:type="dxa"/>
              <w:start w:w="120" w:type="dxa"/>
              <w:bottom w:w="100" w:type="dxa"/>
              <w:end w:w="120" w:type="dxa"/>
            </w:tcMar>
            <w:vAlign w:val="center"/>
          </w:tcPr>
          <w:p>
            <w:r>
              <w:rPr>
                <w:rFonts w:ascii="Aptos" w:hAnsi="Aptos"/>
                <w:b w:val="0"/>
                <w:color w:val="172033"/>
                <w:sz w:val="18"/>
              </w:rPr>
              <w:t>Review and correction</w:t>
            </w:r>
          </w:p>
        </w:tc>
      </w:tr>
      <w:tr>
        <w:tc>
          <w:tcPr>
            <w:tcW w:type="dxa" w:w="2100"/>
            <w:tcMar>
              <w:top w:w="100" w:type="dxa"/>
              <w:start w:w="120" w:type="dxa"/>
              <w:bottom w:w="100" w:type="dxa"/>
              <w:end w:w="120" w:type="dxa"/>
            </w:tcMar>
            <w:vAlign w:val="center"/>
          </w:tcPr>
          <w:p>
            <w:r>
              <w:rPr>
                <w:rFonts w:ascii="Aptos" w:hAnsi="Aptos"/>
                <w:b/>
                <w:color w:val="172033"/>
                <w:sz w:val="18"/>
              </w:rPr>
              <w:t>Independent reviewer</w:t>
            </w:r>
          </w:p>
        </w:tc>
        <w:tc>
          <w:tcPr>
            <w:tcW w:type="dxa" w:w="4650"/>
            <w:tcMar>
              <w:top w:w="100" w:type="dxa"/>
              <w:start w:w="120" w:type="dxa"/>
              <w:bottom w:w="100" w:type="dxa"/>
              <w:end w:w="120" w:type="dxa"/>
            </w:tcMar>
            <w:vAlign w:val="center"/>
          </w:tcPr>
          <w:p>
            <w:r>
              <w:rPr>
                <w:rFonts w:ascii="Aptos" w:hAnsi="Aptos"/>
                <w:b w:val="0"/>
                <w:color w:val="172033"/>
                <w:sz w:val="18"/>
              </w:rPr>
              <w:t>Checks workspace evidence without modifying the project.</w:t>
            </w:r>
          </w:p>
        </w:tc>
        <w:tc>
          <w:tcPr>
            <w:tcW w:type="dxa" w:w="2610"/>
            <w:tcMar>
              <w:top w:w="100" w:type="dxa"/>
              <w:start w:w="120" w:type="dxa"/>
              <w:bottom w:w="100" w:type="dxa"/>
              <w:end w:w="120" w:type="dxa"/>
            </w:tcMar>
            <w:vAlign w:val="center"/>
          </w:tcPr>
          <w:p>
            <w:r>
              <w:rPr>
                <w:rFonts w:ascii="Aptos" w:hAnsi="Aptos"/>
                <w:b w:val="0"/>
                <w:color w:val="172033"/>
                <w:sz w:val="18"/>
              </w:rPr>
              <w:t>Pass/fail recommendation</w:t>
            </w:r>
          </w:p>
        </w:tc>
      </w:tr>
      <w:tr>
        <w:tc>
          <w:tcPr>
            <w:tcW w:type="dxa" w:w="2100"/>
            <w:shd w:fill="F8FAFC"/>
            <w:tcMar>
              <w:top w:w="100" w:type="dxa"/>
              <w:start w:w="120" w:type="dxa"/>
              <w:bottom w:w="100" w:type="dxa"/>
              <w:end w:w="120" w:type="dxa"/>
            </w:tcMar>
            <w:vAlign w:val="center"/>
          </w:tcPr>
          <w:p>
            <w:r>
              <w:rPr>
                <w:rFonts w:ascii="Aptos" w:hAnsi="Aptos"/>
                <w:b/>
                <w:color w:val="172033"/>
                <w:sz w:val="18"/>
              </w:rPr>
              <w:t>Human user</w:t>
            </w:r>
          </w:p>
        </w:tc>
        <w:tc>
          <w:tcPr>
            <w:tcW w:type="dxa" w:w="4650"/>
            <w:shd w:fill="F8FAFC"/>
            <w:tcMar>
              <w:top w:w="100" w:type="dxa"/>
              <w:start w:w="120" w:type="dxa"/>
              <w:bottom w:w="100" w:type="dxa"/>
              <w:end w:w="120" w:type="dxa"/>
            </w:tcMar>
            <w:vAlign w:val="center"/>
          </w:tcPr>
          <w:p>
            <w:r>
              <w:rPr>
                <w:rFonts w:ascii="Aptos" w:hAnsi="Aptos"/>
                <w:b w:val="0"/>
                <w:color w:val="172033"/>
                <w:sz w:val="18"/>
              </w:rPr>
              <w:t>Defines the objective and resolves choices that require business judgment.</w:t>
            </w:r>
          </w:p>
        </w:tc>
        <w:tc>
          <w:tcPr>
            <w:tcW w:type="dxa" w:w="2610"/>
            <w:shd w:fill="F8FAFC"/>
            <w:tcMar>
              <w:top w:w="100" w:type="dxa"/>
              <w:start w:w="120" w:type="dxa"/>
              <w:bottom w:w="100" w:type="dxa"/>
              <w:end w:w="120" w:type="dxa"/>
            </w:tcMar>
            <w:vAlign w:val="center"/>
          </w:tcPr>
          <w:p>
            <w:r>
              <w:rPr>
                <w:rFonts w:ascii="Aptos" w:hAnsi="Aptos"/>
                <w:b w:val="0"/>
                <w:color w:val="172033"/>
                <w:sz w:val="18"/>
              </w:rPr>
              <w:t>Business approval</w:t>
            </w:r>
          </w:p>
        </w:tc>
      </w:tr>
    </w:tbl>
    <w:p>
      <w:pPr>
        <w:spacing w:after="20"/>
      </w:pPr>
    </w:p>
    <w:p>
      <w:pPr>
        <w:pStyle w:val="Heading1"/>
      </w:pPr>
      <w:r>
        <w:t>End-to-end build flow</w:t>
      </w:r>
    </w:p>
    <w:p>
      <w:pPr>
        <w:pStyle w:val="ListNumber"/>
      </w:pPr>
      <w:r>
        <w:t>The user selects or creates a project and submits an instruction.</w:t>
      </w:r>
    </w:p>
    <w:p>
      <w:pPr>
        <w:pStyle w:val="ListNumber"/>
      </w:pPr>
      <w:r>
        <w:t>PlutoniX reads the task type, project identity, policies, available agents, and constraints.</w:t>
      </w:r>
    </w:p>
    <w:p>
      <w:pPr>
        <w:pStyle w:val="ListNumber"/>
      </w:pPr>
      <w:r>
        <w:t>Adaptive orchestration selects a direct, delegated, or independently reviewed route.</w:t>
      </w:r>
    </w:p>
    <w:p>
      <w:pPr>
        <w:pStyle w:val="ListNumber"/>
      </w:pPr>
      <w:r>
        <w:t>PlutoniX creates a parent workflow and assigns bounded child executions to responsible agents.</w:t>
      </w:r>
    </w:p>
    <w:p>
      <w:pPr>
        <w:pStyle w:val="ListNumber"/>
      </w:pPr>
      <w:r>
        <w:t>Agents implement selected features using project-specific context and reusable memory.</w:t>
      </w:r>
    </w:p>
    <w:p>
      <w:pPr>
        <w:pStyle w:val="ListNumber"/>
      </w:pPr>
      <w:r>
        <w:t>Each decision point records the available options, selected branches, rejected branches, reasons, and responsible agent.</w:t>
      </w:r>
    </w:p>
    <w:p>
      <w:pPr>
        <w:pStyle w:val="ListNumber"/>
      </w:pPr>
      <w:r>
        <w:t>PlutoniX collects generated-file evidence, validation results, reviewer findings, and runtime readiness.</w:t>
      </w:r>
    </w:p>
    <w:p>
      <w:pPr>
        <w:pStyle w:val="ListNumber"/>
      </w:pPr>
      <w:r>
        <w:t>Failures can be retried, simplified, redirected, or returned for human choice without falsely reporting completion.</w:t>
      </w:r>
    </w:p>
    <w:p>
      <w:pPr>
        <w:pStyle w:val="ListNumber"/>
      </w:pPr>
      <w:r>
        <w:t>A successful build produces a preview, changed files, generated features, agent work records, and an execution snapshot.</w:t>
      </w:r>
    </w:p>
    <w:p>
      <w:pPr>
        <w:pStyle w:val="ListNumber"/>
      </w:pPr>
      <w:r>
        <w:t>The project retains its history and memory so the next instruction begins with stronger context.</w:t>
      </w:r>
    </w:p>
    <w:p>
      <w:pPr>
        <w:pStyle w:val="Heading1"/>
      </w:pPr>
      <w:r>
        <w:t>How adaptive orchestration chooses a route</w:t>
      </w:r>
    </w:p>
    <w:p>
      <w:r>
        <w:t>Not every instruction needs the same number of agents or model calls. PlutoniX evaluates complexity, risk, project ownership, validation requirements, and the available model-call budget.</w:t>
      </w:r>
    </w:p>
    <w:tbl>
      <w:tblPr>
        <w:tblStyle w:val="TableGrid"/>
        <w:tblW w:type="dxa" w:w="9360"/>
        <w:tblLayout w:type="fixed"/>
        <w:tblLook w:firstColumn="1" w:firstRow="1" w:lastColumn="0" w:lastRow="0" w:noHBand="0" w:noVBand="1" w:val="04A0"/>
        <w:jc w:val="left"/>
        <w:tblInd w:w="120" w:type="dxa"/>
      </w:tblPr>
      <w:tblGrid>
        <w:gridCol w:w="1900"/>
        <w:gridCol w:w="3650"/>
        <w:gridCol w:w="3810"/>
      </w:tblGrid>
      <w:tr>
        <w:trPr>
          <w:tblHeader w:val="true"/>
        </w:trPr>
        <w:tc>
          <w:tcPr>
            <w:tcW w:type="dxa" w:w="1900"/>
            <w:tcMar>
              <w:top w:w="100" w:type="dxa"/>
              <w:start w:w="120" w:type="dxa"/>
              <w:bottom w:w="100" w:type="dxa"/>
              <w:end w:w="120" w:type="dxa"/>
            </w:tcMar>
            <w:vAlign w:val="center"/>
            <w:shd w:fill="0F766E"/>
          </w:tcPr>
          <w:p>
            <w:pPr>
              <w:jc w:val="left"/>
            </w:pPr>
            <w:r>
              <w:rPr>
                <w:rFonts w:ascii="Aptos" w:hAnsi="Aptos"/>
                <w:b/>
                <w:color w:val="FFFFFF"/>
                <w:sz w:val="18"/>
              </w:rPr>
              <w:t>Route</w:t>
            </w:r>
          </w:p>
        </w:tc>
        <w:tc>
          <w:tcPr>
            <w:tcW w:type="dxa" w:w="3650"/>
            <w:tcMar>
              <w:top w:w="100" w:type="dxa"/>
              <w:start w:w="120" w:type="dxa"/>
              <w:bottom w:w="100" w:type="dxa"/>
              <w:end w:w="120" w:type="dxa"/>
            </w:tcMar>
            <w:vAlign w:val="center"/>
            <w:shd w:fill="0F766E"/>
          </w:tcPr>
          <w:p>
            <w:pPr>
              <w:jc w:val="left"/>
            </w:pPr>
            <w:r>
              <w:rPr>
                <w:rFonts w:ascii="Aptos" w:hAnsi="Aptos"/>
                <w:b/>
                <w:color w:val="FFFFFF"/>
                <w:sz w:val="18"/>
              </w:rPr>
              <w:t>When it is selected</w:t>
            </w:r>
          </w:p>
        </w:tc>
        <w:tc>
          <w:tcPr>
            <w:tcW w:type="dxa" w:w="3810"/>
            <w:tcMar>
              <w:top w:w="100" w:type="dxa"/>
              <w:start w:w="120" w:type="dxa"/>
              <w:bottom w:w="100" w:type="dxa"/>
              <w:end w:w="120" w:type="dxa"/>
            </w:tcMar>
            <w:vAlign w:val="center"/>
            <w:shd w:fill="0F766E"/>
          </w:tcPr>
          <w:p>
            <w:pPr>
              <w:jc w:val="left"/>
            </w:pPr>
            <w:r>
              <w:rPr>
                <w:rFonts w:ascii="Aptos" w:hAnsi="Aptos"/>
                <w:b/>
                <w:color w:val="FFFFFF"/>
                <w:sz w:val="18"/>
              </w:rPr>
              <w:t>Typical flow</w:t>
            </w:r>
          </w:p>
        </w:tc>
      </w:tr>
      <w:tr>
        <w:tc>
          <w:tcPr>
            <w:tcW w:type="dxa" w:w="1900"/>
            <w:tcMar>
              <w:top w:w="100" w:type="dxa"/>
              <w:start w:w="120" w:type="dxa"/>
              <w:bottom w:w="100" w:type="dxa"/>
              <w:end w:w="120" w:type="dxa"/>
            </w:tcMar>
            <w:vAlign w:val="center"/>
          </w:tcPr>
          <w:p>
            <w:r>
              <w:rPr>
                <w:rFonts w:ascii="Aptos" w:hAnsi="Aptos"/>
                <w:b/>
                <w:color w:val="172033"/>
                <w:sz w:val="18"/>
              </w:rPr>
              <w:t>Single</w:t>
            </w:r>
          </w:p>
        </w:tc>
        <w:tc>
          <w:tcPr>
            <w:tcW w:type="dxa" w:w="3650"/>
            <w:tcMar>
              <w:top w:w="100" w:type="dxa"/>
              <w:start w:w="120" w:type="dxa"/>
              <w:bottom w:w="100" w:type="dxa"/>
              <w:end w:w="120" w:type="dxa"/>
            </w:tcMar>
            <w:vAlign w:val="center"/>
          </w:tcPr>
          <w:p>
            <w:r>
              <w:rPr>
                <w:rFonts w:ascii="Aptos" w:hAnsi="Aptos"/>
                <w:b w:val="0"/>
                <w:color w:val="172033"/>
                <w:sz w:val="18"/>
              </w:rPr>
              <w:t>Simple, low-risk work where delegation would add overhead.</w:t>
            </w:r>
          </w:p>
        </w:tc>
        <w:tc>
          <w:tcPr>
            <w:tcW w:type="dxa" w:w="3810"/>
            <w:tcMar>
              <w:top w:w="100" w:type="dxa"/>
              <w:start w:w="120" w:type="dxa"/>
              <w:bottom w:w="100" w:type="dxa"/>
              <w:end w:w="120" w:type="dxa"/>
            </w:tcMar>
            <w:vAlign w:val="center"/>
          </w:tcPr>
          <w:p>
            <w:r>
              <w:rPr>
                <w:rFonts w:ascii="Aptos" w:hAnsi="Aptos"/>
                <w:b w:val="0"/>
                <w:color w:val="172033"/>
                <w:sz w:val="18"/>
              </w:rPr>
              <w:t>PlutoniX plans, executes, validates, and records the result.</w:t>
            </w:r>
          </w:p>
        </w:tc>
      </w:tr>
      <w:tr>
        <w:tc>
          <w:tcPr>
            <w:tcW w:type="dxa" w:w="1900"/>
            <w:shd w:fill="F8FAFC"/>
            <w:tcMar>
              <w:top w:w="100" w:type="dxa"/>
              <w:start w:w="120" w:type="dxa"/>
              <w:bottom w:w="100" w:type="dxa"/>
              <w:end w:w="120" w:type="dxa"/>
            </w:tcMar>
            <w:vAlign w:val="center"/>
          </w:tcPr>
          <w:p>
            <w:r>
              <w:rPr>
                <w:rFonts w:ascii="Aptos" w:hAnsi="Aptos"/>
                <w:b/>
                <w:color w:val="172033"/>
                <w:sz w:val="18"/>
              </w:rPr>
              <w:t>Delegated</w:t>
            </w:r>
          </w:p>
        </w:tc>
        <w:tc>
          <w:tcPr>
            <w:tcW w:type="dxa" w:w="3650"/>
            <w:shd w:fill="F8FAFC"/>
            <w:tcMar>
              <w:top w:w="100" w:type="dxa"/>
              <w:start w:w="120" w:type="dxa"/>
              <w:bottom w:w="100" w:type="dxa"/>
              <w:end w:w="120" w:type="dxa"/>
            </w:tcMar>
            <w:vAlign w:val="center"/>
          </w:tcPr>
          <w:p>
            <w:r>
              <w:rPr>
                <w:rFonts w:ascii="Aptos" w:hAnsi="Aptos"/>
                <w:b w:val="0"/>
                <w:color w:val="172033"/>
                <w:sz w:val="18"/>
              </w:rPr>
              <w:t>Project-specific work benefits from a local orchestrator or specialist executor.</w:t>
            </w:r>
          </w:p>
        </w:tc>
        <w:tc>
          <w:tcPr>
            <w:tcW w:type="dxa" w:w="3810"/>
            <w:shd w:fill="F8FAFC"/>
            <w:tcMar>
              <w:top w:w="100" w:type="dxa"/>
              <w:start w:w="120" w:type="dxa"/>
              <w:bottom w:w="100" w:type="dxa"/>
              <w:end w:w="120" w:type="dxa"/>
            </w:tcMar>
            <w:vAlign w:val="center"/>
          </w:tcPr>
          <w:p>
            <w:r>
              <w:rPr>
                <w:rFonts w:ascii="Aptos" w:hAnsi="Aptos"/>
                <w:b w:val="0"/>
                <w:color w:val="172033"/>
                <w:sz w:val="18"/>
              </w:rPr>
              <w:t>PlutoniX delegates a bounded task and retains completion authority.</w:t>
            </w:r>
          </w:p>
        </w:tc>
      </w:tr>
      <w:tr>
        <w:tc>
          <w:tcPr>
            <w:tcW w:type="dxa" w:w="1900"/>
            <w:tcMar>
              <w:top w:w="100" w:type="dxa"/>
              <w:start w:w="120" w:type="dxa"/>
              <w:bottom w:w="100" w:type="dxa"/>
              <w:end w:w="120" w:type="dxa"/>
            </w:tcMar>
            <w:vAlign w:val="center"/>
          </w:tcPr>
          <w:p>
            <w:r>
              <w:rPr>
                <w:rFonts w:ascii="Aptos" w:hAnsi="Aptos"/>
                <w:b/>
                <w:color w:val="172033"/>
                <w:sz w:val="18"/>
              </w:rPr>
              <w:t>Delegated + reviewed</w:t>
            </w:r>
          </w:p>
        </w:tc>
        <w:tc>
          <w:tcPr>
            <w:tcW w:type="dxa" w:w="3650"/>
            <w:tcMar>
              <w:top w:w="100" w:type="dxa"/>
              <w:start w:w="120" w:type="dxa"/>
              <w:bottom w:w="100" w:type="dxa"/>
              <w:end w:w="120" w:type="dxa"/>
            </w:tcMar>
            <w:vAlign w:val="center"/>
          </w:tcPr>
          <w:p>
            <w:r>
              <w:rPr>
                <w:rFonts w:ascii="Aptos" w:hAnsi="Aptos"/>
                <w:b w:val="0"/>
                <w:color w:val="172033"/>
                <w:sz w:val="18"/>
              </w:rPr>
              <w:t>Hard, high-risk, or validation-sensitive work needs independent evidence.</w:t>
            </w:r>
          </w:p>
        </w:tc>
        <w:tc>
          <w:tcPr>
            <w:tcW w:type="dxa" w:w="3810"/>
            <w:tcMar>
              <w:top w:w="100" w:type="dxa"/>
              <w:start w:w="120" w:type="dxa"/>
              <w:bottom w:w="100" w:type="dxa"/>
              <w:end w:w="120" w:type="dxa"/>
            </w:tcMar>
            <w:vAlign w:val="center"/>
          </w:tcPr>
          <w:p>
            <w:r>
              <w:rPr>
                <w:rFonts w:ascii="Aptos" w:hAnsi="Aptos"/>
                <w:b w:val="0"/>
                <w:color w:val="172033"/>
                <w:sz w:val="18"/>
              </w:rPr>
              <w:t>Executor changes the workspace; a separate reviewer inspects it; PlutoniX decides completion.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FF6FF"/>
          </w:tcPr>
          <w:p>
            <w:r>
              <w:rPr>
                <w:rFonts w:ascii="Aptos" w:hAnsi="Aptos"/>
                <w:b/>
                <w:color w:val="2563EB"/>
                <w:sz w:val="17"/>
              </w:rPr>
              <w:t xml:space="preserve">WHY THIS MATTERS  </w:t>
            </w:r>
            <w:r>
              <w:rPr>
                <w:rFonts w:ascii="Aptos" w:hAnsi="Aptos"/>
                <w:b/>
                <w:color w:val="172033"/>
                <w:sz w:val="21"/>
              </w:rPr>
              <w:t>Adaptive routing avoids paying for unnecessary agents on simple work while preserving stronger review for complex or risky builds.</w:t>
            </w:r>
          </w:p>
        </w:tc>
      </w:tr>
    </w:tbl>
    <w:p>
      <w:pPr>
        <w:spacing w:after="20"/>
      </w:pPr>
    </w:p>
    <w:p>
      <w:pPr>
        <w:pStyle w:val="Heading1"/>
      </w:pPr>
      <w:r>
        <w:t>What a decision tree records</w:t>
      </w:r>
    </w:p>
    <w:p>
      <w:r>
        <w:t>Every build begins at one starting point and advances through staged decision points. Rejected choices terminate at the point where they were rejected. Selected choices continue into the next decision stage.</w:t>
      </w:r>
    </w:p>
    <w:tbl>
      <w:tblPr>
        <w:tblStyle w:val="TableGrid"/>
        <w:tblW w:type="dxa" w:w="9360"/>
        <w:tblLayout w:type="fixed"/>
        <w:tblLook w:firstColumn="1" w:firstRow="1" w:lastColumn="0" w:lastRow="0" w:noHBand="0" w:noVBand="1" w:val="04A0"/>
        <w:jc w:val="left"/>
        <w:tblInd w:w="120" w:type="dxa"/>
      </w:tblPr>
      <w:tblGrid>
        <w:gridCol w:w="1800"/>
        <w:gridCol w:w="3900"/>
        <w:gridCol w:w="3660"/>
      </w:tblGrid>
      <w:tr>
        <w:trPr>
          <w:tblHeader w:val="true"/>
        </w:trPr>
        <w:tc>
          <w:tcPr>
            <w:tcW w:type="dxa" w:w="1800"/>
            <w:tcMar>
              <w:top w:w="100" w:type="dxa"/>
              <w:start w:w="120" w:type="dxa"/>
              <w:bottom w:w="100" w:type="dxa"/>
              <w:end w:w="120" w:type="dxa"/>
            </w:tcMar>
            <w:vAlign w:val="center"/>
            <w:shd w:fill="12233F"/>
          </w:tcPr>
          <w:p>
            <w:pPr>
              <w:jc w:val="left"/>
            </w:pPr>
            <w:r>
              <w:rPr>
                <w:rFonts w:ascii="Aptos" w:hAnsi="Aptos"/>
                <w:b/>
                <w:color w:val="FFFFFF"/>
                <w:sz w:val="18"/>
              </w:rPr>
              <w:t>Stage</w:t>
            </w:r>
          </w:p>
        </w:tc>
        <w:tc>
          <w:tcPr>
            <w:tcW w:type="dxa" w:w="3900"/>
            <w:tcMar>
              <w:top w:w="100" w:type="dxa"/>
              <w:start w:w="120" w:type="dxa"/>
              <w:bottom w:w="100" w:type="dxa"/>
              <w:end w:w="120" w:type="dxa"/>
            </w:tcMar>
            <w:vAlign w:val="center"/>
            <w:shd w:fill="12233F"/>
          </w:tcPr>
          <w:p>
            <w:pPr>
              <w:jc w:val="left"/>
            </w:pPr>
            <w:r>
              <w:rPr>
                <w:rFonts w:ascii="Aptos" w:hAnsi="Aptos"/>
                <w:b/>
                <w:color w:val="FFFFFF"/>
                <w:sz w:val="18"/>
              </w:rPr>
              <w:t>Illustrative selected branch</w:t>
            </w:r>
          </w:p>
        </w:tc>
        <w:tc>
          <w:tcPr>
            <w:tcW w:type="dxa" w:w="3660"/>
            <w:tcMar>
              <w:top w:w="100" w:type="dxa"/>
              <w:start w:w="120" w:type="dxa"/>
              <w:bottom w:w="100" w:type="dxa"/>
              <w:end w:w="120" w:type="dxa"/>
            </w:tcMar>
            <w:vAlign w:val="center"/>
            <w:shd w:fill="12233F"/>
          </w:tcPr>
          <w:p>
            <w:pPr>
              <w:jc w:val="left"/>
            </w:pPr>
            <w:r>
              <w:rPr>
                <w:rFonts w:ascii="Aptos" w:hAnsi="Aptos"/>
                <w:b/>
                <w:color w:val="FFFFFF"/>
                <w:sz w:val="18"/>
              </w:rPr>
              <w:t>Illustrative rejected branches</w:t>
            </w:r>
          </w:p>
        </w:tc>
      </w:tr>
      <w:tr>
        <w:tc>
          <w:tcPr>
            <w:tcW w:type="dxa" w:w="1800"/>
            <w:tcMar>
              <w:top w:w="100" w:type="dxa"/>
              <w:start w:w="120" w:type="dxa"/>
              <w:bottom w:w="100" w:type="dxa"/>
              <w:end w:w="120" w:type="dxa"/>
            </w:tcMar>
            <w:vAlign w:val="center"/>
          </w:tcPr>
          <w:p>
            <w:r>
              <w:rPr>
                <w:rFonts w:ascii="Aptos" w:hAnsi="Aptos"/>
                <w:b/>
                <w:color w:val="172033"/>
                <w:sz w:val="18"/>
              </w:rPr>
              <w:t>Route selection</w:t>
            </w:r>
          </w:p>
        </w:tc>
        <w:tc>
          <w:tcPr>
            <w:tcW w:type="dxa" w:w="3900"/>
            <w:tcMar>
              <w:top w:w="100" w:type="dxa"/>
              <w:start w:w="120" w:type="dxa"/>
              <w:bottom w:w="100" w:type="dxa"/>
              <w:end w:w="120" w:type="dxa"/>
            </w:tcMar>
            <w:vAlign w:val="center"/>
          </w:tcPr>
          <w:p>
            <w:r>
              <w:rPr>
                <w:rFonts w:ascii="Aptos" w:hAnsi="Aptos"/>
                <w:b w:val="0"/>
                <w:color w:val="172033"/>
                <w:sz w:val="18"/>
              </w:rPr>
              <w:t>Delegated execution</w:t>
            </w:r>
          </w:p>
        </w:tc>
        <w:tc>
          <w:tcPr>
            <w:tcW w:type="dxa" w:w="3660"/>
            <w:tcMar>
              <w:top w:w="100" w:type="dxa"/>
              <w:start w:w="120" w:type="dxa"/>
              <w:bottom w:w="100" w:type="dxa"/>
              <w:end w:w="120" w:type="dxa"/>
            </w:tcMar>
            <w:vAlign w:val="center"/>
          </w:tcPr>
          <w:p>
            <w:r>
              <w:rPr>
                <w:rFonts w:ascii="Aptos" w:hAnsi="Aptos"/>
                <w:b w:val="0"/>
                <w:color w:val="172033"/>
                <w:sz w:val="18"/>
              </w:rPr>
              <w:t>Single route; delegated + independent review</w:t>
            </w:r>
          </w:p>
        </w:tc>
      </w:tr>
      <w:tr>
        <w:tc>
          <w:tcPr>
            <w:tcW w:type="dxa" w:w="1800"/>
            <w:shd w:fill="F8FAFC"/>
            <w:tcMar>
              <w:top w:w="100" w:type="dxa"/>
              <w:start w:w="120" w:type="dxa"/>
              <w:bottom w:w="100" w:type="dxa"/>
              <w:end w:w="120" w:type="dxa"/>
            </w:tcMar>
            <w:vAlign w:val="center"/>
          </w:tcPr>
          <w:p>
            <w:r>
              <w:rPr>
                <w:rFonts w:ascii="Aptos" w:hAnsi="Aptos"/>
                <w:b/>
                <w:color w:val="172033"/>
                <w:sz w:val="18"/>
              </w:rPr>
              <w:t>Agent assignment</w:t>
            </w:r>
          </w:p>
        </w:tc>
        <w:tc>
          <w:tcPr>
            <w:tcW w:type="dxa" w:w="3900"/>
            <w:shd w:fill="F8FAFC"/>
            <w:tcMar>
              <w:top w:w="100" w:type="dxa"/>
              <w:start w:w="120" w:type="dxa"/>
              <w:bottom w:w="100" w:type="dxa"/>
              <w:end w:w="120" w:type="dxa"/>
            </w:tcMar>
            <w:vAlign w:val="center"/>
          </w:tcPr>
          <w:p>
            <w:r>
              <w:rPr>
                <w:rFonts w:ascii="Aptos" w:hAnsi="Aptos"/>
                <w:b w:val="0"/>
                <w:color w:val="172033"/>
                <w:sz w:val="18"/>
              </w:rPr>
              <w:t>Project orchestrator and frontend agent</w:t>
            </w:r>
          </w:p>
        </w:tc>
        <w:tc>
          <w:tcPr>
            <w:tcW w:type="dxa" w:w="3660"/>
            <w:shd w:fill="F8FAFC"/>
            <w:tcMar>
              <w:top w:w="100" w:type="dxa"/>
              <w:start w:w="120" w:type="dxa"/>
              <w:bottom w:w="100" w:type="dxa"/>
              <w:end w:w="120" w:type="dxa"/>
            </w:tcMar>
            <w:vAlign w:val="center"/>
          </w:tcPr>
          <w:p>
            <w:r>
              <w:rPr>
                <w:rFonts w:ascii="Aptos" w:hAnsi="Aptos"/>
                <w:b w:val="0"/>
                <w:color w:val="172033"/>
                <w:sz w:val="18"/>
              </w:rPr>
              <w:t>Unassigned execution</w:t>
            </w:r>
          </w:p>
        </w:tc>
      </w:tr>
      <w:tr>
        <w:tc>
          <w:tcPr>
            <w:tcW w:type="dxa" w:w="1800"/>
            <w:tcMar>
              <w:top w:w="100" w:type="dxa"/>
              <w:start w:w="120" w:type="dxa"/>
              <w:bottom w:w="100" w:type="dxa"/>
              <w:end w:w="120" w:type="dxa"/>
            </w:tcMar>
            <w:vAlign w:val="center"/>
          </w:tcPr>
          <w:p>
            <w:r>
              <w:rPr>
                <w:rFonts w:ascii="Aptos" w:hAnsi="Aptos"/>
                <w:b/>
                <w:color w:val="172033"/>
                <w:sz w:val="18"/>
              </w:rPr>
              <w:t>Feature scope</w:t>
            </w:r>
          </w:p>
        </w:tc>
        <w:tc>
          <w:tcPr>
            <w:tcW w:type="dxa" w:w="3900"/>
            <w:tcMar>
              <w:top w:w="100" w:type="dxa"/>
              <w:start w:w="120" w:type="dxa"/>
              <w:bottom w:w="100" w:type="dxa"/>
              <w:end w:w="120" w:type="dxa"/>
            </w:tcMar>
            <w:vAlign w:val="center"/>
          </w:tcPr>
          <w:p>
            <w:r>
              <w:rPr>
                <w:rFonts w:ascii="Aptos" w:hAnsi="Aptos"/>
                <w:b w:val="0"/>
                <w:color w:val="172033"/>
                <w:sz w:val="18"/>
              </w:rPr>
              <w:t>Media analysis, filtering, reports</w:t>
            </w:r>
          </w:p>
        </w:tc>
        <w:tc>
          <w:tcPr>
            <w:tcW w:type="dxa" w:w="3660"/>
            <w:tcMar>
              <w:top w:w="100" w:type="dxa"/>
              <w:start w:w="120" w:type="dxa"/>
              <w:bottom w:w="100" w:type="dxa"/>
              <w:end w:w="120" w:type="dxa"/>
            </w:tcMar>
            <w:vAlign w:val="center"/>
          </w:tcPr>
          <w:p>
            <w:r>
              <w:rPr>
                <w:rFonts w:ascii="Aptos" w:hAnsi="Aptos"/>
                <w:b w:val="0"/>
                <w:color w:val="172033"/>
                <w:sz w:val="18"/>
              </w:rPr>
              <w:t>Template-only output; unrelated expansion</w:t>
            </w:r>
          </w:p>
        </w:tc>
      </w:tr>
      <w:tr>
        <w:tc>
          <w:tcPr>
            <w:tcW w:type="dxa" w:w="1800"/>
            <w:shd w:fill="F8FAFC"/>
            <w:tcMar>
              <w:top w:w="100" w:type="dxa"/>
              <w:start w:w="120" w:type="dxa"/>
              <w:bottom w:w="100" w:type="dxa"/>
              <w:end w:w="120" w:type="dxa"/>
            </w:tcMar>
            <w:vAlign w:val="center"/>
          </w:tcPr>
          <w:p>
            <w:r>
              <w:rPr>
                <w:rFonts w:ascii="Aptos" w:hAnsi="Aptos"/>
                <w:b/>
                <w:color w:val="172033"/>
                <w:sz w:val="18"/>
              </w:rPr>
              <w:t>Completion gate</w:t>
            </w:r>
          </w:p>
        </w:tc>
        <w:tc>
          <w:tcPr>
            <w:tcW w:type="dxa" w:w="3900"/>
            <w:shd w:fill="F8FAFC"/>
            <w:tcMar>
              <w:top w:w="100" w:type="dxa"/>
              <w:start w:w="120" w:type="dxa"/>
              <w:bottom w:w="100" w:type="dxa"/>
              <w:end w:w="120" w:type="dxa"/>
            </w:tcMar>
            <w:vAlign w:val="center"/>
          </w:tcPr>
          <w:p>
            <w:r>
              <w:rPr>
                <w:rFonts w:ascii="Aptos" w:hAnsi="Aptos"/>
                <w:b w:val="0"/>
                <w:color w:val="172033"/>
                <w:sz w:val="18"/>
              </w:rPr>
              <w:t>Approve build after evidence passes</w:t>
            </w:r>
          </w:p>
        </w:tc>
        <w:tc>
          <w:tcPr>
            <w:tcW w:type="dxa" w:w="3660"/>
            <w:shd w:fill="F8FAFC"/>
            <w:tcMar>
              <w:top w:w="100" w:type="dxa"/>
              <w:start w:w="120" w:type="dxa"/>
              <w:bottom w:w="100" w:type="dxa"/>
              <w:end w:w="120" w:type="dxa"/>
            </w:tcMar>
            <w:vAlign w:val="center"/>
          </w:tcPr>
          <w:p>
            <w:r>
              <w:rPr>
                <w:rFonts w:ascii="Aptos" w:hAnsi="Aptos"/>
                <w:b w:val="0"/>
                <w:color w:val="172033"/>
                <w:sz w:val="18"/>
              </w:rPr>
              <w:t>Reject completion when evidence is sufficient</w:t>
            </w:r>
          </w:p>
        </w:tc>
      </w:tr>
    </w:tbl>
    <w:p>
      <w:pPr>
        <w:spacing w:after="20"/>
      </w:pPr>
    </w:p>
    <w:p>
      <w:pPr>
        <w:pStyle w:val="Heading2"/>
      </w:pPr>
      <w:r>
        <w:t>Selection and rejection evidence</w:t>
      </w:r>
    </w:p>
    <w:p>
      <w:pPr>
        <w:pStyle w:val="ListBullet"/>
      </w:pPr>
      <w:r>
        <w:t>Every branch includes a state: selected, rejected, completed, passed, or failed.</w:t>
      </w:r>
    </w:p>
    <w:p>
      <w:pPr>
        <w:pStyle w:val="ListBullet"/>
      </w:pPr>
      <w:r>
        <w:t>Every decision includes its reason, constraint, and responsible agent.</w:t>
      </w:r>
    </w:p>
    <w:p>
      <w:pPr>
        <w:pStyle w:val="ListBullet"/>
      </w:pPr>
      <w:r>
        <w:t>Rejected branches remain visible so stakeholders understand what the system deliberately did not build.</w:t>
      </w:r>
    </w:p>
    <w:p>
      <w:pPr>
        <w:pStyle w:val="ListBullet"/>
      </w:pPr>
      <w:r>
        <w:t>Selected feature branches identify what was generated and which execution agent produced the evidence.</w:t>
      </w:r>
    </w:p>
    <w:p>
      <w:pPr>
        <w:pStyle w:val="Heading1"/>
      </w:pPr>
      <w:r>
        <w:t>What agents do during a build</w:t>
      </w:r>
    </w:p>
    <w:p>
      <w:r>
        <w:t>Agents are reusable workers with distinct responsibilities and memory. Their identities remain visually consistent across the Agents page, runtime activity, decision tree, and Execution Snapshot.</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100" w:type="dxa"/>
              <w:start w:w="120" w:type="dxa"/>
              <w:bottom w:w="100" w:type="dxa"/>
              <w:end w:w="120" w:type="dxa"/>
            </w:tcMar>
            <w:vAlign w:val="center"/>
            <w:shd w:fill="12233F"/>
          </w:tcPr>
          <w:p>
            <w:pPr>
              <w:jc w:val="left"/>
            </w:pPr>
            <w:r>
              <w:rPr>
                <w:rFonts w:ascii="Aptos" w:hAnsi="Aptos"/>
                <w:b/>
                <w:color w:val="FFFFFF"/>
                <w:sz w:val="18"/>
              </w:rPr>
              <w:t>Work category</w:t>
            </w:r>
          </w:p>
        </w:tc>
        <w:tc>
          <w:tcPr>
            <w:tcW w:type="dxa" w:w="6960"/>
            <w:tcMar>
              <w:top w:w="100" w:type="dxa"/>
              <w:start w:w="120" w:type="dxa"/>
              <w:bottom w:w="100" w:type="dxa"/>
              <w:end w:w="120" w:type="dxa"/>
            </w:tcMar>
            <w:vAlign w:val="center"/>
            <w:shd w:fill="12233F"/>
          </w:tcPr>
          <w:p>
            <w:pPr>
              <w:jc w:val="left"/>
            </w:pPr>
            <w:r>
              <w:rPr>
                <w:rFonts w:ascii="Aptos" w:hAnsi="Aptos"/>
                <w:b/>
                <w:color w:val="FFFFFF"/>
                <w:sz w:val="18"/>
              </w:rPr>
              <w:t>Examples of recorded agent work</w:t>
            </w:r>
          </w:p>
        </w:tc>
      </w:tr>
      <w:tr>
        <w:tc>
          <w:tcPr>
            <w:tcW w:type="dxa" w:w="2400"/>
            <w:tcMar>
              <w:top w:w="100" w:type="dxa"/>
              <w:start w:w="120" w:type="dxa"/>
              <w:bottom w:w="100" w:type="dxa"/>
              <w:end w:w="120" w:type="dxa"/>
            </w:tcMar>
            <w:vAlign w:val="center"/>
          </w:tcPr>
          <w:p>
            <w:r>
              <w:rPr>
                <w:rFonts w:ascii="Aptos" w:hAnsi="Aptos"/>
                <w:b/>
                <w:color w:val="172033"/>
                <w:sz w:val="18"/>
              </w:rPr>
              <w:t>Planning</w:t>
            </w:r>
          </w:p>
        </w:tc>
        <w:tc>
          <w:tcPr>
            <w:tcW w:type="dxa" w:w="6960"/>
            <w:tcMar>
              <w:top w:w="100" w:type="dxa"/>
              <w:start w:w="120" w:type="dxa"/>
              <w:bottom w:w="100" w:type="dxa"/>
              <w:end w:w="120" w:type="dxa"/>
            </w:tcMar>
            <w:vAlign w:val="center"/>
          </w:tcPr>
          <w:p>
            <w:r>
              <w:rPr>
                <w:rFonts w:ascii="Aptos" w:hAnsi="Aptos"/>
                <w:b w:val="0"/>
                <w:color w:val="172033"/>
                <w:sz w:val="18"/>
              </w:rPr>
              <w:t>Classify the task, preserve the objective, identify constraints, and choose an execution route.</w:t>
            </w:r>
          </w:p>
        </w:tc>
      </w:tr>
      <w:tr>
        <w:tc>
          <w:tcPr>
            <w:tcW w:type="dxa" w:w="2400"/>
            <w:shd w:fill="F8FAFC"/>
            <w:tcMar>
              <w:top w:w="100" w:type="dxa"/>
              <w:start w:w="120" w:type="dxa"/>
              <w:bottom w:w="100" w:type="dxa"/>
              <w:end w:w="120" w:type="dxa"/>
            </w:tcMar>
            <w:vAlign w:val="center"/>
          </w:tcPr>
          <w:p>
            <w:r>
              <w:rPr>
                <w:rFonts w:ascii="Aptos" w:hAnsi="Aptos"/>
                <w:b/>
                <w:color w:val="172033"/>
                <w:sz w:val="18"/>
              </w:rPr>
              <w:t>Project context</w:t>
            </w:r>
          </w:p>
        </w:tc>
        <w:tc>
          <w:tcPr>
            <w:tcW w:type="dxa" w:w="6960"/>
            <w:shd w:fill="F8FAFC"/>
            <w:tcMar>
              <w:top w:w="100" w:type="dxa"/>
              <w:start w:w="120" w:type="dxa"/>
              <w:bottom w:w="100" w:type="dxa"/>
              <w:end w:w="120" w:type="dxa"/>
            </w:tcMar>
            <w:vAlign w:val="center"/>
          </w:tcPr>
          <w:p>
            <w:r>
              <w:rPr>
                <w:rFonts w:ascii="Aptos" w:hAnsi="Aptos"/>
                <w:b w:val="0"/>
                <w:color w:val="172033"/>
                <w:sz w:val="18"/>
              </w:rPr>
              <w:t>Load project policies, existing architecture, prior decisions, and relevant memory.</w:t>
            </w:r>
          </w:p>
        </w:tc>
      </w:tr>
      <w:tr>
        <w:tc>
          <w:tcPr>
            <w:tcW w:type="dxa" w:w="2400"/>
            <w:tcMar>
              <w:top w:w="100" w:type="dxa"/>
              <w:start w:w="120" w:type="dxa"/>
              <w:bottom w:w="100" w:type="dxa"/>
              <w:end w:w="120" w:type="dxa"/>
            </w:tcMar>
            <w:vAlign w:val="center"/>
          </w:tcPr>
          <w:p>
            <w:r>
              <w:rPr>
                <w:rFonts w:ascii="Aptos" w:hAnsi="Aptos"/>
                <w:b/>
                <w:color w:val="172033"/>
                <w:sz w:val="18"/>
              </w:rPr>
              <w:t>Implementation</w:t>
            </w:r>
          </w:p>
        </w:tc>
        <w:tc>
          <w:tcPr>
            <w:tcW w:type="dxa" w:w="6960"/>
            <w:tcMar>
              <w:top w:w="100" w:type="dxa"/>
              <w:start w:w="120" w:type="dxa"/>
              <w:bottom w:w="100" w:type="dxa"/>
              <w:end w:w="120" w:type="dxa"/>
            </w:tcMar>
            <w:vAlign w:val="center"/>
          </w:tcPr>
          <w:p>
            <w:r>
              <w:rPr>
                <w:rFonts w:ascii="Aptos" w:hAnsi="Aptos"/>
                <w:b w:val="0"/>
                <w:color w:val="172033"/>
                <w:sz w:val="18"/>
              </w:rPr>
              <w:t>Create or modify routes, components, data structures, styles, services, tests, and configuration.</w:t>
            </w:r>
          </w:p>
        </w:tc>
      </w:tr>
      <w:tr>
        <w:tc>
          <w:tcPr>
            <w:tcW w:type="dxa" w:w="2400"/>
            <w:shd w:fill="F8FAFC"/>
            <w:tcMar>
              <w:top w:w="100" w:type="dxa"/>
              <w:start w:w="120" w:type="dxa"/>
              <w:bottom w:w="100" w:type="dxa"/>
              <w:end w:w="120" w:type="dxa"/>
            </w:tcMar>
            <w:vAlign w:val="center"/>
          </w:tcPr>
          <w:p>
            <w:r>
              <w:rPr>
                <w:rFonts w:ascii="Aptos" w:hAnsi="Aptos"/>
                <w:b/>
                <w:color w:val="172033"/>
                <w:sz w:val="18"/>
              </w:rPr>
              <w:t>Feature generation</w:t>
            </w:r>
          </w:p>
        </w:tc>
        <w:tc>
          <w:tcPr>
            <w:tcW w:type="dxa" w:w="6960"/>
            <w:shd w:fill="F8FAFC"/>
            <w:tcMar>
              <w:top w:w="100" w:type="dxa"/>
              <w:start w:w="120" w:type="dxa"/>
              <w:bottom w:w="100" w:type="dxa"/>
              <w:end w:w="120" w:type="dxa"/>
            </w:tcMar>
            <w:vAlign w:val="center"/>
          </w:tcPr>
          <w:p>
            <w:r>
              <w:rPr>
                <w:rFonts w:ascii="Aptos" w:hAnsi="Aptos"/>
                <w:b w:val="0"/>
                <w:color w:val="172033"/>
                <w:sz w:val="18"/>
              </w:rPr>
              <w:t>Record each generated functionality and the action or file that provides evidence for it.</w:t>
            </w:r>
          </w:p>
        </w:tc>
      </w:tr>
      <w:tr>
        <w:tc>
          <w:tcPr>
            <w:tcW w:type="dxa" w:w="2400"/>
            <w:tcMar>
              <w:top w:w="100" w:type="dxa"/>
              <w:start w:w="120" w:type="dxa"/>
              <w:bottom w:w="100" w:type="dxa"/>
              <w:end w:w="120" w:type="dxa"/>
            </w:tcMar>
            <w:vAlign w:val="center"/>
          </w:tcPr>
          <w:p>
            <w:r>
              <w:rPr>
                <w:rFonts w:ascii="Aptos" w:hAnsi="Aptos"/>
                <w:b/>
                <w:color w:val="172033"/>
                <w:sz w:val="18"/>
              </w:rPr>
              <w:t>Validation</w:t>
            </w:r>
          </w:p>
        </w:tc>
        <w:tc>
          <w:tcPr>
            <w:tcW w:type="dxa" w:w="6960"/>
            <w:tcMar>
              <w:top w:w="100" w:type="dxa"/>
              <w:start w:w="120" w:type="dxa"/>
              <w:bottom w:w="100" w:type="dxa"/>
              <w:end w:w="120" w:type="dxa"/>
            </w:tcMar>
            <w:vAlign w:val="center"/>
          </w:tcPr>
          <w:p>
            <w:r>
              <w:rPr>
                <w:rFonts w:ascii="Aptos" w:hAnsi="Aptos"/>
                <w:b w:val="0"/>
                <w:color w:val="172033"/>
                <w:sz w:val="18"/>
              </w:rPr>
              <w:t>Inspect files, tests, runtime state, preview readiness, and independent review results.</w:t>
            </w:r>
          </w:p>
        </w:tc>
      </w:tr>
      <w:tr>
        <w:tc>
          <w:tcPr>
            <w:tcW w:type="dxa" w:w="2400"/>
            <w:shd w:fill="F8FAFC"/>
            <w:tcMar>
              <w:top w:w="100" w:type="dxa"/>
              <w:start w:w="120" w:type="dxa"/>
              <w:bottom w:w="100" w:type="dxa"/>
              <w:end w:w="120" w:type="dxa"/>
            </w:tcMar>
            <w:vAlign w:val="center"/>
          </w:tcPr>
          <w:p>
            <w:r>
              <w:rPr>
                <w:rFonts w:ascii="Aptos" w:hAnsi="Aptos"/>
                <w:b/>
                <w:color w:val="172033"/>
                <w:sz w:val="18"/>
              </w:rPr>
              <w:t>Learning</w:t>
            </w:r>
          </w:p>
        </w:tc>
        <w:tc>
          <w:tcPr>
            <w:tcW w:type="dxa" w:w="6960"/>
            <w:shd w:fill="F8FAFC"/>
            <w:tcMar>
              <w:top w:w="100" w:type="dxa"/>
              <w:start w:w="120" w:type="dxa"/>
              <w:bottom w:w="100" w:type="dxa"/>
              <w:end w:w="120" w:type="dxa"/>
            </w:tcMar>
            <w:vAlign w:val="center"/>
          </w:tcPr>
          <w:p>
            <w:r>
              <w:rPr>
                <w:rFonts w:ascii="Aptos" w:hAnsi="Aptos"/>
                <w:b w:val="0"/>
                <w:color w:val="172033"/>
                <w:sz w:val="18"/>
              </w:rPr>
              <w:t>Store durable lessons, correction patterns, and reusable project knowledge for future tasks.</w:t>
            </w:r>
          </w:p>
        </w:tc>
      </w:tr>
    </w:tbl>
    <w:p>
      <w:pPr>
        <w:spacing w:after="20"/>
      </w:pPr>
    </w:p>
    <w:p>
      <w:pPr>
        <w:pStyle w:val="Heading1"/>
      </w:pPr>
      <w:r>
        <w:t>Project memory and reusable expertise</w:t>
      </w:r>
    </w:p>
    <w:p>
      <w:pPr>
        <w:pStyle w:val="ListBullet"/>
      </w:pPr>
      <w:r>
        <w:t>Global agent knowledge provides reusable domain capability across projects.</w:t>
      </w:r>
    </w:p>
    <w:p>
      <w:pPr>
        <w:pStyle w:val="ListBullet"/>
      </w:pPr>
      <w:r>
        <w:t>Project memory preserves local policies, architecture, prior builds, decisions, and correction history.</w:t>
      </w:r>
    </w:p>
    <w:p>
      <w:pPr>
        <w:pStyle w:val="ListBullet"/>
      </w:pPr>
      <w:r>
        <w:t>Vector memory supports semantic retrieval of relevant knowledge rather than loading everything into every prompt.</w:t>
      </w:r>
    </w:p>
    <w:p>
      <w:pPr>
        <w:pStyle w:val="ListBullet"/>
      </w:pPr>
      <w:r>
        <w:t>Graph memory describes relationships between agents, projects, capabilities, decisions, and outputs.</w:t>
      </w:r>
    </w:p>
    <w:p>
      <w:pPr>
        <w:pStyle w:val="ListBullet"/>
      </w:pPr>
      <w:r>
        <w:t>Memory remains advisory: PlutoniX still preserves the current user instruction as the parent objective.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E6"/>
          </w:tcPr>
          <w:p>
            <w:r>
              <w:rPr>
                <w:rFonts w:ascii="Aptos" w:hAnsi="Aptos"/>
                <w:b/>
                <w:color w:val="0F766E"/>
                <w:sz w:val="17"/>
              </w:rPr>
              <w:t xml:space="preserve">EFFICIENCY PRINCIPLE  </w:t>
            </w:r>
            <w:r>
              <w:rPr>
                <w:rFonts w:ascii="Aptos" w:hAnsi="Aptos"/>
                <w:b/>
                <w:color w:val="172033"/>
                <w:sz w:val="21"/>
              </w:rPr>
              <w:t>Reuse the smallest relevant context and the fewest agents needed for the task. Add delegation or review only when it materially improves accuracy, risk control, or validation.</w:t>
            </w:r>
          </w:p>
        </w:tc>
      </w:tr>
    </w:tbl>
    <w:p>
      <w:pPr>
        <w:spacing w:after="20"/>
      </w:pPr>
    </w:p>
    <w:p>
      <w:pPr>
        <w:pStyle w:val="Heading1"/>
      </w:pPr>
      <w:r>
        <w:t>The Execution Snapshot</w:t>
      </w:r>
    </w:p>
    <w:p>
      <w:r>
        <w:t>Each successful or failed build receives an immutable execution snapshot. The snapshot is a historical record, not merely a live animation.</w:t>
      </w:r>
    </w:p>
    <w:p>
      <w:pPr>
        <w:pStyle w:val="ListBullet"/>
      </w:pPr>
      <w:r>
        <w:t>Build and parent workflow identity, start time, completion time, and duration.</w:t>
      </w:r>
    </w:p>
    <w:p>
      <w:pPr>
        <w:pStyle w:val="ListBullet"/>
      </w:pPr>
      <w:r>
        <w:t>Chronological execution events and child-agent assignments.</w:t>
      </w:r>
    </w:p>
    <w:p>
      <w:pPr>
        <w:pStyle w:val="ListBullet"/>
      </w:pPr>
      <w:r>
        <w:t>Selected and rejected decisions with reasons and constraints.</w:t>
      </w:r>
    </w:p>
    <w:p>
      <w:pPr>
        <w:pStyle w:val="ListBullet"/>
      </w:pPr>
      <w:r>
        <w:t>Responsible agent for every decision and generated feature.</w:t>
      </w:r>
    </w:p>
    <w:p>
      <w:pPr>
        <w:pStyle w:val="ListBullet"/>
      </w:pPr>
      <w:r>
        <w:t>Agent work summaries, changed files, validation state, review result, and failure evidence.</w:t>
      </w:r>
    </w:p>
    <w:p>
      <w:r>
        <w:br w:type="page"/>
      </w:r>
    </w:p>
    <w:p>
      <w:pPr>
        <w:pStyle w:val="Heading1"/>
      </w:pPr>
      <w:r>
        <w:t>Success, failure, and retry</w:t>
      </w:r>
    </w:p>
    <w:tbl>
      <w:tblPr>
        <w:tblStyle w:val="TableGrid"/>
        <w:tblW w:type="dxa" w:w="9360"/>
        <w:tblLayout w:type="fixed"/>
        <w:tblLook w:firstColumn="1" w:firstRow="1" w:lastColumn="0" w:lastRow="0" w:noHBand="0" w:noVBand="1" w:val="04A0"/>
        <w:jc w:val="left"/>
        <w:tblInd w:w="120" w:type="dxa"/>
      </w:tblPr>
      <w:tblGrid>
        <w:gridCol w:w="1700"/>
        <w:gridCol w:w="4300"/>
        <w:gridCol w:w="3360"/>
      </w:tblGrid>
      <w:tr>
        <w:trPr>
          <w:tblHeader w:val="true"/>
        </w:trPr>
        <w:tc>
          <w:tcPr>
            <w:tcW w:type="dxa" w:w="1700"/>
            <w:tcMar>
              <w:top w:w="100" w:type="dxa"/>
              <w:start w:w="120" w:type="dxa"/>
              <w:bottom w:w="100" w:type="dxa"/>
              <w:end w:w="120" w:type="dxa"/>
            </w:tcMar>
            <w:vAlign w:val="center"/>
            <w:shd w:fill="12233F"/>
          </w:tcPr>
          <w:p>
            <w:pPr>
              <w:jc w:val="left"/>
            </w:pPr>
            <w:r>
              <w:rPr>
                <w:rFonts w:ascii="Aptos" w:hAnsi="Aptos"/>
                <w:b/>
                <w:color w:val="FFFFFF"/>
                <w:sz w:val="18"/>
              </w:rPr>
              <w:t>Outcome</w:t>
            </w:r>
          </w:p>
        </w:tc>
        <w:tc>
          <w:tcPr>
            <w:tcW w:type="dxa" w:w="4300"/>
            <w:tcMar>
              <w:top w:w="100" w:type="dxa"/>
              <w:start w:w="120" w:type="dxa"/>
              <w:bottom w:w="100" w:type="dxa"/>
              <w:end w:w="120" w:type="dxa"/>
            </w:tcMar>
            <w:vAlign w:val="center"/>
            <w:shd w:fill="12233F"/>
          </w:tcPr>
          <w:p>
            <w:pPr>
              <w:jc w:val="left"/>
            </w:pPr>
            <w:r>
              <w:rPr>
                <w:rFonts w:ascii="Aptos" w:hAnsi="Aptos"/>
                <w:b/>
                <w:color w:val="FFFFFF"/>
                <w:sz w:val="18"/>
              </w:rPr>
              <w:t>What PlutoniX does</w:t>
            </w:r>
          </w:p>
        </w:tc>
        <w:tc>
          <w:tcPr>
            <w:tcW w:type="dxa" w:w="3360"/>
            <w:tcMar>
              <w:top w:w="100" w:type="dxa"/>
              <w:start w:w="120" w:type="dxa"/>
              <w:bottom w:w="100" w:type="dxa"/>
              <w:end w:w="120" w:type="dxa"/>
            </w:tcMar>
            <w:vAlign w:val="center"/>
            <w:shd w:fill="12233F"/>
          </w:tcPr>
          <w:p>
            <w:pPr>
              <w:jc w:val="left"/>
            </w:pPr>
            <w:r>
              <w:rPr>
                <w:rFonts w:ascii="Aptos" w:hAnsi="Aptos"/>
                <w:b/>
                <w:color w:val="FFFFFF"/>
                <w:sz w:val="18"/>
              </w:rPr>
              <w:t>What the user sees</w:t>
            </w:r>
          </w:p>
        </w:tc>
      </w:tr>
      <w:tr>
        <w:tc>
          <w:tcPr>
            <w:tcW w:type="dxa" w:w="1700"/>
            <w:tcMar>
              <w:top w:w="100" w:type="dxa"/>
              <w:start w:w="120" w:type="dxa"/>
              <w:bottom w:w="100" w:type="dxa"/>
              <w:end w:w="120" w:type="dxa"/>
            </w:tcMar>
            <w:vAlign w:val="center"/>
          </w:tcPr>
          <w:p>
            <w:r>
              <w:rPr>
                <w:rFonts w:ascii="Aptos" w:hAnsi="Aptos"/>
                <w:b/>
                <w:color w:val="172033"/>
                <w:sz w:val="18"/>
              </w:rPr>
              <w:t>Successful</w:t>
            </w:r>
          </w:p>
        </w:tc>
        <w:tc>
          <w:tcPr>
            <w:tcW w:type="dxa" w:w="4300"/>
            <w:tcMar>
              <w:top w:w="100" w:type="dxa"/>
              <w:start w:w="120" w:type="dxa"/>
              <w:bottom w:w="100" w:type="dxa"/>
              <w:end w:w="120" w:type="dxa"/>
            </w:tcMar>
            <w:vAlign w:val="center"/>
          </w:tcPr>
          <w:p>
            <w:r>
              <w:rPr>
                <w:rFonts w:ascii="Aptos" w:hAnsi="Aptos"/>
                <w:b w:val="0"/>
                <w:color w:val="172033"/>
                <w:sz w:val="18"/>
              </w:rPr>
              <w:t>Confirms execution and validation evidence, records completion, and publishes the preview.</w:t>
            </w:r>
          </w:p>
        </w:tc>
        <w:tc>
          <w:tcPr>
            <w:tcW w:type="dxa" w:w="3360"/>
            <w:tcMar>
              <w:top w:w="100" w:type="dxa"/>
              <w:start w:w="120" w:type="dxa"/>
              <w:bottom w:w="100" w:type="dxa"/>
              <w:end w:w="120" w:type="dxa"/>
            </w:tcMar>
            <w:vAlign w:val="center"/>
          </w:tcPr>
          <w:p>
            <w:r>
              <w:rPr>
                <w:rFonts w:ascii="Aptos" w:hAnsi="Aptos"/>
                <w:b w:val="0"/>
                <w:color w:val="172033"/>
                <w:sz w:val="18"/>
              </w:rPr>
              <w:t>Successful build, features, files, agent work, and full snapshot.</w:t>
            </w:r>
          </w:p>
        </w:tc>
      </w:tr>
      <w:tr>
        <w:tc>
          <w:tcPr>
            <w:tcW w:type="dxa" w:w="1700"/>
            <w:shd w:fill="F8FAFC"/>
            <w:tcMar>
              <w:top w:w="100" w:type="dxa"/>
              <w:start w:w="120" w:type="dxa"/>
              <w:bottom w:w="100" w:type="dxa"/>
              <w:end w:w="120" w:type="dxa"/>
            </w:tcMar>
            <w:vAlign w:val="center"/>
          </w:tcPr>
          <w:p>
            <w:r>
              <w:rPr>
                <w:rFonts w:ascii="Aptos" w:hAnsi="Aptos"/>
                <w:b/>
                <w:color w:val="172033"/>
                <w:sz w:val="18"/>
              </w:rPr>
              <w:t>Execution failure</w:t>
            </w:r>
          </w:p>
        </w:tc>
        <w:tc>
          <w:tcPr>
            <w:tcW w:type="dxa" w:w="4300"/>
            <w:shd w:fill="F8FAFC"/>
            <w:tcMar>
              <w:top w:w="100" w:type="dxa"/>
              <w:start w:w="120" w:type="dxa"/>
              <w:bottom w:w="100" w:type="dxa"/>
              <w:end w:w="120" w:type="dxa"/>
            </w:tcMar>
            <w:vAlign w:val="center"/>
          </w:tcPr>
          <w:p>
            <w:r>
              <w:rPr>
                <w:rFonts w:ascii="Aptos" w:hAnsi="Aptos"/>
                <w:b w:val="0"/>
                <w:color w:val="172033"/>
                <w:sz w:val="18"/>
              </w:rPr>
              <w:t>Records partial evidence, marks completion as rejected, and applies retry policy only when safe.</w:t>
            </w:r>
          </w:p>
        </w:tc>
        <w:tc>
          <w:tcPr>
            <w:tcW w:type="dxa" w:w="3360"/>
            <w:shd w:fill="F8FAFC"/>
            <w:tcMar>
              <w:top w:w="100" w:type="dxa"/>
              <w:start w:w="120" w:type="dxa"/>
              <w:bottom w:w="100" w:type="dxa"/>
              <w:end w:w="120" w:type="dxa"/>
            </w:tcMar>
            <w:vAlign w:val="center"/>
          </w:tcPr>
          <w:p>
            <w:r>
              <w:rPr>
                <w:rFonts w:ascii="Aptos" w:hAnsi="Aptos"/>
                <w:b w:val="0"/>
                <w:color w:val="172033"/>
                <w:sz w:val="18"/>
              </w:rPr>
              <w:t>Failed snapshot with cause, completed work, and recovery choices.</w:t>
            </w:r>
          </w:p>
        </w:tc>
      </w:tr>
      <w:tr>
        <w:tc>
          <w:tcPr>
            <w:tcW w:type="dxa" w:w="1700"/>
            <w:tcMar>
              <w:top w:w="100" w:type="dxa"/>
              <w:start w:w="120" w:type="dxa"/>
              <w:bottom w:w="100" w:type="dxa"/>
              <w:end w:w="120" w:type="dxa"/>
            </w:tcMar>
            <w:vAlign w:val="center"/>
          </w:tcPr>
          <w:p>
            <w:r>
              <w:rPr>
                <w:rFonts w:ascii="Aptos" w:hAnsi="Aptos"/>
                <w:b/>
                <w:color w:val="172033"/>
                <w:sz w:val="18"/>
              </w:rPr>
              <w:t>Validation failure</w:t>
            </w:r>
          </w:p>
        </w:tc>
        <w:tc>
          <w:tcPr>
            <w:tcW w:type="dxa" w:w="4300"/>
            <w:tcMar>
              <w:top w:w="100" w:type="dxa"/>
              <w:start w:w="120" w:type="dxa"/>
              <w:bottom w:w="100" w:type="dxa"/>
              <w:end w:w="120" w:type="dxa"/>
            </w:tcMar>
            <w:vAlign w:val="center"/>
          </w:tcPr>
          <w:p>
            <w:r>
              <w:rPr>
                <w:rFonts w:ascii="Aptos" w:hAnsi="Aptos"/>
                <w:b w:val="0"/>
                <w:color w:val="172033"/>
                <w:sz w:val="18"/>
              </w:rPr>
              <w:t>Prevents false completion even when files were generated.</w:t>
            </w:r>
          </w:p>
        </w:tc>
        <w:tc>
          <w:tcPr>
            <w:tcW w:type="dxa" w:w="3360"/>
            <w:tcMar>
              <w:top w:w="100" w:type="dxa"/>
              <w:start w:w="120" w:type="dxa"/>
              <w:bottom w:w="100" w:type="dxa"/>
              <w:end w:w="120" w:type="dxa"/>
            </w:tcMar>
            <w:vAlign w:val="center"/>
          </w:tcPr>
          <w:p>
            <w:r>
              <w:rPr>
                <w:rFonts w:ascii="Aptos" w:hAnsi="Aptos"/>
                <w:b w:val="0"/>
                <w:color w:val="172033"/>
                <w:sz w:val="18"/>
              </w:rPr>
              <w:t>Rejected completion and the evidence that did not pass.</w:t>
            </w:r>
          </w:p>
        </w:tc>
      </w:tr>
      <w:tr>
        <w:tc>
          <w:tcPr>
            <w:tcW w:type="dxa" w:w="1700"/>
            <w:shd w:fill="F8FAFC"/>
            <w:tcMar>
              <w:top w:w="100" w:type="dxa"/>
              <w:start w:w="120" w:type="dxa"/>
              <w:bottom w:w="100" w:type="dxa"/>
              <w:end w:w="120" w:type="dxa"/>
            </w:tcMar>
            <w:vAlign w:val="center"/>
          </w:tcPr>
          <w:p>
            <w:r>
              <w:rPr>
                <w:rFonts w:ascii="Aptos" w:hAnsi="Aptos"/>
                <w:b/>
                <w:color w:val="172033"/>
                <w:sz w:val="18"/>
              </w:rPr>
              <w:t>Human decision needed</w:t>
            </w:r>
          </w:p>
        </w:tc>
        <w:tc>
          <w:tcPr>
            <w:tcW w:type="dxa" w:w="4300"/>
            <w:shd w:fill="F8FAFC"/>
            <w:tcMar>
              <w:top w:w="100" w:type="dxa"/>
              <w:start w:w="120" w:type="dxa"/>
              <w:bottom w:w="100" w:type="dxa"/>
              <w:end w:w="120" w:type="dxa"/>
            </w:tcMar>
            <w:vAlign w:val="center"/>
          </w:tcPr>
          <w:p>
            <w:r>
              <w:rPr>
                <w:rFonts w:ascii="Aptos" w:hAnsi="Aptos"/>
                <w:b w:val="0"/>
                <w:color w:val="172033"/>
                <w:sz w:val="18"/>
              </w:rPr>
              <w:t>Pauses automated progression and presents bounded recovery choices.</w:t>
            </w:r>
          </w:p>
        </w:tc>
        <w:tc>
          <w:tcPr>
            <w:tcW w:type="dxa" w:w="3360"/>
            <w:shd w:fill="F8FAFC"/>
            <w:tcMar>
              <w:top w:w="100" w:type="dxa"/>
              <w:start w:w="120" w:type="dxa"/>
              <w:bottom w:w="100" w:type="dxa"/>
              <w:end w:w="120" w:type="dxa"/>
            </w:tcMar>
            <w:vAlign w:val="center"/>
          </w:tcPr>
          <w:p>
            <w:r>
              <w:rPr>
                <w:rFonts w:ascii="Aptos" w:hAnsi="Aptos"/>
                <w:b w:val="0"/>
                <w:color w:val="172033"/>
                <w:sz w:val="18"/>
              </w:rPr>
              <w:t>Retry, simplify scope, or change architecture.</w:t>
            </w:r>
          </w:p>
        </w:tc>
      </w:tr>
    </w:tbl>
    <w:p>
      <w:pPr>
        <w:spacing w:after="20"/>
      </w:pPr>
    </w:p>
    <w:p>
      <w:pPr>
        <w:pStyle w:val="Heading1"/>
      </w:pPr>
      <w:r>
        <w:t>What the user receives</w:t>
      </w:r>
    </w:p>
    <w:p>
      <w:pPr>
        <w:pStyle w:val="ListBullet"/>
      </w:pPr>
      <w:r>
        <w:t>A project-specific application preview.</w:t>
      </w:r>
    </w:p>
    <w:p>
      <w:pPr>
        <w:pStyle w:val="ListBullet"/>
      </w:pPr>
      <w:r>
        <w:t>A durable build ID and parent workflow ID.</w:t>
      </w:r>
    </w:p>
    <w:p>
      <w:pPr>
        <w:pStyle w:val="ListBullet"/>
      </w:pPr>
      <w:r>
        <w:t>Generated and modified files.</w:t>
      </w:r>
    </w:p>
    <w:p>
      <w:pPr>
        <w:pStyle w:val="ListBullet"/>
      </w:pPr>
      <w:r>
        <w:t>A list of selected features and deliberately rejected alternatives.</w:t>
      </w:r>
    </w:p>
    <w:p>
      <w:pPr>
        <w:pStyle w:val="ListBullet"/>
      </w:pPr>
      <w:r>
        <w:t>Agent identities and concise work performed toward the build.</w:t>
      </w:r>
    </w:p>
    <w:p>
      <w:pPr>
        <w:pStyle w:val="ListBullet"/>
      </w:pPr>
      <w:r>
        <w:t>A movable decision graph with a persistent evidence panel.</w:t>
      </w:r>
    </w:p>
    <w:p>
      <w:pPr>
        <w:pStyle w:val="ListBullet"/>
      </w:pPr>
      <w:r>
        <w:t>A project history that can be revisited build by build.</w:t>
      </w:r>
    </w:p>
    <w:p>
      <w:pPr>
        <w:pStyle w:val="Heading1"/>
      </w:pPr>
      <w:r>
        <w:t>Production hosting model</w:t>
      </w:r>
    </w:p>
    <w:p>
      <w:r>
        <w:t>For cloud operation, the PlutoniX control plane should be separated from isolated build workers. User instructions enter a durable queue; workers receive temporary workspaces and bounded credentials; artifacts and snapshots are saved before workers terminate.</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20" w:type="dxa"/>
              <w:bottom w:w="100" w:type="dxa"/>
              <w:end w:w="120" w:type="dxa"/>
            </w:tcMar>
            <w:vAlign w:val="center"/>
            <w:shd w:fill="0F766E"/>
          </w:tcPr>
          <w:p>
            <w:pPr>
              <w:jc w:val="left"/>
            </w:pPr>
            <w:r>
              <w:rPr>
                <w:rFonts w:ascii="Aptos" w:hAnsi="Aptos"/>
                <w:b/>
                <w:color w:val="FFFFFF"/>
                <w:sz w:val="18"/>
              </w:rPr>
              <w:t>Boundary</w:t>
            </w:r>
          </w:p>
        </w:tc>
        <w:tc>
          <w:tcPr>
            <w:tcW w:type="dxa" w:w="7260"/>
            <w:tcMar>
              <w:top w:w="100" w:type="dxa"/>
              <w:start w:w="120" w:type="dxa"/>
              <w:bottom w:w="100" w:type="dxa"/>
              <w:end w:w="120" w:type="dxa"/>
            </w:tcMar>
            <w:vAlign w:val="center"/>
            <w:shd w:fill="0F766E"/>
          </w:tcPr>
          <w:p>
            <w:pPr>
              <w:jc w:val="left"/>
            </w:pPr>
            <w:r>
              <w:rPr>
                <w:rFonts w:ascii="Aptos" w:hAnsi="Aptos"/>
                <w:b/>
                <w:color w:val="FFFFFF"/>
                <w:sz w:val="18"/>
              </w:rPr>
              <w:t>Production behavior</w:t>
            </w:r>
          </w:p>
        </w:tc>
      </w:tr>
      <w:tr>
        <w:tc>
          <w:tcPr>
            <w:tcW w:type="dxa" w:w="2100"/>
            <w:tcMar>
              <w:top w:w="100" w:type="dxa"/>
              <w:start w:w="120" w:type="dxa"/>
              <w:bottom w:w="100" w:type="dxa"/>
              <w:end w:w="120" w:type="dxa"/>
            </w:tcMar>
            <w:vAlign w:val="center"/>
          </w:tcPr>
          <w:p>
            <w:r>
              <w:rPr>
                <w:rFonts w:ascii="Aptos" w:hAnsi="Aptos"/>
                <w:b/>
                <w:color w:val="172033"/>
                <w:sz w:val="18"/>
              </w:rPr>
              <w:t>Identity</w:t>
            </w:r>
          </w:p>
        </w:tc>
        <w:tc>
          <w:tcPr>
            <w:tcW w:type="dxa" w:w="7260"/>
            <w:tcMar>
              <w:top w:w="100" w:type="dxa"/>
              <w:start w:w="120" w:type="dxa"/>
              <w:bottom w:w="100" w:type="dxa"/>
              <w:end w:w="120" w:type="dxa"/>
            </w:tcMar>
            <w:vAlign w:val="center"/>
          </w:tcPr>
          <w:p>
            <w:r>
              <w:rPr>
                <w:rFonts w:ascii="Aptos" w:hAnsi="Aptos"/>
                <w:b w:val="0"/>
                <w:color w:val="172033"/>
                <w:sz w:val="18"/>
              </w:rPr>
              <w:t>Verified Google identity or enterprise authentication with server-enforced ownership.</w:t>
            </w:r>
          </w:p>
        </w:tc>
      </w:tr>
      <w:tr>
        <w:tc>
          <w:tcPr>
            <w:tcW w:type="dxa" w:w="2100"/>
            <w:shd w:fill="F8FAFC"/>
            <w:tcMar>
              <w:top w:w="100" w:type="dxa"/>
              <w:start w:w="120" w:type="dxa"/>
              <w:bottom w:w="100" w:type="dxa"/>
              <w:end w:w="120" w:type="dxa"/>
            </w:tcMar>
            <w:vAlign w:val="center"/>
          </w:tcPr>
          <w:p>
            <w:r>
              <w:rPr>
                <w:rFonts w:ascii="Aptos" w:hAnsi="Aptos"/>
                <w:b/>
                <w:color w:val="172033"/>
                <w:sz w:val="18"/>
              </w:rPr>
              <w:t>Control plane</w:t>
            </w:r>
          </w:p>
        </w:tc>
        <w:tc>
          <w:tcPr>
            <w:tcW w:type="dxa" w:w="7260"/>
            <w:shd w:fill="F8FAFC"/>
            <w:tcMar>
              <w:top w:w="100" w:type="dxa"/>
              <w:start w:w="120" w:type="dxa"/>
              <w:bottom w:w="100" w:type="dxa"/>
              <w:end w:w="120" w:type="dxa"/>
            </w:tcMar>
            <w:vAlign w:val="center"/>
          </w:tcPr>
          <w:p>
            <w:r>
              <w:rPr>
                <w:rFonts w:ascii="Aptos" w:hAnsi="Aptos"/>
                <w:b w:val="0"/>
                <w:color w:val="172033"/>
                <w:sz w:val="18"/>
              </w:rPr>
              <w:t>Stateless API and orchestration services running across multiple availability zones.</w:t>
            </w:r>
          </w:p>
        </w:tc>
      </w:tr>
      <w:tr>
        <w:tc>
          <w:tcPr>
            <w:tcW w:type="dxa" w:w="2100"/>
            <w:tcMar>
              <w:top w:w="100" w:type="dxa"/>
              <w:start w:w="120" w:type="dxa"/>
              <w:bottom w:w="100" w:type="dxa"/>
              <w:end w:w="120" w:type="dxa"/>
            </w:tcMar>
            <w:vAlign w:val="center"/>
          </w:tcPr>
          <w:p>
            <w:r>
              <w:rPr>
                <w:rFonts w:ascii="Aptos" w:hAnsi="Aptos"/>
                <w:b/>
                <w:color w:val="172033"/>
                <w:sz w:val="18"/>
              </w:rPr>
              <w:t>Build workers</w:t>
            </w:r>
          </w:p>
        </w:tc>
        <w:tc>
          <w:tcPr>
            <w:tcW w:type="dxa" w:w="7260"/>
            <w:tcMar>
              <w:top w:w="100" w:type="dxa"/>
              <w:start w:w="120" w:type="dxa"/>
              <w:bottom w:w="100" w:type="dxa"/>
              <w:end w:w="120" w:type="dxa"/>
            </w:tcMar>
            <w:vAlign w:val="center"/>
          </w:tcPr>
          <w:p>
            <w:r>
              <w:rPr>
                <w:rFonts w:ascii="Aptos" w:hAnsi="Aptos"/>
                <w:b w:val="0"/>
                <w:color w:val="172033"/>
                <w:sz w:val="18"/>
              </w:rPr>
              <w:t>Isolated, non-privileged tasks with CPU, memory, time, and network limits.</w:t>
            </w:r>
          </w:p>
        </w:tc>
      </w:tr>
      <w:tr>
        <w:tc>
          <w:tcPr>
            <w:tcW w:type="dxa" w:w="2100"/>
            <w:shd w:fill="F8FAFC"/>
            <w:tcMar>
              <w:top w:w="100" w:type="dxa"/>
              <w:start w:w="120" w:type="dxa"/>
              <w:bottom w:w="100" w:type="dxa"/>
              <w:end w:w="120" w:type="dxa"/>
            </w:tcMar>
            <w:vAlign w:val="center"/>
          </w:tcPr>
          <w:p>
            <w:r>
              <w:rPr>
                <w:rFonts w:ascii="Aptos" w:hAnsi="Aptos"/>
                <w:b/>
                <w:color w:val="172033"/>
                <w:sz w:val="18"/>
              </w:rPr>
              <w:t>Persistence</w:t>
            </w:r>
          </w:p>
        </w:tc>
        <w:tc>
          <w:tcPr>
            <w:tcW w:type="dxa" w:w="7260"/>
            <w:shd w:fill="F8FAFC"/>
            <w:tcMar>
              <w:top w:w="100" w:type="dxa"/>
              <w:start w:w="120" w:type="dxa"/>
              <w:bottom w:w="100" w:type="dxa"/>
              <w:end w:w="120" w:type="dxa"/>
            </w:tcMar>
            <w:vAlign w:val="center"/>
          </w:tcPr>
          <w:p>
            <w:r>
              <w:rPr>
                <w:rFonts w:ascii="Aptos" w:hAnsi="Aptos"/>
                <w:b w:val="0"/>
                <w:color w:val="172033"/>
                <w:sz w:val="18"/>
              </w:rPr>
              <w:t>Managed databases and object storage instead of local JSON files and host directories.</w:t>
            </w:r>
          </w:p>
        </w:tc>
      </w:tr>
      <w:tr>
        <w:tc>
          <w:tcPr>
            <w:tcW w:type="dxa" w:w="2100"/>
            <w:tcMar>
              <w:top w:w="100" w:type="dxa"/>
              <w:start w:w="120" w:type="dxa"/>
              <w:bottom w:w="100" w:type="dxa"/>
              <w:end w:w="120" w:type="dxa"/>
            </w:tcMar>
            <w:vAlign w:val="center"/>
          </w:tcPr>
          <w:p>
            <w:r>
              <w:rPr>
                <w:rFonts w:ascii="Aptos" w:hAnsi="Aptos"/>
                <w:b/>
                <w:color w:val="172033"/>
                <w:sz w:val="18"/>
              </w:rPr>
              <w:t>Previews</w:t>
            </w:r>
          </w:p>
        </w:tc>
        <w:tc>
          <w:tcPr>
            <w:tcW w:type="dxa" w:w="7260"/>
            <w:tcMar>
              <w:top w:w="100" w:type="dxa"/>
              <w:start w:w="120" w:type="dxa"/>
              <w:bottom w:w="100" w:type="dxa"/>
              <w:end w:w="120" w:type="dxa"/>
            </w:tcMar>
            <w:vAlign w:val="center"/>
          </w:tcPr>
          <w:p>
            <w:r>
              <w:rPr>
                <w:rFonts w:ascii="Aptos" w:hAnsi="Aptos"/>
                <w:b w:val="0"/>
                <w:color w:val="172033"/>
                <w:sz w:val="18"/>
              </w:rPr>
              <w:t>Static publication by default; authenticated, expiring dynamic previews when required.</w:t>
            </w:r>
          </w:p>
        </w:tc>
      </w:tr>
      <w:tr>
        <w:tc>
          <w:tcPr>
            <w:tcW w:type="dxa" w:w="2100"/>
            <w:shd w:fill="F8FAFC"/>
            <w:tcMar>
              <w:top w:w="100" w:type="dxa"/>
              <w:start w:w="120" w:type="dxa"/>
              <w:bottom w:w="100" w:type="dxa"/>
              <w:end w:w="120" w:type="dxa"/>
            </w:tcMar>
            <w:vAlign w:val="center"/>
          </w:tcPr>
          <w:p>
            <w:r>
              <w:rPr>
                <w:rFonts w:ascii="Aptos" w:hAnsi="Aptos"/>
                <w:b/>
                <w:color w:val="172033"/>
                <w:sz w:val="18"/>
              </w:rPr>
              <w:t>Secrets</w:t>
            </w:r>
          </w:p>
        </w:tc>
        <w:tc>
          <w:tcPr>
            <w:tcW w:type="dxa" w:w="7260"/>
            <w:shd w:fill="F8FAFC"/>
            <w:tcMar>
              <w:top w:w="100" w:type="dxa"/>
              <w:start w:w="120" w:type="dxa"/>
              <w:bottom w:w="100" w:type="dxa"/>
              <w:end w:w="120" w:type="dxa"/>
            </w:tcMar>
            <w:vAlign w:val="center"/>
          </w:tcPr>
          <w:p>
            <w:r>
              <w:rPr>
                <w:rFonts w:ascii="Aptos" w:hAnsi="Aptos"/>
                <w:b w:val="0"/>
                <w:color w:val="172033"/>
                <w:sz w:val="18"/>
              </w:rPr>
              <w:t>Short-lived access through a managed secrets service; no developer credentials mounted into workers.</w:t>
            </w:r>
          </w:p>
        </w:tc>
      </w:tr>
    </w:tbl>
    <w:p>
      <w:pPr>
        <w:spacing w:after="20"/>
      </w:pPr>
    </w:p>
    <w:p>
      <w:r>
        <w:br w:type="page"/>
      </w:r>
    </w:p>
    <w:p>
      <w:pPr>
        <w:pStyle w:val="Heading1"/>
      </w:pPr>
      <w:r>
        <w:t>Business value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100" w:type="dxa"/>
              <w:start w:w="120" w:type="dxa"/>
              <w:bottom w:w="100" w:type="dxa"/>
              <w:end w:w="120" w:type="dxa"/>
            </w:tcMar>
            <w:vAlign w:val="center"/>
            <w:shd w:fill="12233F"/>
          </w:tcPr>
          <w:p>
            <w:pPr>
              <w:jc w:val="left"/>
            </w:pPr>
            <w:r>
              <w:rPr>
                <w:rFonts w:ascii="Aptos" w:hAnsi="Aptos"/>
                <w:b/>
                <w:color w:val="FFFFFF"/>
                <w:sz w:val="18"/>
              </w:rPr>
              <w:t>Capability</w:t>
            </w:r>
          </w:p>
        </w:tc>
        <w:tc>
          <w:tcPr>
            <w:tcW w:type="dxa" w:w="7060"/>
            <w:tcMar>
              <w:top w:w="100" w:type="dxa"/>
              <w:start w:w="120" w:type="dxa"/>
              <w:bottom w:w="100" w:type="dxa"/>
              <w:end w:w="120" w:type="dxa"/>
            </w:tcMar>
            <w:vAlign w:val="center"/>
            <w:shd w:fill="12233F"/>
          </w:tcPr>
          <w:p>
            <w:pPr>
              <w:jc w:val="left"/>
            </w:pPr>
            <w:r>
              <w:rPr>
                <w:rFonts w:ascii="Aptos" w:hAnsi="Aptos"/>
                <w:b/>
                <w:color w:val="FFFFFF"/>
                <w:sz w:val="18"/>
              </w:rPr>
              <w:t>Business benefit</w:t>
            </w:r>
          </w:p>
        </w:tc>
      </w:tr>
      <w:tr>
        <w:tc>
          <w:tcPr>
            <w:tcW w:type="dxa" w:w="2300"/>
            <w:tcMar>
              <w:top w:w="100" w:type="dxa"/>
              <w:start w:w="120" w:type="dxa"/>
              <w:bottom w:w="100" w:type="dxa"/>
              <w:end w:w="120" w:type="dxa"/>
            </w:tcMar>
            <w:vAlign w:val="center"/>
          </w:tcPr>
          <w:p>
            <w:r>
              <w:rPr>
                <w:rFonts w:ascii="Aptos" w:hAnsi="Aptos"/>
                <w:b/>
                <w:color w:val="172033"/>
                <w:sz w:val="18"/>
              </w:rPr>
              <w:t>Visible decisions</w:t>
            </w:r>
          </w:p>
        </w:tc>
        <w:tc>
          <w:tcPr>
            <w:tcW w:type="dxa" w:w="7060"/>
            <w:tcMar>
              <w:top w:w="100" w:type="dxa"/>
              <w:start w:w="120" w:type="dxa"/>
              <w:bottom w:w="100" w:type="dxa"/>
              <w:end w:w="120" w:type="dxa"/>
            </w:tcMar>
            <w:vAlign w:val="center"/>
          </w:tcPr>
          <w:p>
            <w:r>
              <w:rPr>
                <w:rFonts w:ascii="Aptos" w:hAnsi="Aptos"/>
                <w:b w:val="0"/>
                <w:color w:val="172033"/>
                <w:sz w:val="18"/>
              </w:rPr>
              <w:t>Stakeholders can see not only what was built, but what was rejected and why.</w:t>
            </w:r>
          </w:p>
        </w:tc>
      </w:tr>
      <w:tr>
        <w:tc>
          <w:tcPr>
            <w:tcW w:type="dxa" w:w="2300"/>
            <w:shd w:fill="F8FAFC"/>
            <w:tcMar>
              <w:top w:w="100" w:type="dxa"/>
              <w:start w:w="120" w:type="dxa"/>
              <w:bottom w:w="100" w:type="dxa"/>
              <w:end w:w="120" w:type="dxa"/>
            </w:tcMar>
            <w:vAlign w:val="center"/>
          </w:tcPr>
          <w:p>
            <w:r>
              <w:rPr>
                <w:rFonts w:ascii="Aptos" w:hAnsi="Aptos"/>
                <w:b/>
                <w:color w:val="172033"/>
                <w:sz w:val="18"/>
              </w:rPr>
              <w:t>Reusable agents</w:t>
            </w:r>
          </w:p>
        </w:tc>
        <w:tc>
          <w:tcPr>
            <w:tcW w:type="dxa" w:w="7060"/>
            <w:shd w:fill="F8FAFC"/>
            <w:tcMar>
              <w:top w:w="100" w:type="dxa"/>
              <w:start w:w="120" w:type="dxa"/>
              <w:bottom w:w="100" w:type="dxa"/>
              <w:end w:w="120" w:type="dxa"/>
            </w:tcMar>
            <w:vAlign w:val="center"/>
          </w:tcPr>
          <w:p>
            <w:r>
              <w:rPr>
                <w:rFonts w:ascii="Aptos" w:hAnsi="Aptos"/>
                <w:b w:val="0"/>
                <w:color w:val="172033"/>
                <w:sz w:val="18"/>
              </w:rPr>
              <w:t>Specialist capability improves over time instead of being recreated for every project.</w:t>
            </w:r>
          </w:p>
        </w:tc>
      </w:tr>
      <w:tr>
        <w:tc>
          <w:tcPr>
            <w:tcW w:type="dxa" w:w="2300"/>
            <w:tcMar>
              <w:top w:w="100" w:type="dxa"/>
              <w:start w:w="120" w:type="dxa"/>
              <w:bottom w:w="100" w:type="dxa"/>
              <w:end w:w="120" w:type="dxa"/>
            </w:tcMar>
            <w:vAlign w:val="center"/>
          </w:tcPr>
          <w:p>
            <w:r>
              <w:rPr>
                <w:rFonts w:ascii="Aptos" w:hAnsi="Aptos"/>
                <w:b/>
                <w:color w:val="172033"/>
                <w:sz w:val="18"/>
              </w:rPr>
              <w:t>Project memory</w:t>
            </w:r>
          </w:p>
        </w:tc>
        <w:tc>
          <w:tcPr>
            <w:tcW w:type="dxa" w:w="7060"/>
            <w:tcMar>
              <w:top w:w="100" w:type="dxa"/>
              <w:start w:w="120" w:type="dxa"/>
              <w:bottom w:w="100" w:type="dxa"/>
              <w:end w:w="120" w:type="dxa"/>
            </w:tcMar>
            <w:vAlign w:val="center"/>
          </w:tcPr>
          <w:p>
            <w:r>
              <w:rPr>
                <w:rFonts w:ascii="Aptos" w:hAnsi="Aptos"/>
                <w:b w:val="0"/>
                <w:color w:val="172033"/>
                <w:sz w:val="18"/>
              </w:rPr>
              <w:t>Future work starts from established context, reducing repeated discovery and inconsistent decisions.</w:t>
            </w:r>
          </w:p>
        </w:tc>
      </w:tr>
      <w:tr>
        <w:tc>
          <w:tcPr>
            <w:tcW w:type="dxa" w:w="2300"/>
            <w:shd w:fill="F8FAFC"/>
            <w:tcMar>
              <w:top w:w="100" w:type="dxa"/>
              <w:start w:w="120" w:type="dxa"/>
              <w:bottom w:w="100" w:type="dxa"/>
              <w:end w:w="120" w:type="dxa"/>
            </w:tcMar>
            <w:vAlign w:val="center"/>
          </w:tcPr>
          <w:p>
            <w:r>
              <w:rPr>
                <w:rFonts w:ascii="Aptos" w:hAnsi="Aptos"/>
                <w:b/>
                <w:color w:val="172033"/>
                <w:sz w:val="18"/>
              </w:rPr>
              <w:t>Adaptive cost</w:t>
            </w:r>
          </w:p>
        </w:tc>
        <w:tc>
          <w:tcPr>
            <w:tcW w:type="dxa" w:w="7060"/>
            <w:shd w:fill="F8FAFC"/>
            <w:tcMar>
              <w:top w:w="100" w:type="dxa"/>
              <w:start w:w="120" w:type="dxa"/>
              <w:bottom w:w="100" w:type="dxa"/>
              <w:end w:w="120" w:type="dxa"/>
            </w:tcMar>
            <w:vAlign w:val="center"/>
          </w:tcPr>
          <w:p>
            <w:r>
              <w:rPr>
                <w:rFonts w:ascii="Aptos" w:hAnsi="Aptos"/>
                <w:b w:val="0"/>
                <w:color w:val="172033"/>
                <w:sz w:val="18"/>
              </w:rPr>
              <w:t>Simple tasks stay lightweight while difficult tasks receive stronger delegation and review.</w:t>
            </w:r>
          </w:p>
        </w:tc>
      </w:tr>
      <w:tr>
        <w:tc>
          <w:tcPr>
            <w:tcW w:type="dxa" w:w="2300"/>
            <w:tcMar>
              <w:top w:w="100" w:type="dxa"/>
              <w:start w:w="120" w:type="dxa"/>
              <w:bottom w:w="100" w:type="dxa"/>
              <w:end w:w="120" w:type="dxa"/>
            </w:tcMar>
            <w:vAlign w:val="center"/>
          </w:tcPr>
          <w:p>
            <w:r>
              <w:rPr>
                <w:rFonts w:ascii="Aptos" w:hAnsi="Aptos"/>
                <w:b/>
                <w:color w:val="172033"/>
                <w:sz w:val="18"/>
              </w:rPr>
              <w:t>Evidence-based completion</w:t>
            </w:r>
          </w:p>
        </w:tc>
        <w:tc>
          <w:tcPr>
            <w:tcW w:type="dxa" w:w="7060"/>
            <w:tcMar>
              <w:top w:w="100" w:type="dxa"/>
              <w:start w:w="120" w:type="dxa"/>
              <w:bottom w:w="100" w:type="dxa"/>
              <w:end w:w="120" w:type="dxa"/>
            </w:tcMar>
            <w:vAlign w:val="center"/>
          </w:tcPr>
          <w:p>
            <w:r>
              <w:rPr>
                <w:rFonts w:ascii="Aptos" w:hAnsi="Aptos"/>
                <w:b w:val="0"/>
                <w:color w:val="172033"/>
                <w:sz w:val="18"/>
              </w:rPr>
              <w:t>Generated files alone do not count as success; validation evidence controls approval.</w:t>
            </w:r>
          </w:p>
        </w:tc>
      </w:tr>
      <w:tr>
        <w:tc>
          <w:tcPr>
            <w:tcW w:type="dxa" w:w="2300"/>
            <w:shd w:fill="F8FAFC"/>
            <w:tcMar>
              <w:top w:w="100" w:type="dxa"/>
              <w:start w:w="120" w:type="dxa"/>
              <w:bottom w:w="100" w:type="dxa"/>
              <w:end w:w="120" w:type="dxa"/>
            </w:tcMar>
            <w:vAlign w:val="center"/>
          </w:tcPr>
          <w:p>
            <w:r>
              <w:rPr>
                <w:rFonts w:ascii="Aptos" w:hAnsi="Aptos"/>
                <w:b/>
                <w:color w:val="172033"/>
                <w:sz w:val="18"/>
              </w:rPr>
              <w:t>Build snapshots</w:t>
            </w:r>
          </w:p>
        </w:tc>
        <w:tc>
          <w:tcPr>
            <w:tcW w:type="dxa" w:w="7060"/>
            <w:shd w:fill="F8FAFC"/>
            <w:tcMar>
              <w:top w:w="100" w:type="dxa"/>
              <w:start w:w="120" w:type="dxa"/>
              <w:bottom w:w="100" w:type="dxa"/>
              <w:end w:w="120" w:type="dxa"/>
            </w:tcMar>
            <w:vAlign w:val="center"/>
          </w:tcPr>
          <w:p>
            <w:r>
              <w:rPr>
                <w:rFonts w:ascii="Aptos" w:hAnsi="Aptos"/>
                <w:b w:val="0"/>
                <w:color w:val="172033"/>
                <w:sz w:val="18"/>
              </w:rPr>
              <w:t>Successes and failures remain explainable, auditable, and comparable over time.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CFDF5"/>
          </w:tcPr>
          <w:p>
            <w:r>
              <w:rPr>
                <w:rFonts w:ascii="Aptos" w:hAnsi="Aptos"/>
                <w:b/>
                <w:color w:val="0F766E"/>
                <w:sz w:val="17"/>
              </w:rPr>
              <w:t xml:space="preserve">CORE PROMISE  </w:t>
            </w:r>
            <w:r>
              <w:rPr>
                <w:rFonts w:ascii="Aptos" w:hAnsi="Aptos"/>
                <w:b/>
                <w:color w:val="172033"/>
                <w:sz w:val="21"/>
              </w:rPr>
              <w:t>PlutoniX is designed to make application-building decisions traceable, reusable, and governable without removing the user from important business choices.</w:t>
            </w:r>
          </w:p>
        </w:tc>
      </w:tr>
    </w:tbl>
    <w:p>
      <w:pPr>
        <w:spacing w:after="20"/>
      </w:pPr>
    </w:p>
    <w:p>
      <w:pPr>
        <w:pStyle w:val="Heading1"/>
      </w:pPr>
      <w:r>
        <w:t>Glossary</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100" w:type="dxa"/>
              <w:start w:w="120" w:type="dxa"/>
              <w:bottom w:w="100" w:type="dxa"/>
              <w:end w:w="120" w:type="dxa"/>
            </w:tcMar>
            <w:vAlign w:val="center"/>
            <w:shd w:fill="12233F"/>
          </w:tcPr>
          <w:p>
            <w:pPr>
              <w:jc w:val="left"/>
            </w:pPr>
            <w:r>
              <w:rPr>
                <w:rFonts w:ascii="Aptos" w:hAnsi="Aptos"/>
                <w:b/>
                <w:color w:val="FFFFFF"/>
                <w:sz w:val="18"/>
              </w:rPr>
              <w:t>Term</w:t>
            </w:r>
          </w:p>
        </w:tc>
        <w:tc>
          <w:tcPr>
            <w:tcW w:type="dxa" w:w="7060"/>
            <w:tcMar>
              <w:top w:w="100" w:type="dxa"/>
              <w:start w:w="120" w:type="dxa"/>
              <w:bottom w:w="100" w:type="dxa"/>
              <w:end w:w="120" w:type="dxa"/>
            </w:tcMar>
            <w:vAlign w:val="center"/>
            <w:shd w:fill="12233F"/>
          </w:tcPr>
          <w:p>
            <w:pPr>
              <w:jc w:val="left"/>
            </w:pPr>
            <w:r>
              <w:rPr>
                <w:rFonts w:ascii="Aptos" w:hAnsi="Aptos"/>
                <w:b/>
                <w:color w:val="FFFFFF"/>
                <w:sz w:val="18"/>
              </w:rPr>
              <w:t>Meaning</w:t>
            </w:r>
          </w:p>
        </w:tc>
      </w:tr>
      <w:tr>
        <w:tc>
          <w:tcPr>
            <w:tcW w:type="dxa" w:w="2300"/>
            <w:tcMar>
              <w:top w:w="100" w:type="dxa"/>
              <w:start w:w="120" w:type="dxa"/>
              <w:bottom w:w="100" w:type="dxa"/>
              <w:end w:w="120" w:type="dxa"/>
            </w:tcMar>
            <w:vAlign w:val="center"/>
          </w:tcPr>
          <w:p>
            <w:r>
              <w:rPr>
                <w:rFonts w:ascii="Aptos" w:hAnsi="Aptos"/>
                <w:b/>
                <w:color w:val="172033"/>
                <w:sz w:val="18"/>
              </w:rPr>
              <w:t>Parent workflow</w:t>
            </w:r>
          </w:p>
        </w:tc>
        <w:tc>
          <w:tcPr>
            <w:tcW w:type="dxa" w:w="7060"/>
            <w:tcMar>
              <w:top w:w="100" w:type="dxa"/>
              <w:start w:w="120" w:type="dxa"/>
              <w:bottom w:w="100" w:type="dxa"/>
              <w:end w:w="120" w:type="dxa"/>
            </w:tcMar>
            <w:vAlign w:val="center"/>
          </w:tcPr>
          <w:p>
            <w:r>
              <w:rPr>
                <w:rFonts w:ascii="Aptos" w:hAnsi="Aptos"/>
                <w:b w:val="0"/>
                <w:color w:val="172033"/>
                <w:sz w:val="18"/>
              </w:rPr>
              <w:t>The PlutoniX-owned record representing one complete user instruction.</w:t>
            </w:r>
          </w:p>
        </w:tc>
      </w:tr>
      <w:tr>
        <w:tc>
          <w:tcPr>
            <w:tcW w:type="dxa" w:w="2300"/>
            <w:shd w:fill="F8FAFC"/>
            <w:tcMar>
              <w:top w:w="100" w:type="dxa"/>
              <w:start w:w="120" w:type="dxa"/>
              <w:bottom w:w="100" w:type="dxa"/>
              <w:end w:w="120" w:type="dxa"/>
            </w:tcMar>
            <w:vAlign w:val="center"/>
          </w:tcPr>
          <w:p>
            <w:r>
              <w:rPr>
                <w:rFonts w:ascii="Aptos" w:hAnsi="Aptos"/>
                <w:b/>
                <w:color w:val="172033"/>
                <w:sz w:val="18"/>
              </w:rPr>
              <w:t>Child execution</w:t>
            </w:r>
          </w:p>
        </w:tc>
        <w:tc>
          <w:tcPr>
            <w:tcW w:type="dxa" w:w="7060"/>
            <w:shd w:fill="F8FAFC"/>
            <w:tcMar>
              <w:top w:w="100" w:type="dxa"/>
              <w:start w:w="120" w:type="dxa"/>
              <w:bottom w:w="100" w:type="dxa"/>
              <w:end w:w="120" w:type="dxa"/>
            </w:tcMar>
            <w:vAlign w:val="center"/>
          </w:tcPr>
          <w:p>
            <w:r>
              <w:rPr>
                <w:rFonts w:ascii="Aptos" w:hAnsi="Aptos"/>
                <w:b w:val="0"/>
                <w:color w:val="172033"/>
                <w:sz w:val="18"/>
              </w:rPr>
              <w:t>A bounded task assigned to a project or specialist agent.</w:t>
            </w:r>
          </w:p>
        </w:tc>
      </w:tr>
      <w:tr>
        <w:tc>
          <w:tcPr>
            <w:tcW w:type="dxa" w:w="2300"/>
            <w:tcMar>
              <w:top w:w="100" w:type="dxa"/>
              <w:start w:w="120" w:type="dxa"/>
              <w:bottom w:w="100" w:type="dxa"/>
              <w:end w:w="120" w:type="dxa"/>
            </w:tcMar>
            <w:vAlign w:val="center"/>
          </w:tcPr>
          <w:p>
            <w:r>
              <w:rPr>
                <w:rFonts w:ascii="Aptos" w:hAnsi="Aptos"/>
                <w:b/>
                <w:color w:val="172033"/>
                <w:sz w:val="18"/>
              </w:rPr>
              <w:t>Adaptive route</w:t>
            </w:r>
          </w:p>
        </w:tc>
        <w:tc>
          <w:tcPr>
            <w:tcW w:type="dxa" w:w="7060"/>
            <w:tcMar>
              <w:top w:w="100" w:type="dxa"/>
              <w:start w:w="120" w:type="dxa"/>
              <w:bottom w:w="100" w:type="dxa"/>
              <w:end w:w="120" w:type="dxa"/>
            </w:tcMar>
            <w:vAlign w:val="center"/>
          </w:tcPr>
          <w:p>
            <w:r>
              <w:rPr>
                <w:rFonts w:ascii="Aptos" w:hAnsi="Aptos"/>
                <w:b w:val="0"/>
                <w:color w:val="172033"/>
                <w:sz w:val="18"/>
              </w:rPr>
              <w:t>The selected orchestration depth: single, delegated, or independently reviewed.</w:t>
            </w:r>
          </w:p>
        </w:tc>
      </w:tr>
      <w:tr>
        <w:tc>
          <w:tcPr>
            <w:tcW w:type="dxa" w:w="2300"/>
            <w:shd w:fill="F8FAFC"/>
            <w:tcMar>
              <w:top w:w="100" w:type="dxa"/>
              <w:start w:w="120" w:type="dxa"/>
              <w:bottom w:w="100" w:type="dxa"/>
              <w:end w:w="120" w:type="dxa"/>
            </w:tcMar>
            <w:vAlign w:val="center"/>
          </w:tcPr>
          <w:p>
            <w:r>
              <w:rPr>
                <w:rFonts w:ascii="Aptos" w:hAnsi="Aptos"/>
                <w:b/>
                <w:color w:val="172033"/>
                <w:sz w:val="18"/>
              </w:rPr>
              <w:t>QAgent</w:t>
            </w:r>
          </w:p>
        </w:tc>
        <w:tc>
          <w:tcPr>
            <w:tcW w:type="dxa" w:w="7060"/>
            <w:shd w:fill="F8FAFC"/>
            <w:tcMar>
              <w:top w:w="100" w:type="dxa"/>
              <w:start w:w="120" w:type="dxa"/>
              <w:bottom w:w="100" w:type="dxa"/>
              <w:end w:w="120" w:type="dxa"/>
            </w:tcMar>
            <w:vAlign w:val="center"/>
          </w:tcPr>
          <w:p>
            <w:r>
              <w:rPr>
                <w:rFonts w:ascii="Aptos" w:hAnsi="Aptos"/>
                <w:b w:val="0"/>
                <w:color w:val="172033"/>
                <w:sz w:val="18"/>
              </w:rPr>
              <w:t>A quality-focused agent that detects objective gaps and proposes corrective next work.</w:t>
            </w:r>
          </w:p>
        </w:tc>
      </w:tr>
      <w:tr>
        <w:tc>
          <w:tcPr>
            <w:tcW w:type="dxa" w:w="2300"/>
            <w:tcMar>
              <w:top w:w="100" w:type="dxa"/>
              <w:start w:w="120" w:type="dxa"/>
              <w:bottom w:w="100" w:type="dxa"/>
              <w:end w:w="120" w:type="dxa"/>
            </w:tcMar>
            <w:vAlign w:val="center"/>
          </w:tcPr>
          <w:p>
            <w:r>
              <w:rPr>
                <w:rFonts w:ascii="Aptos" w:hAnsi="Aptos"/>
                <w:b/>
                <w:color w:val="172033"/>
                <w:sz w:val="18"/>
              </w:rPr>
              <w:t>Execution Snapshot</w:t>
            </w:r>
          </w:p>
        </w:tc>
        <w:tc>
          <w:tcPr>
            <w:tcW w:type="dxa" w:w="7060"/>
            <w:tcMar>
              <w:top w:w="100" w:type="dxa"/>
              <w:start w:w="120" w:type="dxa"/>
              <w:bottom w:w="100" w:type="dxa"/>
              <w:end w:w="120" w:type="dxa"/>
            </w:tcMar>
            <w:vAlign w:val="center"/>
          </w:tcPr>
          <w:p>
            <w:r>
              <w:rPr>
                <w:rFonts w:ascii="Aptos" w:hAnsi="Aptos"/>
                <w:b w:val="0"/>
                <w:color w:val="172033"/>
                <w:sz w:val="18"/>
              </w:rPr>
              <w:t>The immutable record of events, decisions, agents, outputs, and validation for one build.</w:t>
            </w:r>
          </w:p>
        </w:tc>
      </w:tr>
      <w:tr>
        <w:tc>
          <w:tcPr>
            <w:tcW w:type="dxa" w:w="2300"/>
            <w:shd w:fill="F8FAFC"/>
            <w:tcMar>
              <w:top w:w="100" w:type="dxa"/>
              <w:start w:w="120" w:type="dxa"/>
              <w:bottom w:w="100" w:type="dxa"/>
              <w:end w:w="120" w:type="dxa"/>
            </w:tcMar>
            <w:vAlign w:val="center"/>
          </w:tcPr>
          <w:p>
            <w:r>
              <w:rPr>
                <w:rFonts w:ascii="Aptos" w:hAnsi="Aptos"/>
                <w:b/>
                <w:color w:val="172033"/>
                <w:sz w:val="18"/>
              </w:rPr>
              <w:t>Completion gate</w:t>
            </w:r>
          </w:p>
        </w:tc>
        <w:tc>
          <w:tcPr>
            <w:tcW w:type="dxa" w:w="7060"/>
            <w:shd w:fill="F8FAFC"/>
            <w:tcMar>
              <w:top w:w="100" w:type="dxa"/>
              <w:start w:w="120" w:type="dxa"/>
              <w:bottom w:w="100" w:type="dxa"/>
              <w:end w:w="120" w:type="dxa"/>
            </w:tcMar>
            <w:vAlign w:val="center"/>
          </w:tcPr>
          <w:p>
            <w:r>
              <w:rPr>
                <w:rFonts w:ascii="Aptos" w:hAnsi="Aptos"/>
                <w:b w:val="0"/>
                <w:color w:val="172033"/>
                <w:sz w:val="18"/>
              </w:rPr>
              <w:t>The final PlutoniX decision that approves or rejects workflow completion.</w:t>
            </w:r>
          </w:p>
        </w:tc>
      </w:tr>
    </w:tbl>
    <w:p>
      <w:pPr>
        <w:spacing w:after="20"/>
      </w:pPr>
    </w:p>
    <w:p>
      <w:pPr>
        <w:pStyle w:val="Heading1"/>
      </w:pPr>
      <w:r>
        <w:t>Summary</w:t>
      </w:r>
    </w:p>
    <w:p>
      <w:r>
        <w:t>A PlutoniX build is a governed sequence rather than a single model response. The platform preserves the user objective, assigns accountable agents, makes branching decisions visible, validates evidence, and carries project knowledge forward into the next instruction.</w:t>
      </w:r>
    </w:p>
    <w:sectPr w:rsidR="00FC693F" w:rsidRPr="0006063C" w:rsidSect="00034616">
      <w:headerReference w:type="default" r:id="rId9"/>
      <w:footerReference w:type="default" r:id="rId10"/>
      <w:pgSz w:w="12240" w:h="15840"/>
      <w:pgMar w:top="1181" w:right="1440" w:bottom="1123"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Prepared 5 July 2026  |  Confidential budgetary material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563EB"/>
        <w:sz w:val="17"/>
      </w:rPr>
      <w:t>PLUTONIX</w:t>
    </w:r>
    <w:r>
      <w:rPr>
        <w:rFonts w:ascii="Aptos" w:hAnsi="Aptos"/>
        <w:b w:val="0"/>
        <w:color w:val="64748B"/>
        <w:sz w:val="17"/>
      </w:rPr>
      <w:t xml:space="preserve">  /  BUSINESS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2233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23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